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4.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oxmlPackage1.sldx" ContentType="application/vnd.openxmlformats-officedocument.presentationml.slide"/>
  <Override PartName="/word/embeddings/ooxmlPackage2.sldx" ContentType="application/vnd.openxmlformats-officedocument.presentationml.slide"/>
  <Override PartName="/word/embeddings/ooxmlPackage3.sldx" ContentType="application/vnd.openxmlformats-officedocument.presentationml.slide"/>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4.0 -->
  <w:body>
    <w:p w:rsidR="006C359E" w:rsidP="006C359E" w14:paraId="15BD2A7F" w14:textId="77777777">
      <w:pPr>
        <w:pStyle w:val="1"/>
      </w:pPr>
      <w:bookmarkStart w:id="0" w:name="_Toc453696095"/>
    </w:p>
    <w:p w:rsidR="006C359E" w:rsidP="006C359E" w14:paraId="3C231421" w14:textId="77777777">
      <w:pPr>
        <w:pStyle w:val="1"/>
      </w:pPr>
    </w:p>
    <w:p w:rsidR="005D4D73" w:rsidP="006C359E" w14:paraId="294FC4CC" w14:textId="77777777">
      <w:pPr>
        <w:pStyle w:val="1"/>
      </w:pPr>
    </w:p>
    <w:p w:rsidR="005D4D73" w:rsidP="006C359E" w14:paraId="78FD782A" w14:textId="77777777">
      <w:pPr>
        <w:pStyle w:val="1"/>
      </w:pPr>
    </w:p>
    <w:p w:rsidR="005D4D73" w:rsidP="006C359E" w14:paraId="7681FBC0" w14:textId="77777777">
      <w:pPr>
        <w:pStyle w:val="1"/>
      </w:pPr>
    </w:p>
    <w:p w:rsidR="005D4D73" w:rsidP="006C359E" w14:paraId="71B74074" w14:textId="77777777">
      <w:pPr>
        <w:pStyle w:val="1"/>
      </w:pPr>
    </w:p>
    <w:p w:rsidR="005D4D73" w:rsidP="006C359E" w14:paraId="4A805F56" w14:textId="77777777">
      <w:pPr>
        <w:pStyle w:val="1"/>
      </w:pPr>
    </w:p>
    <w:p w:rsidR="006C359E" w:rsidP="005D4D73" w14:paraId="1C67BCF6" w14:textId="5F34E412">
      <w:pPr>
        <w:pStyle w:val="1"/>
        <w:jc w:val="center"/>
      </w:pPr>
      <w:r>
        <w:t>Strategický rámec rozvoje péče o zdraví v České republice do roku 2035</w:t>
      </w:r>
    </w:p>
    <w:p w:rsidR="006C359E" w:rsidRPr="005D4D73" w:rsidP="005D4D73" w14:paraId="3F67D3C3" w14:textId="39D646E6">
      <w:pPr>
        <w:pStyle w:val="1"/>
        <w:jc w:val="center"/>
      </w:pPr>
      <w:r>
        <w:br w:type="page"/>
      </w:r>
    </w:p>
    <w:tbl>
      <w:tblPr>
        <w:tblStyle w:val="TableGrid"/>
        <w:tblpPr w:leftFromText="141" w:rightFromText="141" w:vertAnchor="text" w:horzAnchor="margin" w:tblpXSpec="center" w:tblpY="414"/>
        <w:tblW w:w="10294" w:type="dxa"/>
        <w:tblBorders>
          <w:top w:val="single" w:sz="4" w:space="0" w:color="DDD9C4" w:themeColor="background2" w:themeShade="E6"/>
          <w:left w:val="single" w:sz="4" w:space="0" w:color="DDD9C4" w:themeColor="background2" w:themeShade="E6"/>
          <w:bottom w:val="single" w:sz="4" w:space="0" w:color="DDD9C4" w:themeColor="background2" w:themeShade="E6"/>
          <w:right w:val="single" w:sz="4" w:space="0" w:color="DDD9C4" w:themeColor="background2" w:themeShade="E6"/>
          <w:insideH w:val="single" w:sz="4" w:space="0" w:color="DDD9C4" w:themeColor="background2" w:themeShade="E6"/>
          <w:insideV w:val="single" w:sz="4" w:space="0" w:color="DDD9C4" w:themeColor="background2" w:themeShade="E6"/>
        </w:tblBorders>
        <w:tblCellMar>
          <w:top w:w="57" w:type="dxa"/>
          <w:left w:w="142" w:type="dxa"/>
          <w:bottom w:w="57" w:type="dxa"/>
          <w:right w:w="142" w:type="dxa"/>
        </w:tblCellMar>
        <w:tblLook w:val="04A0"/>
      </w:tblPr>
      <w:tblGrid>
        <w:gridCol w:w="3362"/>
        <w:gridCol w:w="6932"/>
      </w:tblGrid>
      <w:tr w14:paraId="4828CB14" w14:textId="77777777" w:rsidTr="0D4C4CA9">
        <w:tblPrEx>
          <w:tblW w:w="10294" w:type="dxa"/>
          <w:tblBorders>
            <w:top w:val="single" w:sz="4" w:space="0" w:color="DDD9C4" w:themeColor="background2" w:themeShade="E6"/>
            <w:left w:val="single" w:sz="4" w:space="0" w:color="DDD9C4" w:themeColor="background2" w:themeShade="E6"/>
            <w:bottom w:val="single" w:sz="4" w:space="0" w:color="DDD9C4" w:themeColor="background2" w:themeShade="E6"/>
            <w:right w:val="single" w:sz="4" w:space="0" w:color="DDD9C4" w:themeColor="background2" w:themeShade="E6"/>
            <w:insideH w:val="single" w:sz="4" w:space="0" w:color="DDD9C4" w:themeColor="background2" w:themeShade="E6"/>
            <w:insideV w:val="single" w:sz="4" w:space="0" w:color="DDD9C4" w:themeColor="background2" w:themeShade="E6"/>
          </w:tblBorders>
          <w:tblCellMar>
            <w:top w:w="57" w:type="dxa"/>
            <w:left w:w="142" w:type="dxa"/>
            <w:bottom w:w="57" w:type="dxa"/>
            <w:right w:w="142" w:type="dxa"/>
          </w:tblCellMar>
          <w:tblLook w:val="04A0"/>
        </w:tblPrEx>
        <w:trPr>
          <w:trHeight w:val="523"/>
        </w:trPr>
        <w:tc>
          <w:tcPr>
            <w:tcW w:w="10294" w:type="dxa"/>
            <w:gridSpan w:val="2"/>
            <w:tcMar>
              <w:left w:w="88" w:type="dxa"/>
            </w:tcMar>
            <w:vAlign w:val="center"/>
          </w:tcPr>
          <w:p w:rsidR="008A5861" w:rsidRPr="00A955AF" w:rsidP="001124A4" w14:paraId="1856773B" w14:textId="2B53D62D">
            <w:pPr>
              <w:keepNext/>
              <w:spacing w:before="0" w:after="120"/>
              <w:rPr>
                <w:rFonts w:ascii="Calibri" w:hAnsi="Calibri" w:cstheme="minorHAnsi"/>
                <w:b/>
              </w:rPr>
            </w:pPr>
            <w:r w:rsidRPr="00A955AF">
              <w:rPr>
                <w:rFonts w:ascii="Calibri" w:hAnsi="Calibri" w:cstheme="minorHAnsi"/>
                <w:b/>
                <w:color w:val="205489"/>
              </w:rPr>
              <w:t>SOUHRN</w:t>
            </w:r>
          </w:p>
        </w:tc>
      </w:tr>
      <w:tr w14:paraId="0833BF25" w14:textId="77777777" w:rsidTr="0D4C4CA9">
        <w:tblPrEx>
          <w:tblW w:w="10294" w:type="dxa"/>
          <w:tblCellMar>
            <w:top w:w="57" w:type="dxa"/>
            <w:left w:w="142" w:type="dxa"/>
            <w:bottom w:w="57" w:type="dxa"/>
            <w:right w:w="142" w:type="dxa"/>
          </w:tblCellMar>
          <w:tblLook w:val="04A0"/>
        </w:tblPrEx>
        <w:trPr>
          <w:trHeight w:val="1276"/>
        </w:trPr>
        <w:tc>
          <w:tcPr>
            <w:tcW w:w="3362" w:type="dxa"/>
            <w:shd w:val="clear" w:color="auto" w:fill="EEECE1" w:themeFill="background2"/>
            <w:tcMar>
              <w:left w:w="88" w:type="dxa"/>
            </w:tcMar>
            <w:vAlign w:val="center"/>
          </w:tcPr>
          <w:p w:rsidR="008A5861" w:rsidRPr="00A955AF" w:rsidP="001124A4" w14:paraId="6003A464" w14:textId="77777777">
            <w:pPr>
              <w:keepNext/>
              <w:keepLines/>
              <w:spacing w:before="80" w:after="80"/>
              <w:ind w:left="357" w:hanging="357"/>
              <w:jc w:val="left"/>
              <w:outlineLvl w:val="1"/>
              <w:rPr>
                <w:rFonts w:ascii="Calibri" w:hAnsi="Calibri" w:cstheme="minorHAnsi"/>
                <w:b/>
              </w:rPr>
            </w:pPr>
            <w:bookmarkStart w:id="1" w:name="_Toc2949801"/>
            <w:bookmarkStart w:id="2" w:name="_Toc2952711"/>
            <w:bookmarkStart w:id="3" w:name="_Toc6830969"/>
            <w:bookmarkStart w:id="4" w:name="_Toc6852157"/>
            <w:bookmarkStart w:id="5" w:name="_Toc7697485"/>
            <w:bookmarkStart w:id="6" w:name="_Toc7698256"/>
            <w:bookmarkStart w:id="7" w:name="_Toc7705100"/>
            <w:bookmarkStart w:id="8" w:name="_Toc7705571"/>
            <w:bookmarkStart w:id="9" w:name="_Toc7706087"/>
            <w:bookmarkStart w:id="10" w:name="_Toc7779476"/>
            <w:bookmarkStart w:id="11" w:name="_Toc10196738"/>
            <w:bookmarkStart w:id="12" w:name="_Toc10196865"/>
            <w:bookmarkStart w:id="13" w:name="_Toc10619757"/>
            <w:bookmarkStart w:id="14" w:name="_Toc23407227"/>
            <w:bookmarkStart w:id="15" w:name="_Toc26776934"/>
            <w:bookmarkStart w:id="16" w:name="_Toc40943312"/>
            <w:bookmarkStart w:id="17" w:name="_Toc41565608"/>
            <w:bookmarkStart w:id="18" w:name="_Toc41566141"/>
            <w:bookmarkStart w:id="19" w:name="_Toc201690598"/>
            <w:bookmarkStart w:id="20" w:name="_Toc201691321"/>
            <w:bookmarkStart w:id="21" w:name="_Toc203386410"/>
            <w:bookmarkStart w:id="22" w:name="_Toc536610981"/>
            <w:bookmarkStart w:id="23" w:name="_Toc256000000"/>
            <w:r w:rsidRPr="00A955AF">
              <w:rPr>
                <w:rFonts w:ascii="Calibri" w:hAnsi="Calibri" w:cstheme="minorHAnsi"/>
                <w:b/>
              </w:rPr>
              <w:t>Název</w:t>
            </w:r>
            <w:bookmarkEnd w:id="23"/>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rsidRPr="00A955AF">
              <w:rPr>
                <w:rFonts w:ascii="Calibri" w:hAnsi="Calibri" w:cstheme="minorHAnsi"/>
                <w:b/>
              </w:rPr>
              <w:t xml:space="preserve"> </w:t>
            </w:r>
            <w:bookmarkEnd w:id="22"/>
          </w:p>
        </w:tc>
        <w:tc>
          <w:tcPr>
            <w:tcW w:w="6932" w:type="dxa"/>
            <w:tcMar>
              <w:left w:w="88" w:type="dxa"/>
            </w:tcMar>
            <w:vAlign w:val="center"/>
          </w:tcPr>
          <w:p w:rsidR="008A5861" w:rsidRPr="00A955AF" w:rsidP="00566505" w14:paraId="06C68046" w14:textId="78F17707">
            <w:pPr>
              <w:keepNext/>
              <w:keepLines/>
              <w:tabs>
                <w:tab w:val="left" w:pos="1843"/>
              </w:tabs>
              <w:spacing w:before="0" w:after="120"/>
              <w:ind w:left="40" w:hanging="40"/>
              <w:outlineLvl w:val="1"/>
              <w:rPr>
                <w:rFonts w:ascii="Calibri" w:hAnsi="Calibri" w:cstheme="minorHAnsi"/>
                <w:caps/>
              </w:rPr>
            </w:pPr>
            <w:bookmarkStart w:id="24" w:name="_Toc536610982"/>
            <w:bookmarkStart w:id="25" w:name="_Toc2949802"/>
            <w:bookmarkStart w:id="26" w:name="_Toc2952712"/>
            <w:bookmarkStart w:id="27" w:name="_Toc6830970"/>
            <w:bookmarkStart w:id="28" w:name="_Toc6852158"/>
            <w:bookmarkStart w:id="29" w:name="_Toc7697486"/>
            <w:bookmarkStart w:id="30" w:name="_Toc7698257"/>
            <w:bookmarkStart w:id="31" w:name="_Toc7705101"/>
            <w:bookmarkStart w:id="32" w:name="_Toc7705572"/>
            <w:bookmarkStart w:id="33" w:name="_Toc7706088"/>
            <w:bookmarkStart w:id="34" w:name="_Toc7779477"/>
            <w:bookmarkStart w:id="35" w:name="_Toc10196739"/>
            <w:bookmarkStart w:id="36" w:name="_Toc10196866"/>
            <w:bookmarkStart w:id="37" w:name="_Toc10619758"/>
            <w:bookmarkStart w:id="38" w:name="_Toc23407228"/>
            <w:bookmarkStart w:id="39" w:name="_Toc26776935"/>
            <w:bookmarkStart w:id="40" w:name="_Toc40943313"/>
            <w:bookmarkStart w:id="41" w:name="_Toc41565609"/>
            <w:bookmarkStart w:id="42" w:name="_Toc41566142"/>
            <w:bookmarkStart w:id="43" w:name="_Toc201690599"/>
            <w:bookmarkStart w:id="44" w:name="_Toc201691322"/>
            <w:bookmarkStart w:id="45" w:name="_Toc203386411"/>
            <w:bookmarkStart w:id="46" w:name="_Toc256000001"/>
            <w:r w:rsidRPr="00A955AF">
              <w:rPr>
                <w:rFonts w:ascii="Calibri" w:hAnsi="Calibri" w:cstheme="minorHAnsi"/>
              </w:rPr>
              <w:t>STRATEGICKÝ RÁMEC</w:t>
            </w:r>
            <w:bookmarkEnd w:id="24"/>
            <w:r w:rsidRPr="00A955AF">
              <w:rPr>
                <w:rFonts w:ascii="Calibri" w:hAnsi="Calibri" w:cstheme="minorHAnsi"/>
              </w:rPr>
              <w:t xml:space="preserve"> </w:t>
            </w:r>
            <w:r w:rsidRPr="00A955AF" w:rsidR="00BA3BCA">
              <w:rPr>
                <w:rFonts w:ascii="Calibri" w:hAnsi="Calibri" w:cstheme="minorHAnsi"/>
              </w:rPr>
              <w:t xml:space="preserve">ROZVOJE </w:t>
            </w:r>
            <w:r w:rsidRPr="00A955AF">
              <w:rPr>
                <w:rFonts w:ascii="Calibri" w:hAnsi="Calibri" w:cstheme="minorHAnsi"/>
                <w:caps/>
              </w:rPr>
              <w:t>péče o zdraví v České republice</w:t>
            </w:r>
            <w:r w:rsidRPr="00A955AF" w:rsidR="00562654">
              <w:rPr>
                <w:rFonts w:ascii="Calibri" w:hAnsi="Calibri" w:cstheme="minorHAnsi"/>
                <w:caps/>
              </w:rPr>
              <w:t xml:space="preserve"> </w:t>
            </w:r>
            <w:r w:rsidRPr="00A955AF" w:rsidR="0016591F">
              <w:rPr>
                <w:rFonts w:ascii="Calibri" w:hAnsi="Calibri" w:cstheme="minorHAnsi"/>
                <w:caps/>
              </w:rPr>
              <w:t>do </w:t>
            </w:r>
            <w:r w:rsidRPr="00A955AF">
              <w:rPr>
                <w:rFonts w:ascii="Calibri" w:hAnsi="Calibri" w:cstheme="minorHAnsi"/>
                <w:caps/>
              </w:rPr>
              <w:t>roku 203</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00613001">
              <w:rPr>
                <w:rFonts w:ascii="Calibri" w:hAnsi="Calibri" w:cstheme="minorHAnsi"/>
                <w:caps/>
              </w:rPr>
              <w:t>5</w:t>
            </w:r>
            <w:bookmarkEnd w:id="46"/>
            <w:bookmarkEnd w:id="43"/>
            <w:bookmarkEnd w:id="44"/>
            <w:bookmarkEnd w:id="45"/>
          </w:p>
        </w:tc>
      </w:tr>
      <w:tr w14:paraId="034076A9" w14:textId="77777777" w:rsidTr="0D4C4CA9">
        <w:tblPrEx>
          <w:tblW w:w="10294" w:type="dxa"/>
          <w:tblCellMar>
            <w:top w:w="57" w:type="dxa"/>
            <w:left w:w="142" w:type="dxa"/>
            <w:bottom w:w="57" w:type="dxa"/>
            <w:right w:w="142" w:type="dxa"/>
          </w:tblCellMar>
          <w:tblLook w:val="04A0"/>
        </w:tblPrEx>
        <w:trPr>
          <w:trHeight w:val="549"/>
        </w:trPr>
        <w:tc>
          <w:tcPr>
            <w:tcW w:w="3362" w:type="dxa"/>
            <w:shd w:val="clear" w:color="auto" w:fill="EEECE1" w:themeFill="background2"/>
            <w:tcMar>
              <w:left w:w="88" w:type="dxa"/>
            </w:tcMar>
            <w:vAlign w:val="center"/>
          </w:tcPr>
          <w:p w:rsidR="008A5861" w:rsidRPr="00A955AF" w:rsidP="008A5861" w14:paraId="4438AD62" w14:textId="77777777">
            <w:pPr>
              <w:keepNext/>
              <w:keepLines/>
              <w:spacing w:before="80" w:after="80"/>
              <w:ind w:left="357" w:hanging="357"/>
              <w:jc w:val="left"/>
              <w:outlineLvl w:val="1"/>
              <w:rPr>
                <w:rFonts w:ascii="Calibri" w:hAnsi="Calibri" w:cstheme="minorHAnsi"/>
                <w:b/>
              </w:rPr>
            </w:pPr>
            <w:bookmarkStart w:id="47" w:name="_Toc536610983"/>
            <w:bookmarkStart w:id="48" w:name="_Toc2949803"/>
            <w:bookmarkStart w:id="49" w:name="_Toc2952713"/>
            <w:bookmarkStart w:id="50" w:name="_Toc6830971"/>
            <w:bookmarkStart w:id="51" w:name="_Toc6852159"/>
            <w:bookmarkStart w:id="52" w:name="_Toc7697487"/>
            <w:bookmarkStart w:id="53" w:name="_Toc7698258"/>
            <w:bookmarkStart w:id="54" w:name="_Toc7705102"/>
            <w:bookmarkStart w:id="55" w:name="_Toc7705573"/>
            <w:bookmarkStart w:id="56" w:name="_Toc7706089"/>
            <w:bookmarkStart w:id="57" w:name="_Toc7779478"/>
            <w:bookmarkStart w:id="58" w:name="_Toc10196740"/>
            <w:bookmarkStart w:id="59" w:name="_Toc10196867"/>
            <w:bookmarkStart w:id="60" w:name="_Toc10619759"/>
            <w:bookmarkStart w:id="61" w:name="_Toc23407229"/>
            <w:bookmarkStart w:id="62" w:name="_Toc26776936"/>
            <w:bookmarkStart w:id="63" w:name="_Toc40943314"/>
            <w:bookmarkStart w:id="64" w:name="_Toc41565610"/>
            <w:bookmarkStart w:id="65" w:name="_Toc41566143"/>
            <w:bookmarkStart w:id="66" w:name="_Toc201690600"/>
            <w:bookmarkStart w:id="67" w:name="_Toc201691323"/>
            <w:bookmarkStart w:id="68" w:name="_Toc203386412"/>
            <w:bookmarkStart w:id="69" w:name="_Toc256000002"/>
            <w:r w:rsidRPr="00A955AF">
              <w:rPr>
                <w:rFonts w:ascii="Calibri" w:hAnsi="Calibri" w:cstheme="minorHAnsi"/>
                <w:b/>
              </w:rPr>
              <w:t>Zadavatel</w:t>
            </w:r>
            <w:bookmarkEnd w:id="69"/>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tc>
        <w:tc>
          <w:tcPr>
            <w:tcW w:w="6932" w:type="dxa"/>
            <w:tcMar>
              <w:left w:w="88" w:type="dxa"/>
            </w:tcMar>
            <w:vAlign w:val="center"/>
          </w:tcPr>
          <w:p w:rsidR="008A5861" w:rsidRPr="00A955AF" w:rsidP="008A5861" w14:paraId="4D605241" w14:textId="51EB3789">
            <w:pPr>
              <w:keepNext/>
              <w:keepLines/>
              <w:tabs>
                <w:tab w:val="left" w:pos="1843"/>
              </w:tabs>
              <w:spacing w:before="0" w:after="120"/>
              <w:ind w:left="357" w:hanging="357"/>
              <w:outlineLvl w:val="1"/>
              <w:rPr>
                <w:rFonts w:ascii="Calibri" w:hAnsi="Calibri" w:cstheme="minorHAnsi"/>
              </w:rPr>
            </w:pPr>
            <w:bookmarkStart w:id="70" w:name="_Toc536610984"/>
            <w:bookmarkStart w:id="71" w:name="_Toc2949804"/>
            <w:bookmarkStart w:id="72" w:name="_Toc2952714"/>
            <w:bookmarkStart w:id="73" w:name="_Toc6830972"/>
            <w:bookmarkStart w:id="74" w:name="_Toc6852160"/>
            <w:bookmarkStart w:id="75" w:name="_Toc7697488"/>
            <w:bookmarkStart w:id="76" w:name="_Toc7698259"/>
            <w:bookmarkStart w:id="77" w:name="_Toc7705103"/>
            <w:bookmarkStart w:id="78" w:name="_Toc7705574"/>
            <w:bookmarkStart w:id="79" w:name="_Toc7706090"/>
            <w:bookmarkStart w:id="80" w:name="_Toc7779479"/>
            <w:bookmarkStart w:id="81" w:name="_Toc10196741"/>
            <w:bookmarkStart w:id="82" w:name="_Toc10196868"/>
            <w:bookmarkStart w:id="83" w:name="_Toc10619760"/>
            <w:bookmarkStart w:id="84" w:name="_Toc23407230"/>
            <w:bookmarkStart w:id="85" w:name="_Toc26776937"/>
            <w:bookmarkStart w:id="86" w:name="_Toc40943315"/>
            <w:bookmarkStart w:id="87" w:name="_Toc41565611"/>
            <w:bookmarkStart w:id="88" w:name="_Toc41566144"/>
            <w:bookmarkStart w:id="89" w:name="_Toc201690601"/>
            <w:bookmarkStart w:id="90" w:name="_Toc201691324"/>
            <w:bookmarkStart w:id="91" w:name="_Toc203386413"/>
            <w:bookmarkStart w:id="92" w:name="_Toc256000003"/>
            <w:r w:rsidRPr="00A955AF">
              <w:rPr>
                <w:rFonts w:ascii="Calibri" w:hAnsi="Calibri" w:cstheme="minorHAnsi"/>
              </w:rPr>
              <w:t>Ministerstvo zdravotnictví České republiky</w:t>
            </w:r>
            <w:bookmarkEnd w:id="92"/>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tc>
      </w:tr>
      <w:tr w14:paraId="1A8A8341" w14:textId="77777777" w:rsidTr="0D4C4CA9">
        <w:tblPrEx>
          <w:tblW w:w="10294" w:type="dxa"/>
          <w:tblCellMar>
            <w:top w:w="57" w:type="dxa"/>
            <w:left w:w="142" w:type="dxa"/>
            <w:bottom w:w="57" w:type="dxa"/>
            <w:right w:w="142" w:type="dxa"/>
          </w:tblCellMar>
          <w:tblLook w:val="04A0"/>
        </w:tblPrEx>
        <w:trPr>
          <w:trHeight w:val="545"/>
        </w:trPr>
        <w:tc>
          <w:tcPr>
            <w:tcW w:w="3362" w:type="dxa"/>
            <w:shd w:val="clear" w:color="auto" w:fill="EEECE1" w:themeFill="background2"/>
            <w:tcMar>
              <w:left w:w="88" w:type="dxa"/>
            </w:tcMar>
            <w:vAlign w:val="center"/>
          </w:tcPr>
          <w:p w:rsidR="006A4E33" w:rsidRPr="00A955AF" w:rsidP="00566505" w14:paraId="5B14EC36" w14:textId="3436394D">
            <w:pPr>
              <w:keepNext/>
              <w:keepLines/>
              <w:tabs>
                <w:tab w:val="left" w:pos="1843"/>
              </w:tabs>
              <w:spacing w:before="80" w:after="80"/>
              <w:jc w:val="left"/>
              <w:outlineLvl w:val="1"/>
              <w:rPr>
                <w:rFonts w:ascii="Calibri" w:hAnsi="Calibri" w:cstheme="minorHAnsi"/>
                <w:b/>
              </w:rPr>
            </w:pPr>
            <w:bookmarkStart w:id="93" w:name="_Toc536610985"/>
            <w:bookmarkStart w:id="94" w:name="_Toc2949805"/>
            <w:bookmarkStart w:id="95" w:name="_Toc2952715"/>
            <w:bookmarkStart w:id="96" w:name="_Toc6830973"/>
            <w:bookmarkStart w:id="97" w:name="_Toc6852161"/>
            <w:bookmarkStart w:id="98" w:name="_Toc7697489"/>
            <w:bookmarkStart w:id="99" w:name="_Toc7698260"/>
            <w:bookmarkStart w:id="100" w:name="_Toc7705104"/>
            <w:bookmarkStart w:id="101" w:name="_Toc7705575"/>
            <w:bookmarkStart w:id="102" w:name="_Toc7706091"/>
            <w:bookmarkStart w:id="103" w:name="_Toc7779480"/>
            <w:bookmarkStart w:id="104" w:name="_Toc10196742"/>
            <w:bookmarkStart w:id="105" w:name="_Toc10196869"/>
            <w:bookmarkStart w:id="106" w:name="_Toc10619761"/>
            <w:bookmarkStart w:id="107" w:name="_Toc23407231"/>
            <w:bookmarkStart w:id="108" w:name="_Toc26776938"/>
            <w:bookmarkStart w:id="109" w:name="_Toc40943316"/>
            <w:bookmarkStart w:id="110" w:name="_Toc41565612"/>
            <w:bookmarkStart w:id="111" w:name="_Toc41566145"/>
            <w:bookmarkStart w:id="112" w:name="_Toc201690602"/>
            <w:bookmarkStart w:id="113" w:name="_Toc201691325"/>
            <w:bookmarkStart w:id="114" w:name="_Toc203386414"/>
            <w:bookmarkStart w:id="115" w:name="_Toc256000004"/>
            <w:r w:rsidRPr="00A955AF">
              <w:rPr>
                <w:rFonts w:ascii="Calibri" w:hAnsi="Calibri" w:cstheme="minorHAnsi"/>
                <w:b/>
              </w:rPr>
              <w:t>Gestor tvorby </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A955AF" w:rsidR="00BA3BCA">
              <w:rPr>
                <w:rFonts w:ascii="Calibri" w:hAnsi="Calibri" w:cstheme="minorHAnsi"/>
                <w:b/>
              </w:rPr>
              <w:t>strategického rámce</w:t>
            </w:r>
            <w:bookmarkEnd w:id="115"/>
            <w:bookmarkEnd w:id="107"/>
            <w:bookmarkEnd w:id="108"/>
            <w:bookmarkEnd w:id="109"/>
            <w:bookmarkEnd w:id="110"/>
            <w:bookmarkEnd w:id="111"/>
            <w:bookmarkEnd w:id="112"/>
            <w:bookmarkEnd w:id="113"/>
            <w:bookmarkEnd w:id="114"/>
          </w:p>
        </w:tc>
        <w:tc>
          <w:tcPr>
            <w:tcW w:w="6932" w:type="dxa"/>
            <w:tcMar>
              <w:left w:w="88" w:type="dxa"/>
            </w:tcMar>
            <w:vAlign w:val="center"/>
          </w:tcPr>
          <w:p w:rsidR="006A4E33" w:rsidRPr="00A955AF" w:rsidP="006A4E33" w14:paraId="4CB6C403" w14:textId="3133AE85">
            <w:pPr>
              <w:keepNext/>
              <w:keepLines/>
              <w:tabs>
                <w:tab w:val="left" w:pos="1843"/>
              </w:tabs>
              <w:spacing w:before="0" w:after="120"/>
              <w:ind w:left="357" w:hanging="357"/>
              <w:outlineLvl w:val="1"/>
              <w:rPr>
                <w:rFonts w:ascii="Calibri" w:hAnsi="Calibri" w:cstheme="minorHAnsi"/>
                <w:color w:val="FF0000"/>
              </w:rPr>
            </w:pPr>
            <w:bookmarkStart w:id="116" w:name="_Toc536610986"/>
            <w:bookmarkStart w:id="117" w:name="_Toc2949806"/>
            <w:bookmarkStart w:id="118" w:name="_Toc2952716"/>
            <w:bookmarkStart w:id="119" w:name="_Toc6830974"/>
            <w:bookmarkStart w:id="120" w:name="_Toc6852162"/>
            <w:bookmarkStart w:id="121" w:name="_Toc7697490"/>
            <w:bookmarkStart w:id="122" w:name="_Toc7698261"/>
            <w:bookmarkStart w:id="123" w:name="_Toc7705105"/>
            <w:bookmarkStart w:id="124" w:name="_Toc7705576"/>
            <w:bookmarkStart w:id="125" w:name="_Toc7706092"/>
            <w:bookmarkStart w:id="126" w:name="_Toc7779481"/>
            <w:bookmarkStart w:id="127" w:name="_Toc10196743"/>
            <w:bookmarkStart w:id="128" w:name="_Toc10196870"/>
            <w:bookmarkStart w:id="129" w:name="_Toc10619762"/>
            <w:bookmarkStart w:id="130" w:name="_Toc23407232"/>
            <w:bookmarkStart w:id="131" w:name="_Toc26776939"/>
            <w:bookmarkStart w:id="132" w:name="_Toc40943317"/>
            <w:bookmarkStart w:id="133" w:name="_Toc41565613"/>
            <w:bookmarkStart w:id="134" w:name="_Toc41566146"/>
            <w:bookmarkStart w:id="135" w:name="_Toc201690603"/>
            <w:bookmarkStart w:id="136" w:name="_Toc201691326"/>
            <w:bookmarkStart w:id="137" w:name="_Toc203386415"/>
            <w:bookmarkStart w:id="138" w:name="_Toc256000005"/>
            <w:r w:rsidRPr="00A955AF">
              <w:rPr>
                <w:rFonts w:ascii="Calibri" w:hAnsi="Calibri" w:cstheme="minorHAnsi"/>
              </w:rPr>
              <w:t xml:space="preserve">ministr </w:t>
            </w:r>
            <w:r w:rsidRPr="00A955AF">
              <w:rPr>
                <w:rFonts w:ascii="Calibri" w:hAnsi="Calibri" w:cstheme="minorHAnsi"/>
                <w:color w:val="auto"/>
              </w:rPr>
              <w:t>zdravotnictví</w:t>
            </w:r>
            <w:bookmarkEnd w:id="138"/>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tc>
      </w:tr>
      <w:tr w14:paraId="57444446" w14:textId="77777777" w:rsidTr="0D4C4CA9">
        <w:tblPrEx>
          <w:tblW w:w="10294" w:type="dxa"/>
          <w:tblCellMar>
            <w:top w:w="57" w:type="dxa"/>
            <w:left w:w="142" w:type="dxa"/>
            <w:bottom w:w="57" w:type="dxa"/>
            <w:right w:w="142" w:type="dxa"/>
          </w:tblCellMar>
          <w:tblLook w:val="04A0"/>
        </w:tblPrEx>
        <w:trPr>
          <w:trHeight w:val="532"/>
        </w:trPr>
        <w:tc>
          <w:tcPr>
            <w:tcW w:w="3362" w:type="dxa"/>
            <w:shd w:val="clear" w:color="auto" w:fill="EEECE1" w:themeFill="background2"/>
            <w:tcMar>
              <w:left w:w="88" w:type="dxa"/>
            </w:tcMar>
            <w:vAlign w:val="center"/>
          </w:tcPr>
          <w:p w:rsidR="008A5861" w:rsidRPr="00A955AF" w:rsidP="00566505" w14:paraId="37816771" w14:textId="1FBAD13A">
            <w:pPr>
              <w:keepNext/>
              <w:keepLines/>
              <w:tabs>
                <w:tab w:val="left" w:pos="1843"/>
              </w:tabs>
              <w:spacing w:before="80" w:after="80"/>
              <w:jc w:val="left"/>
              <w:outlineLvl w:val="1"/>
              <w:rPr>
                <w:rFonts w:ascii="Calibri" w:hAnsi="Calibri" w:cstheme="minorHAnsi"/>
                <w:b/>
              </w:rPr>
            </w:pPr>
            <w:bookmarkStart w:id="139" w:name="_Toc536610988"/>
            <w:bookmarkStart w:id="140" w:name="_Toc2949808"/>
            <w:bookmarkStart w:id="141" w:name="_Toc2952718"/>
            <w:bookmarkStart w:id="142" w:name="_Toc6830976"/>
            <w:bookmarkStart w:id="143" w:name="_Toc6852164"/>
            <w:bookmarkStart w:id="144" w:name="_Toc7697492"/>
            <w:bookmarkStart w:id="145" w:name="_Toc7698263"/>
            <w:bookmarkStart w:id="146" w:name="_Toc7705107"/>
            <w:bookmarkStart w:id="147" w:name="_Toc7705578"/>
            <w:bookmarkStart w:id="148" w:name="_Toc7706094"/>
            <w:bookmarkStart w:id="149" w:name="_Toc7779483"/>
            <w:bookmarkStart w:id="150" w:name="_Toc10196745"/>
            <w:bookmarkStart w:id="151" w:name="_Toc10196872"/>
            <w:bookmarkStart w:id="152" w:name="_Toc10619764"/>
            <w:bookmarkStart w:id="153" w:name="_Toc23407234"/>
            <w:bookmarkStart w:id="154" w:name="_Toc26776941"/>
            <w:bookmarkStart w:id="155" w:name="_Toc40943319"/>
            <w:bookmarkStart w:id="156" w:name="_Toc41565615"/>
            <w:bookmarkStart w:id="157" w:name="_Toc41566148"/>
            <w:bookmarkStart w:id="158" w:name="_Toc201690604"/>
            <w:bookmarkStart w:id="159" w:name="_Toc201691327"/>
            <w:bookmarkStart w:id="160" w:name="_Toc203386416"/>
            <w:bookmarkStart w:id="161" w:name="_Toc256000006"/>
            <w:r w:rsidRPr="00A955AF">
              <w:rPr>
                <w:rFonts w:ascii="Calibri" w:hAnsi="Calibri" w:cstheme="minorHAnsi"/>
                <w:b/>
              </w:rPr>
              <w:t xml:space="preserve">Rok </w:t>
            </w:r>
            <w:bookmarkEnd w:id="139"/>
            <w:r w:rsidRPr="00A955AF" w:rsidR="00831030">
              <w:rPr>
                <w:rFonts w:ascii="Calibri" w:hAnsi="Calibri" w:cstheme="minorHAnsi"/>
                <w:b/>
              </w:rPr>
              <w:t xml:space="preserve">zpracování </w:t>
            </w:r>
            <w:r w:rsidRPr="00A955AF" w:rsidR="00BA3BCA">
              <w:rPr>
                <w:rFonts w:ascii="Calibri" w:hAnsi="Calibri" w:cstheme="minorHAnsi"/>
                <w:b/>
              </w:rPr>
              <w:t>strategického rámce</w:t>
            </w:r>
            <w:bookmarkEnd w:id="161"/>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tc>
        <w:tc>
          <w:tcPr>
            <w:tcW w:w="6932" w:type="dxa"/>
            <w:tcMar>
              <w:left w:w="88" w:type="dxa"/>
            </w:tcMar>
            <w:vAlign w:val="center"/>
          </w:tcPr>
          <w:p w:rsidR="00A47B4C" w:rsidRPr="00A955AF" w:rsidP="008A5861" w14:paraId="7A6A3370" w14:textId="60D9D16C">
            <w:pPr>
              <w:keepNext/>
              <w:keepLines/>
              <w:tabs>
                <w:tab w:val="left" w:pos="1843"/>
              </w:tabs>
              <w:spacing w:before="0" w:after="120"/>
              <w:ind w:left="357" w:hanging="357"/>
              <w:outlineLvl w:val="1"/>
              <w:rPr>
                <w:rFonts w:ascii="Calibri" w:hAnsi="Calibri" w:cstheme="minorHAnsi"/>
              </w:rPr>
            </w:pPr>
            <w:bookmarkStart w:id="162" w:name="_Toc201690606"/>
            <w:bookmarkStart w:id="163" w:name="_Toc201691329"/>
            <w:bookmarkStart w:id="164" w:name="_Toc203386418"/>
            <w:bookmarkStart w:id="165" w:name="_Toc256000007"/>
            <w:r>
              <w:rPr>
                <w:rFonts w:ascii="Calibri" w:hAnsi="Calibri" w:cstheme="minorHAnsi"/>
              </w:rPr>
              <w:t>2024-2025</w:t>
            </w:r>
            <w:bookmarkEnd w:id="165"/>
            <w:bookmarkEnd w:id="162"/>
            <w:bookmarkEnd w:id="163"/>
            <w:bookmarkEnd w:id="164"/>
          </w:p>
        </w:tc>
      </w:tr>
      <w:tr w14:paraId="72A45BC6" w14:textId="77777777" w:rsidTr="0D4C4CA9">
        <w:tblPrEx>
          <w:tblW w:w="10294" w:type="dxa"/>
          <w:tblCellMar>
            <w:top w:w="57" w:type="dxa"/>
            <w:left w:w="142" w:type="dxa"/>
            <w:bottom w:w="57" w:type="dxa"/>
            <w:right w:w="142" w:type="dxa"/>
          </w:tblCellMar>
          <w:tblLook w:val="04A0"/>
        </w:tblPrEx>
        <w:trPr>
          <w:trHeight w:val="397"/>
        </w:trPr>
        <w:tc>
          <w:tcPr>
            <w:tcW w:w="3362" w:type="dxa"/>
            <w:shd w:val="clear" w:color="auto" w:fill="EEECE1" w:themeFill="background2"/>
            <w:tcMar>
              <w:left w:w="88" w:type="dxa"/>
            </w:tcMar>
            <w:vAlign w:val="center"/>
          </w:tcPr>
          <w:p w:rsidR="008A5861" w:rsidRPr="00A955AF" w:rsidP="008A5861" w14:paraId="70FC238B" w14:textId="5CF96ACC">
            <w:pPr>
              <w:keepNext/>
              <w:keepLines/>
              <w:tabs>
                <w:tab w:val="left" w:pos="1843"/>
              </w:tabs>
              <w:spacing w:before="80" w:after="80"/>
              <w:ind w:left="357" w:hanging="357"/>
              <w:jc w:val="left"/>
              <w:outlineLvl w:val="1"/>
              <w:rPr>
                <w:rFonts w:ascii="Calibri" w:hAnsi="Calibri" w:cstheme="minorHAnsi"/>
                <w:b/>
              </w:rPr>
            </w:pPr>
            <w:bookmarkStart w:id="166" w:name="_Toc536610990"/>
            <w:bookmarkStart w:id="167" w:name="_Toc2949810"/>
            <w:bookmarkStart w:id="168" w:name="_Toc2952720"/>
            <w:bookmarkStart w:id="169" w:name="_Toc6830978"/>
            <w:bookmarkStart w:id="170" w:name="_Toc6852166"/>
            <w:bookmarkStart w:id="171" w:name="_Toc7697494"/>
            <w:bookmarkStart w:id="172" w:name="_Toc7698265"/>
            <w:bookmarkStart w:id="173" w:name="_Toc7705109"/>
            <w:bookmarkStart w:id="174" w:name="_Toc7705580"/>
            <w:bookmarkStart w:id="175" w:name="_Toc7706096"/>
            <w:bookmarkStart w:id="176" w:name="_Toc7779485"/>
            <w:bookmarkStart w:id="177" w:name="_Toc10196747"/>
            <w:bookmarkStart w:id="178" w:name="_Toc10196874"/>
            <w:bookmarkStart w:id="179" w:name="_Toc10619766"/>
            <w:bookmarkStart w:id="180" w:name="_Toc23407236"/>
            <w:bookmarkStart w:id="181" w:name="_Toc26776943"/>
            <w:bookmarkStart w:id="182" w:name="_Toc40943321"/>
            <w:bookmarkStart w:id="183" w:name="_Toc41565617"/>
            <w:bookmarkStart w:id="184" w:name="_Toc41566150"/>
            <w:bookmarkStart w:id="185" w:name="_Toc201690607"/>
            <w:bookmarkStart w:id="186" w:name="_Toc201691330"/>
            <w:bookmarkStart w:id="187" w:name="_Toc203386419"/>
            <w:bookmarkStart w:id="188" w:name="_Toc256000008"/>
            <w:r w:rsidRPr="00A955AF">
              <w:rPr>
                <w:rFonts w:ascii="Calibri" w:hAnsi="Calibri" w:cstheme="minorHAnsi"/>
                <w:b/>
              </w:rPr>
              <w:t xml:space="preserve">Schvalovatel </w:t>
            </w:r>
            <w:r w:rsidRPr="00A955AF" w:rsidR="00BA3BCA">
              <w:rPr>
                <w:rFonts w:ascii="Calibri" w:hAnsi="Calibri" w:cstheme="minorHAnsi"/>
                <w:b/>
              </w:rPr>
              <w:t>strategického rámce</w:t>
            </w:r>
            <w:bookmarkEnd w:id="188"/>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tc>
        <w:tc>
          <w:tcPr>
            <w:tcW w:w="6932" w:type="dxa"/>
            <w:tcMar>
              <w:left w:w="88" w:type="dxa"/>
            </w:tcMar>
            <w:vAlign w:val="center"/>
          </w:tcPr>
          <w:p w:rsidR="008A5861" w:rsidRPr="00A955AF" w:rsidP="008A5861" w14:paraId="13EC7DD7" w14:textId="77777777">
            <w:pPr>
              <w:keepNext/>
              <w:keepLines/>
              <w:tabs>
                <w:tab w:val="left" w:pos="1843"/>
              </w:tabs>
              <w:spacing w:before="0" w:after="120"/>
              <w:ind w:left="357" w:hanging="357"/>
              <w:outlineLvl w:val="1"/>
              <w:rPr>
                <w:rFonts w:ascii="Calibri" w:hAnsi="Calibri" w:cstheme="minorHAnsi"/>
              </w:rPr>
            </w:pPr>
            <w:bookmarkStart w:id="189" w:name="_Toc536610991"/>
            <w:bookmarkStart w:id="190" w:name="_Toc2949811"/>
            <w:bookmarkStart w:id="191" w:name="_Toc2952721"/>
            <w:bookmarkStart w:id="192" w:name="_Toc6830979"/>
            <w:bookmarkStart w:id="193" w:name="_Toc6852167"/>
            <w:bookmarkStart w:id="194" w:name="_Toc7697495"/>
            <w:bookmarkStart w:id="195" w:name="_Toc7698266"/>
            <w:bookmarkStart w:id="196" w:name="_Toc7705110"/>
            <w:bookmarkStart w:id="197" w:name="_Toc7705581"/>
            <w:bookmarkStart w:id="198" w:name="_Toc7706097"/>
            <w:bookmarkStart w:id="199" w:name="_Toc7779486"/>
            <w:bookmarkStart w:id="200" w:name="_Toc10196748"/>
            <w:bookmarkStart w:id="201" w:name="_Toc10196875"/>
            <w:bookmarkStart w:id="202" w:name="_Toc10619767"/>
            <w:bookmarkStart w:id="203" w:name="_Toc23407237"/>
            <w:bookmarkStart w:id="204" w:name="_Toc26776944"/>
            <w:bookmarkStart w:id="205" w:name="_Toc40943322"/>
            <w:bookmarkStart w:id="206" w:name="_Toc41565618"/>
            <w:bookmarkStart w:id="207" w:name="_Toc41566151"/>
            <w:bookmarkStart w:id="208" w:name="_Toc201690608"/>
            <w:bookmarkStart w:id="209" w:name="_Toc201691331"/>
            <w:bookmarkStart w:id="210" w:name="_Toc203386420"/>
            <w:bookmarkStart w:id="211" w:name="_Toc256000009"/>
            <w:r w:rsidRPr="00A955AF">
              <w:rPr>
                <w:rFonts w:ascii="Calibri" w:hAnsi="Calibri" w:cstheme="minorHAnsi"/>
              </w:rPr>
              <w:t>vláda České republiky</w:t>
            </w:r>
            <w:bookmarkEnd w:id="211"/>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tc>
      </w:tr>
      <w:tr w14:paraId="64EA1DB7" w14:textId="77777777" w:rsidTr="0D4C4CA9">
        <w:tblPrEx>
          <w:tblW w:w="10294" w:type="dxa"/>
          <w:tblCellMar>
            <w:top w:w="57" w:type="dxa"/>
            <w:left w:w="142" w:type="dxa"/>
            <w:bottom w:w="57" w:type="dxa"/>
            <w:right w:w="142" w:type="dxa"/>
          </w:tblCellMar>
          <w:tblLook w:val="04A0"/>
        </w:tblPrEx>
        <w:trPr>
          <w:trHeight w:val="397"/>
        </w:trPr>
        <w:tc>
          <w:tcPr>
            <w:tcW w:w="3362" w:type="dxa"/>
            <w:shd w:val="clear" w:color="auto" w:fill="EEECE1" w:themeFill="background2"/>
            <w:tcMar>
              <w:left w:w="88" w:type="dxa"/>
            </w:tcMar>
            <w:vAlign w:val="center"/>
          </w:tcPr>
          <w:p w:rsidR="008A5861" w:rsidRPr="00A955AF" w:rsidP="008A5861" w14:paraId="26619D63" w14:textId="77777777">
            <w:pPr>
              <w:keepNext/>
              <w:keepLines/>
              <w:tabs>
                <w:tab w:val="left" w:pos="1843"/>
              </w:tabs>
              <w:spacing w:before="80" w:after="80"/>
              <w:ind w:left="357" w:hanging="357"/>
              <w:jc w:val="left"/>
              <w:outlineLvl w:val="1"/>
              <w:rPr>
                <w:rFonts w:ascii="Calibri" w:hAnsi="Calibri" w:cstheme="minorHAnsi"/>
                <w:b/>
              </w:rPr>
            </w:pPr>
            <w:bookmarkStart w:id="212" w:name="_Toc536610992"/>
            <w:bookmarkStart w:id="213" w:name="_Toc2949812"/>
            <w:bookmarkStart w:id="214" w:name="_Toc2952722"/>
            <w:bookmarkStart w:id="215" w:name="_Toc6830980"/>
            <w:bookmarkStart w:id="216" w:name="_Toc6852168"/>
            <w:bookmarkStart w:id="217" w:name="_Toc7697496"/>
            <w:bookmarkStart w:id="218" w:name="_Toc7698267"/>
            <w:bookmarkStart w:id="219" w:name="_Toc7705111"/>
            <w:bookmarkStart w:id="220" w:name="_Toc7705582"/>
            <w:bookmarkStart w:id="221" w:name="_Toc7706098"/>
            <w:bookmarkStart w:id="222" w:name="_Toc7779487"/>
            <w:bookmarkStart w:id="223" w:name="_Toc10196749"/>
            <w:bookmarkStart w:id="224" w:name="_Toc10196876"/>
            <w:bookmarkStart w:id="225" w:name="_Toc10619768"/>
            <w:bookmarkStart w:id="226" w:name="_Toc23407238"/>
            <w:bookmarkStart w:id="227" w:name="_Toc26776945"/>
            <w:bookmarkStart w:id="228" w:name="_Toc40943323"/>
            <w:bookmarkStart w:id="229" w:name="_Toc41565619"/>
            <w:bookmarkStart w:id="230" w:name="_Toc41566152"/>
            <w:bookmarkStart w:id="231" w:name="_Toc201690609"/>
            <w:bookmarkStart w:id="232" w:name="_Toc201691332"/>
            <w:bookmarkStart w:id="233" w:name="_Toc203386421"/>
            <w:bookmarkStart w:id="234" w:name="_Toc256000010"/>
            <w:r w:rsidRPr="00A955AF">
              <w:rPr>
                <w:rFonts w:ascii="Calibri" w:hAnsi="Calibri" w:cstheme="minorHAnsi"/>
                <w:b/>
              </w:rPr>
              <w:t>Datum schválení</w:t>
            </w:r>
            <w:bookmarkEnd w:id="234"/>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tc>
        <w:tc>
          <w:tcPr>
            <w:tcW w:w="6932" w:type="dxa"/>
            <w:tcMar>
              <w:left w:w="88" w:type="dxa"/>
            </w:tcMar>
            <w:vAlign w:val="center"/>
          </w:tcPr>
          <w:p w:rsidR="008A5861" w:rsidRPr="0070747B" w:rsidP="008A5861" w14:paraId="09DFAC85" w14:textId="68BF8099">
            <w:pPr>
              <w:keepNext/>
              <w:spacing w:before="0" w:after="120"/>
              <w:rPr>
                <w:rFonts w:ascii="Calibri" w:hAnsi="Calibri" w:cstheme="minorHAnsi"/>
                <w:highlight w:val="yellow"/>
              </w:rPr>
            </w:pPr>
          </w:p>
        </w:tc>
      </w:tr>
      <w:tr w14:paraId="450B185D" w14:textId="77777777" w:rsidTr="0D4C4CA9">
        <w:tblPrEx>
          <w:tblW w:w="10294" w:type="dxa"/>
          <w:tblCellMar>
            <w:top w:w="57" w:type="dxa"/>
            <w:left w:w="142" w:type="dxa"/>
            <w:bottom w:w="57" w:type="dxa"/>
            <w:right w:w="142" w:type="dxa"/>
          </w:tblCellMar>
          <w:tblLook w:val="04A0"/>
        </w:tblPrEx>
        <w:trPr>
          <w:trHeight w:val="397"/>
        </w:trPr>
        <w:tc>
          <w:tcPr>
            <w:tcW w:w="3362" w:type="dxa"/>
            <w:shd w:val="clear" w:color="auto" w:fill="EEECE1" w:themeFill="background2"/>
            <w:tcMar>
              <w:left w:w="88" w:type="dxa"/>
            </w:tcMar>
            <w:vAlign w:val="center"/>
          </w:tcPr>
          <w:p w:rsidR="008A5861" w:rsidRPr="00A955AF" w:rsidP="008A5861" w14:paraId="0482E68D" w14:textId="77777777">
            <w:pPr>
              <w:keepNext/>
              <w:keepLines/>
              <w:tabs>
                <w:tab w:val="left" w:pos="1843"/>
              </w:tabs>
              <w:spacing w:before="80" w:after="80"/>
              <w:ind w:left="357" w:hanging="357"/>
              <w:jc w:val="left"/>
              <w:outlineLvl w:val="1"/>
              <w:rPr>
                <w:rFonts w:ascii="Calibri" w:hAnsi="Calibri" w:cstheme="minorHAnsi"/>
                <w:b/>
              </w:rPr>
            </w:pPr>
            <w:bookmarkStart w:id="235" w:name="_Toc536610993"/>
            <w:bookmarkStart w:id="236" w:name="_Toc2949813"/>
            <w:bookmarkStart w:id="237" w:name="_Toc2952723"/>
            <w:bookmarkStart w:id="238" w:name="_Toc6830981"/>
            <w:bookmarkStart w:id="239" w:name="_Toc6852169"/>
            <w:bookmarkStart w:id="240" w:name="_Toc7697497"/>
            <w:bookmarkStart w:id="241" w:name="_Toc7698268"/>
            <w:bookmarkStart w:id="242" w:name="_Toc7705112"/>
            <w:bookmarkStart w:id="243" w:name="_Toc7705583"/>
            <w:bookmarkStart w:id="244" w:name="_Toc7706099"/>
            <w:bookmarkStart w:id="245" w:name="_Toc7779488"/>
            <w:bookmarkStart w:id="246" w:name="_Toc10196750"/>
            <w:bookmarkStart w:id="247" w:name="_Toc10196877"/>
            <w:bookmarkStart w:id="248" w:name="_Toc10619769"/>
            <w:bookmarkStart w:id="249" w:name="_Toc23407239"/>
            <w:bookmarkStart w:id="250" w:name="_Toc26776946"/>
            <w:bookmarkStart w:id="251" w:name="_Toc40943324"/>
            <w:bookmarkStart w:id="252" w:name="_Toc41565620"/>
            <w:bookmarkStart w:id="253" w:name="_Toc41566153"/>
            <w:bookmarkStart w:id="254" w:name="_Toc201690610"/>
            <w:bookmarkStart w:id="255" w:name="_Toc201691333"/>
            <w:bookmarkStart w:id="256" w:name="_Toc203386422"/>
            <w:bookmarkStart w:id="257" w:name="_Toc256000011"/>
            <w:r w:rsidRPr="00A955AF">
              <w:rPr>
                <w:rFonts w:ascii="Calibri" w:hAnsi="Calibri" w:cstheme="minorHAnsi"/>
                <w:b/>
              </w:rPr>
              <w:t>Forma schválení</w:t>
            </w:r>
            <w:bookmarkEnd w:id="257"/>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tc>
        <w:tc>
          <w:tcPr>
            <w:tcW w:w="6932" w:type="dxa"/>
            <w:tcMar>
              <w:left w:w="88" w:type="dxa"/>
            </w:tcMar>
            <w:vAlign w:val="center"/>
          </w:tcPr>
          <w:p w:rsidR="008A5861" w:rsidRPr="0070747B" w:rsidP="008A5861" w14:paraId="2CD3665F" w14:textId="1BAA2DDB">
            <w:pPr>
              <w:keepNext/>
              <w:keepLines/>
              <w:tabs>
                <w:tab w:val="left" w:pos="1843"/>
              </w:tabs>
              <w:spacing w:before="0" w:after="120"/>
              <w:ind w:left="357" w:hanging="357"/>
              <w:outlineLvl w:val="1"/>
              <w:rPr>
                <w:rFonts w:ascii="Calibri" w:hAnsi="Calibri" w:cstheme="minorHAnsi"/>
                <w:highlight w:val="yellow"/>
              </w:rPr>
            </w:pPr>
            <w:bookmarkStart w:id="258" w:name="_Toc2949814"/>
            <w:bookmarkStart w:id="259" w:name="_Toc2952724"/>
            <w:bookmarkStart w:id="260" w:name="_Toc6830982"/>
            <w:bookmarkStart w:id="261" w:name="_Toc6852170"/>
            <w:bookmarkStart w:id="262" w:name="_Toc7697498"/>
            <w:bookmarkStart w:id="263" w:name="_Toc7698269"/>
            <w:bookmarkStart w:id="264" w:name="_Toc7705113"/>
            <w:bookmarkStart w:id="265" w:name="_Toc7705584"/>
            <w:bookmarkStart w:id="266" w:name="_Toc7706100"/>
            <w:bookmarkStart w:id="267" w:name="_Toc7779489"/>
            <w:bookmarkStart w:id="268" w:name="_Toc10196751"/>
            <w:bookmarkStart w:id="269" w:name="_Toc10196878"/>
            <w:bookmarkStart w:id="270" w:name="_Toc10619770"/>
            <w:bookmarkStart w:id="271" w:name="_Toc23407240"/>
            <w:bookmarkStart w:id="272" w:name="_Toc26776947"/>
            <w:bookmarkStart w:id="273" w:name="_Toc40943325"/>
            <w:bookmarkStart w:id="274" w:name="_Toc41565621"/>
            <w:bookmarkStart w:id="275" w:name="_Toc41566154"/>
            <w:bookmarkStart w:id="276" w:name="_Toc201690611"/>
            <w:bookmarkStart w:id="277" w:name="_Toc201691334"/>
            <w:bookmarkStart w:id="278" w:name="_Toc203386423"/>
            <w:bookmarkStart w:id="279" w:name="_Toc256000012"/>
            <w:r w:rsidRPr="0070747B">
              <w:rPr>
                <w:rFonts w:ascii="Calibri" w:hAnsi="Calibri" w:cstheme="minorHAnsi"/>
                <w:highlight w:val="yellow"/>
              </w:rPr>
              <w:t>usnesení vlády</w:t>
            </w:r>
            <w:r w:rsidRPr="0070747B" w:rsidR="005E3406">
              <w:rPr>
                <w:rFonts w:ascii="Calibri" w:hAnsi="Calibri" w:cstheme="minorHAnsi"/>
                <w:highlight w:val="yellow"/>
              </w:rPr>
              <w:t xml:space="preserve"> České republiky</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rsidRPr="0070747B" w:rsidR="009C46C9">
              <w:rPr>
                <w:rFonts w:ascii="Calibri" w:hAnsi="Calibri" w:cstheme="minorHAnsi"/>
                <w:highlight w:val="yellow"/>
              </w:rPr>
              <w:t xml:space="preserve"> č. </w:t>
            </w:r>
            <w:bookmarkEnd w:id="272"/>
            <w:bookmarkEnd w:id="273"/>
            <w:bookmarkEnd w:id="274"/>
            <w:bookmarkEnd w:id="275"/>
            <w:r w:rsidRPr="0070747B" w:rsidR="00A7241B">
              <w:rPr>
                <w:rFonts w:ascii="Calibri" w:hAnsi="Calibri" w:cstheme="minorHAnsi"/>
                <w:highlight w:val="yellow"/>
              </w:rPr>
              <w:t>743/2020</w:t>
            </w:r>
            <w:bookmarkEnd w:id="279"/>
            <w:bookmarkEnd w:id="276"/>
            <w:bookmarkEnd w:id="277"/>
            <w:bookmarkEnd w:id="278"/>
          </w:p>
        </w:tc>
      </w:tr>
      <w:tr w14:paraId="024720EB" w14:textId="77777777" w:rsidTr="0D4C4CA9">
        <w:tblPrEx>
          <w:tblW w:w="10294" w:type="dxa"/>
          <w:tblCellMar>
            <w:top w:w="57" w:type="dxa"/>
            <w:left w:w="142" w:type="dxa"/>
            <w:bottom w:w="57" w:type="dxa"/>
            <w:right w:w="142" w:type="dxa"/>
          </w:tblCellMar>
          <w:tblLook w:val="04A0"/>
        </w:tblPrEx>
        <w:trPr>
          <w:trHeight w:val="397"/>
        </w:trPr>
        <w:tc>
          <w:tcPr>
            <w:tcW w:w="3362" w:type="dxa"/>
            <w:shd w:val="clear" w:color="auto" w:fill="EEECE1" w:themeFill="background2"/>
            <w:tcMar>
              <w:left w:w="88" w:type="dxa"/>
            </w:tcMar>
            <w:vAlign w:val="center"/>
          </w:tcPr>
          <w:p w:rsidR="008A5861" w:rsidRPr="00A955AF" w:rsidP="008A5861" w14:paraId="55B2770F" w14:textId="77777777">
            <w:pPr>
              <w:keepNext/>
              <w:keepLines/>
              <w:tabs>
                <w:tab w:val="left" w:pos="1843"/>
              </w:tabs>
              <w:spacing w:before="80" w:after="80"/>
              <w:ind w:left="357" w:hanging="357"/>
              <w:jc w:val="left"/>
              <w:outlineLvl w:val="1"/>
              <w:rPr>
                <w:rFonts w:ascii="Calibri" w:hAnsi="Calibri" w:cstheme="minorHAnsi"/>
                <w:b/>
              </w:rPr>
            </w:pPr>
            <w:bookmarkStart w:id="280" w:name="_Toc536610995"/>
            <w:bookmarkStart w:id="281" w:name="_Toc2949815"/>
            <w:bookmarkStart w:id="282" w:name="_Toc2952725"/>
            <w:bookmarkStart w:id="283" w:name="_Toc6830983"/>
            <w:bookmarkStart w:id="284" w:name="_Toc6852171"/>
            <w:bookmarkStart w:id="285" w:name="_Toc7697499"/>
            <w:bookmarkStart w:id="286" w:name="_Toc7698270"/>
            <w:bookmarkStart w:id="287" w:name="_Toc7705114"/>
            <w:bookmarkStart w:id="288" w:name="_Toc7705585"/>
            <w:bookmarkStart w:id="289" w:name="_Toc7706101"/>
            <w:bookmarkStart w:id="290" w:name="_Toc7779490"/>
            <w:bookmarkStart w:id="291" w:name="_Toc10196752"/>
            <w:bookmarkStart w:id="292" w:name="_Toc10196879"/>
            <w:bookmarkStart w:id="293" w:name="_Toc10619771"/>
            <w:bookmarkStart w:id="294" w:name="_Toc23407241"/>
            <w:bookmarkStart w:id="295" w:name="_Toc26776948"/>
            <w:bookmarkStart w:id="296" w:name="_Toc40943326"/>
            <w:bookmarkStart w:id="297" w:name="_Toc41565622"/>
            <w:bookmarkStart w:id="298" w:name="_Toc41566155"/>
            <w:bookmarkStart w:id="299" w:name="_Toc201690612"/>
            <w:bookmarkStart w:id="300" w:name="_Toc201691335"/>
            <w:bookmarkStart w:id="301" w:name="_Toc203386424"/>
            <w:bookmarkStart w:id="302" w:name="_Toc256000013"/>
            <w:r w:rsidRPr="00A955AF">
              <w:rPr>
                <w:rFonts w:ascii="Calibri" w:hAnsi="Calibri" w:cstheme="minorHAnsi"/>
                <w:b/>
              </w:rPr>
              <w:t>Poslední aktualizace</w:t>
            </w:r>
            <w:bookmarkEnd w:id="302"/>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tc>
        <w:tc>
          <w:tcPr>
            <w:tcW w:w="6932" w:type="dxa"/>
            <w:tcMar>
              <w:left w:w="88" w:type="dxa"/>
            </w:tcMar>
            <w:vAlign w:val="center"/>
          </w:tcPr>
          <w:p w:rsidR="00306732" w:rsidRPr="00A955AF" w:rsidP="00A83356" w14:paraId="3A8E5B08" w14:textId="10543244">
            <w:pPr>
              <w:keepNext/>
              <w:tabs>
                <w:tab w:val="left" w:pos="3391"/>
              </w:tabs>
              <w:spacing w:before="0" w:after="120"/>
              <w:rPr>
                <w:rFonts w:ascii="Calibri" w:hAnsi="Calibri" w:cstheme="minorHAnsi"/>
              </w:rPr>
            </w:pPr>
            <w:r>
              <w:rPr>
                <w:rFonts w:ascii="Calibri" w:hAnsi="Calibri" w:cstheme="minorHAnsi"/>
              </w:rPr>
              <w:t>xx. září 2025</w:t>
            </w:r>
          </w:p>
        </w:tc>
      </w:tr>
      <w:tr w14:paraId="26921E6C" w14:textId="77777777" w:rsidTr="0D4C4CA9">
        <w:tblPrEx>
          <w:tblW w:w="10294" w:type="dxa"/>
          <w:tblCellMar>
            <w:top w:w="57" w:type="dxa"/>
            <w:left w:w="142" w:type="dxa"/>
            <w:bottom w:w="57" w:type="dxa"/>
            <w:right w:w="142" w:type="dxa"/>
          </w:tblCellMar>
          <w:tblLook w:val="04A0"/>
        </w:tblPrEx>
        <w:trPr>
          <w:trHeight w:val="397"/>
        </w:trPr>
        <w:tc>
          <w:tcPr>
            <w:tcW w:w="3362" w:type="dxa"/>
            <w:shd w:val="clear" w:color="auto" w:fill="EEECE1" w:themeFill="background2"/>
            <w:tcMar>
              <w:left w:w="88" w:type="dxa"/>
            </w:tcMar>
            <w:vAlign w:val="center"/>
          </w:tcPr>
          <w:p w:rsidR="008A5861" w:rsidRPr="00A955AF" w:rsidP="008A5861" w14:paraId="24BB3343" w14:textId="77777777">
            <w:pPr>
              <w:keepNext/>
              <w:keepLines/>
              <w:tabs>
                <w:tab w:val="left" w:pos="1843"/>
              </w:tabs>
              <w:spacing w:before="80" w:after="80"/>
              <w:ind w:left="357" w:hanging="357"/>
              <w:jc w:val="left"/>
              <w:outlineLvl w:val="1"/>
              <w:rPr>
                <w:rFonts w:ascii="Calibri" w:hAnsi="Calibri" w:cstheme="minorHAnsi"/>
                <w:b/>
              </w:rPr>
            </w:pPr>
            <w:bookmarkStart w:id="303" w:name="_Toc536610998"/>
            <w:bookmarkStart w:id="304" w:name="_Toc2949817"/>
            <w:bookmarkStart w:id="305" w:name="_Toc2952727"/>
            <w:bookmarkStart w:id="306" w:name="_Toc6830985"/>
            <w:bookmarkStart w:id="307" w:name="_Toc6852173"/>
            <w:bookmarkStart w:id="308" w:name="_Toc7697501"/>
            <w:bookmarkStart w:id="309" w:name="_Toc7698272"/>
            <w:bookmarkStart w:id="310" w:name="_Toc7705116"/>
            <w:bookmarkStart w:id="311" w:name="_Toc7705587"/>
            <w:bookmarkStart w:id="312" w:name="_Toc7706103"/>
            <w:bookmarkStart w:id="313" w:name="_Toc7779492"/>
            <w:bookmarkStart w:id="314" w:name="_Toc10196754"/>
            <w:bookmarkStart w:id="315" w:name="_Toc10196881"/>
            <w:bookmarkStart w:id="316" w:name="_Toc10619773"/>
            <w:bookmarkStart w:id="317" w:name="_Toc23407242"/>
            <w:bookmarkStart w:id="318" w:name="_Toc26776949"/>
            <w:bookmarkStart w:id="319" w:name="_Toc40943327"/>
            <w:bookmarkStart w:id="320" w:name="_Toc41565623"/>
            <w:bookmarkStart w:id="321" w:name="_Toc41566156"/>
            <w:bookmarkStart w:id="322" w:name="_Toc201690613"/>
            <w:bookmarkStart w:id="323" w:name="_Toc201691336"/>
            <w:bookmarkStart w:id="324" w:name="_Toc203386425"/>
            <w:bookmarkStart w:id="325" w:name="_Toc256000014"/>
            <w:r w:rsidRPr="00A955AF">
              <w:rPr>
                <w:rFonts w:ascii="Calibri" w:hAnsi="Calibri" w:cstheme="minorHAnsi"/>
                <w:b/>
              </w:rPr>
              <w:t>Doba realizace</w:t>
            </w:r>
            <w:bookmarkEnd w:id="325"/>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tc>
        <w:tc>
          <w:tcPr>
            <w:tcW w:w="6932" w:type="dxa"/>
            <w:tcMar>
              <w:left w:w="88" w:type="dxa"/>
            </w:tcMar>
            <w:vAlign w:val="center"/>
          </w:tcPr>
          <w:p w:rsidR="008A5861" w:rsidRPr="00A955AF" w:rsidP="001124A4" w14:paraId="6DF33701" w14:textId="6AA98742">
            <w:pPr>
              <w:keepNext/>
              <w:spacing w:before="0" w:after="120"/>
              <w:rPr>
                <w:rFonts w:ascii="Calibri" w:hAnsi="Calibri" w:cstheme="minorHAnsi"/>
              </w:rPr>
            </w:pPr>
            <w:r w:rsidRPr="00A955AF">
              <w:rPr>
                <w:rFonts w:ascii="Calibri" w:hAnsi="Calibri" w:cstheme="minorHAnsi"/>
              </w:rPr>
              <w:t>202</w:t>
            </w:r>
            <w:r w:rsidR="00532A19">
              <w:rPr>
                <w:rFonts w:ascii="Calibri" w:hAnsi="Calibri" w:cstheme="minorHAnsi"/>
              </w:rPr>
              <w:t>5</w:t>
            </w:r>
            <w:r w:rsidRPr="00A955AF">
              <w:rPr>
                <w:rFonts w:ascii="Calibri" w:hAnsi="Calibri" w:cstheme="minorHAnsi"/>
              </w:rPr>
              <w:t>–</w:t>
            </w:r>
            <w:r w:rsidRPr="00A955AF" w:rsidR="00A47B4C">
              <w:rPr>
                <w:rFonts w:ascii="Calibri" w:hAnsi="Calibri" w:cstheme="minorHAnsi"/>
              </w:rPr>
              <w:t>203</w:t>
            </w:r>
            <w:r w:rsidR="00A47B4C">
              <w:rPr>
                <w:rFonts w:ascii="Calibri" w:hAnsi="Calibri" w:cstheme="minorHAnsi"/>
              </w:rPr>
              <w:t>5</w:t>
            </w:r>
            <w:r w:rsidRPr="00A955AF" w:rsidR="00A47B4C">
              <w:rPr>
                <w:rFonts w:ascii="Calibri" w:hAnsi="Calibri" w:cstheme="minorHAnsi"/>
              </w:rPr>
              <w:t xml:space="preserve"> </w:t>
            </w:r>
          </w:p>
        </w:tc>
      </w:tr>
      <w:tr w14:paraId="1B856CCF" w14:textId="77777777" w:rsidTr="0D4C4CA9">
        <w:tblPrEx>
          <w:tblW w:w="10294" w:type="dxa"/>
          <w:tblCellMar>
            <w:top w:w="57" w:type="dxa"/>
            <w:left w:w="142" w:type="dxa"/>
            <w:bottom w:w="57" w:type="dxa"/>
            <w:right w:w="142" w:type="dxa"/>
          </w:tblCellMar>
          <w:tblLook w:val="04A0"/>
        </w:tblPrEx>
        <w:trPr>
          <w:trHeight w:val="628"/>
        </w:trPr>
        <w:tc>
          <w:tcPr>
            <w:tcW w:w="3362" w:type="dxa"/>
            <w:shd w:val="clear" w:color="auto" w:fill="EEECE1" w:themeFill="background2"/>
            <w:tcMar>
              <w:left w:w="88" w:type="dxa"/>
            </w:tcMar>
            <w:vAlign w:val="center"/>
          </w:tcPr>
          <w:p w:rsidR="008A5861" w:rsidRPr="00A955AF" w:rsidP="008A5861" w14:paraId="4EA5CEDB" w14:textId="77777777">
            <w:pPr>
              <w:keepNext/>
              <w:keepLines/>
              <w:tabs>
                <w:tab w:val="left" w:pos="1843"/>
              </w:tabs>
              <w:spacing w:before="80" w:after="80"/>
              <w:ind w:left="357" w:hanging="357"/>
              <w:jc w:val="left"/>
              <w:outlineLvl w:val="1"/>
              <w:rPr>
                <w:rFonts w:ascii="Calibri" w:hAnsi="Calibri" w:cstheme="minorHAnsi"/>
                <w:b/>
              </w:rPr>
            </w:pPr>
            <w:bookmarkStart w:id="326" w:name="_Toc536611000"/>
            <w:bookmarkStart w:id="327" w:name="_Toc2949818"/>
            <w:bookmarkStart w:id="328" w:name="_Toc2952728"/>
            <w:bookmarkStart w:id="329" w:name="_Toc6830986"/>
            <w:bookmarkStart w:id="330" w:name="_Toc6852174"/>
            <w:bookmarkStart w:id="331" w:name="_Toc7697502"/>
            <w:bookmarkStart w:id="332" w:name="_Toc7698273"/>
            <w:bookmarkStart w:id="333" w:name="_Toc7705117"/>
            <w:bookmarkStart w:id="334" w:name="_Toc7705588"/>
            <w:bookmarkStart w:id="335" w:name="_Toc7706104"/>
            <w:bookmarkStart w:id="336" w:name="_Toc7779493"/>
            <w:bookmarkStart w:id="337" w:name="_Toc10196755"/>
            <w:bookmarkStart w:id="338" w:name="_Toc10196882"/>
            <w:bookmarkStart w:id="339" w:name="_Toc10619774"/>
            <w:bookmarkStart w:id="340" w:name="_Toc23407243"/>
            <w:bookmarkStart w:id="341" w:name="_Toc26776950"/>
            <w:bookmarkStart w:id="342" w:name="_Toc40943328"/>
            <w:bookmarkStart w:id="343" w:name="_Toc41565624"/>
            <w:bookmarkStart w:id="344" w:name="_Toc41566157"/>
            <w:bookmarkStart w:id="345" w:name="_Toc201690614"/>
            <w:bookmarkStart w:id="346" w:name="_Toc201691337"/>
            <w:bookmarkStart w:id="347" w:name="_Toc203386426"/>
            <w:bookmarkStart w:id="348" w:name="_Toc256000015"/>
            <w:r w:rsidRPr="00A955AF">
              <w:rPr>
                <w:rFonts w:ascii="Calibri" w:hAnsi="Calibri" w:cstheme="minorHAnsi"/>
                <w:b/>
              </w:rPr>
              <w:t>Odpovědnost za implementaci</w:t>
            </w:r>
            <w:bookmarkEnd w:id="348"/>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tc>
        <w:tc>
          <w:tcPr>
            <w:tcW w:w="6932" w:type="dxa"/>
            <w:tcMar>
              <w:left w:w="88" w:type="dxa"/>
            </w:tcMar>
            <w:vAlign w:val="center"/>
          </w:tcPr>
          <w:p w:rsidR="008A5861" w:rsidRPr="00A955AF" w:rsidP="008A5861" w14:paraId="49FD752F" w14:textId="77777777">
            <w:pPr>
              <w:keepNext/>
              <w:keepLines/>
              <w:tabs>
                <w:tab w:val="left" w:pos="1843"/>
              </w:tabs>
              <w:spacing w:before="0" w:after="120"/>
              <w:ind w:left="357" w:hanging="357"/>
              <w:outlineLvl w:val="1"/>
              <w:rPr>
                <w:rFonts w:ascii="Calibri" w:hAnsi="Calibri" w:cstheme="minorHAnsi"/>
              </w:rPr>
            </w:pPr>
            <w:bookmarkStart w:id="349" w:name="_Toc536611001"/>
            <w:bookmarkStart w:id="350" w:name="_Toc2949819"/>
            <w:bookmarkStart w:id="351" w:name="_Toc2952729"/>
            <w:bookmarkStart w:id="352" w:name="_Toc6830987"/>
            <w:bookmarkStart w:id="353" w:name="_Toc6852175"/>
            <w:bookmarkStart w:id="354" w:name="_Toc7697503"/>
            <w:bookmarkStart w:id="355" w:name="_Toc7698274"/>
            <w:bookmarkStart w:id="356" w:name="_Toc7705118"/>
            <w:bookmarkStart w:id="357" w:name="_Toc7705589"/>
            <w:bookmarkStart w:id="358" w:name="_Toc7706105"/>
            <w:bookmarkStart w:id="359" w:name="_Toc7779494"/>
            <w:bookmarkStart w:id="360" w:name="_Toc10196756"/>
            <w:bookmarkStart w:id="361" w:name="_Toc10196883"/>
            <w:bookmarkStart w:id="362" w:name="_Toc10619775"/>
            <w:bookmarkStart w:id="363" w:name="_Toc23407244"/>
            <w:bookmarkStart w:id="364" w:name="_Toc26776951"/>
            <w:bookmarkStart w:id="365" w:name="_Toc40943329"/>
            <w:bookmarkStart w:id="366" w:name="_Toc41565625"/>
            <w:bookmarkStart w:id="367" w:name="_Toc41566158"/>
            <w:bookmarkStart w:id="368" w:name="_Toc201690615"/>
            <w:bookmarkStart w:id="369" w:name="_Toc201691338"/>
            <w:bookmarkStart w:id="370" w:name="_Toc203386427"/>
            <w:bookmarkStart w:id="371" w:name="_Toc256000016"/>
            <w:r w:rsidRPr="00A955AF">
              <w:rPr>
                <w:rFonts w:ascii="Calibri" w:hAnsi="Calibri" w:cstheme="minorHAnsi"/>
              </w:rPr>
              <w:t>Ministerstvo zdravotnictví České republiky</w:t>
            </w:r>
            <w:bookmarkEnd w:id="371"/>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tc>
      </w:tr>
      <w:tr w14:paraId="64AF2A4E" w14:textId="77777777" w:rsidTr="0D4C4CA9">
        <w:tblPrEx>
          <w:tblW w:w="10294" w:type="dxa"/>
          <w:tblCellMar>
            <w:top w:w="57" w:type="dxa"/>
            <w:left w:w="142" w:type="dxa"/>
            <w:bottom w:w="57" w:type="dxa"/>
            <w:right w:w="142" w:type="dxa"/>
          </w:tblCellMar>
          <w:tblLook w:val="04A0"/>
        </w:tblPrEx>
        <w:trPr>
          <w:trHeight w:val="628"/>
        </w:trPr>
        <w:tc>
          <w:tcPr>
            <w:tcW w:w="3362" w:type="dxa"/>
            <w:shd w:val="clear" w:color="auto" w:fill="EEECE1" w:themeFill="background2"/>
            <w:tcMar>
              <w:left w:w="88" w:type="dxa"/>
            </w:tcMar>
            <w:vAlign w:val="center"/>
          </w:tcPr>
          <w:p w:rsidR="001124A4" w:rsidRPr="00A955AF" w:rsidP="00656F49" w14:paraId="68AC07C8" w14:textId="6782EDF2">
            <w:pPr>
              <w:keepNext/>
              <w:keepLines/>
              <w:tabs>
                <w:tab w:val="left" w:pos="1843"/>
              </w:tabs>
              <w:spacing w:before="80" w:after="80"/>
              <w:ind w:left="357" w:hanging="357"/>
              <w:outlineLvl w:val="1"/>
              <w:rPr>
                <w:rFonts w:ascii="Calibri" w:hAnsi="Calibri" w:cstheme="minorHAnsi"/>
                <w:b/>
              </w:rPr>
            </w:pPr>
            <w:bookmarkStart w:id="372" w:name="_Toc2949820"/>
            <w:bookmarkStart w:id="373" w:name="_Toc2952730"/>
            <w:bookmarkStart w:id="374" w:name="_Toc6830988"/>
            <w:bookmarkStart w:id="375" w:name="_Toc6852176"/>
            <w:bookmarkStart w:id="376" w:name="_Toc7697504"/>
            <w:bookmarkStart w:id="377" w:name="_Toc7698275"/>
            <w:bookmarkStart w:id="378" w:name="_Toc7705119"/>
            <w:bookmarkStart w:id="379" w:name="_Toc7705590"/>
            <w:bookmarkStart w:id="380" w:name="_Toc7706106"/>
            <w:bookmarkStart w:id="381" w:name="_Toc7779495"/>
            <w:bookmarkStart w:id="382" w:name="_Toc10196757"/>
            <w:bookmarkStart w:id="383" w:name="_Toc10196884"/>
            <w:bookmarkStart w:id="384" w:name="_Toc10619776"/>
            <w:bookmarkStart w:id="385" w:name="_Toc23407245"/>
            <w:bookmarkStart w:id="386" w:name="_Toc26776952"/>
            <w:bookmarkStart w:id="387" w:name="_Toc40943330"/>
            <w:bookmarkStart w:id="388" w:name="_Toc41565626"/>
            <w:bookmarkStart w:id="389" w:name="_Toc41566159"/>
            <w:bookmarkStart w:id="390" w:name="_Toc201690616"/>
            <w:bookmarkStart w:id="391" w:name="_Toc201691339"/>
            <w:bookmarkStart w:id="392" w:name="_Toc203386428"/>
            <w:bookmarkStart w:id="393" w:name="_Toc256000017"/>
            <w:r w:rsidRPr="00A955AF">
              <w:rPr>
                <w:rFonts w:ascii="Calibri" w:hAnsi="Calibri" w:cstheme="minorHAnsi"/>
                <w:b/>
              </w:rPr>
              <w:t xml:space="preserve">Kontext vzniku </w:t>
            </w:r>
            <w:r w:rsidRPr="00A955AF" w:rsidR="00BA3BCA">
              <w:rPr>
                <w:rFonts w:ascii="Calibri" w:hAnsi="Calibri" w:cstheme="minorHAnsi"/>
                <w:b/>
              </w:rPr>
              <w:t>strategického rámce</w:t>
            </w:r>
            <w:bookmarkEnd w:id="393"/>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tc>
        <w:tc>
          <w:tcPr>
            <w:tcW w:w="6932" w:type="dxa"/>
            <w:tcMar>
              <w:left w:w="88" w:type="dxa"/>
            </w:tcMar>
            <w:vAlign w:val="center"/>
          </w:tcPr>
          <w:p w:rsidR="00A24181" w:rsidRPr="00A955AF" w:rsidP="00656F49" w14:paraId="2AB3618B" w14:textId="554BADB7">
            <w:pPr>
              <w:pStyle w:val="Bntext"/>
              <w:spacing w:before="0" w:line="240" w:lineRule="auto"/>
              <w:ind w:firstLine="0"/>
              <w:rPr>
                <w:lang w:val="cs-CZ"/>
              </w:rPr>
            </w:pPr>
            <w:r w:rsidRPr="00A955AF">
              <w:rPr>
                <w:lang w:val="cs-CZ"/>
              </w:rPr>
              <w:t xml:space="preserve">Oblast zdravotní péče je nedílnou součástí základních strategických vládních dokumentů. </w:t>
            </w:r>
            <w:r w:rsidR="00C53CE3">
              <w:rPr>
                <w:lang w:val="cs-CZ"/>
              </w:rPr>
              <w:t>Strategický</w:t>
            </w:r>
            <w:r w:rsidRPr="00A955AF">
              <w:rPr>
                <w:lang w:val="cs-CZ"/>
              </w:rPr>
              <w:t xml:space="preserve"> </w:t>
            </w:r>
            <w:r w:rsidRPr="00A955AF" w:rsidR="00C53CE3">
              <w:rPr>
                <w:lang w:val="cs-CZ"/>
              </w:rPr>
              <w:t>rám</w:t>
            </w:r>
            <w:r w:rsidR="00C53CE3">
              <w:rPr>
                <w:lang w:val="cs-CZ"/>
              </w:rPr>
              <w:t>ec</w:t>
            </w:r>
            <w:r w:rsidRPr="00A955AF" w:rsidR="00C53CE3">
              <w:rPr>
                <w:lang w:val="cs-CZ"/>
              </w:rPr>
              <w:t xml:space="preserve"> </w:t>
            </w:r>
            <w:r w:rsidRPr="00A955AF">
              <w:rPr>
                <w:lang w:val="cs-CZ"/>
              </w:rPr>
              <w:t>rozvoje péče o zdraví v České republice do roku 2030 (dále jen „</w:t>
            </w:r>
            <w:r w:rsidRPr="00A955AF">
              <w:rPr>
                <w:i/>
                <w:lang w:val="cs-CZ"/>
              </w:rPr>
              <w:t>Strategický rámec Zdraví 2030</w:t>
            </w:r>
            <w:r w:rsidRPr="00A955AF">
              <w:rPr>
                <w:lang w:val="cs-CZ"/>
              </w:rPr>
              <w:t>“)</w:t>
            </w:r>
            <w:r w:rsidRPr="00A955AF" w:rsidR="00B6419C">
              <w:rPr>
                <w:lang w:val="cs-CZ"/>
              </w:rPr>
              <w:t> </w:t>
            </w:r>
            <w:r w:rsidRPr="00A955AF">
              <w:rPr>
                <w:lang w:val="cs-CZ"/>
              </w:rPr>
              <w:t>plynule navazuje na Strategický rámec Česká republika 2030 přijatý vládou ČR</w:t>
            </w:r>
            <w:r>
              <w:rPr>
                <w:rStyle w:val="FootnoteReference"/>
                <w:lang w:val="cs-CZ"/>
              </w:rPr>
              <w:footnoteReference w:id="2"/>
            </w:r>
            <w:r w:rsidRPr="00A955AF">
              <w:rPr>
                <w:lang w:val="cs-CZ"/>
              </w:rPr>
              <w:t>, která svým rozhodnutím také určila základní zastřešující cíl pro</w:t>
            </w:r>
            <w:r w:rsidRPr="00A955AF" w:rsidR="00FC7C81">
              <w:rPr>
                <w:lang w:val="cs-CZ"/>
              </w:rPr>
              <w:t> </w:t>
            </w:r>
            <w:r w:rsidRPr="00A955AF">
              <w:rPr>
                <w:lang w:val="cs-CZ"/>
              </w:rPr>
              <w:t>oblast zdravotnictví „</w:t>
            </w:r>
            <w:r w:rsidRPr="00A955AF">
              <w:rPr>
                <w:i/>
                <w:lang w:val="cs-CZ"/>
              </w:rPr>
              <w:t>Zdraví všech skupin obyvatel se zlepšuje</w:t>
            </w:r>
            <w:r w:rsidRPr="00A955AF">
              <w:rPr>
                <w:lang w:val="cs-CZ"/>
              </w:rPr>
              <w:t>“.</w:t>
            </w:r>
          </w:p>
          <w:p w:rsidR="00592B23" w:rsidRPr="00A955AF" w:rsidP="00656F49" w14:paraId="3EB1DBD3" w14:textId="73800FDE">
            <w:pPr>
              <w:pStyle w:val="Bntext"/>
              <w:spacing w:before="0" w:line="240" w:lineRule="auto"/>
              <w:ind w:firstLine="0"/>
              <w:rPr>
                <w:lang w:val="cs-CZ"/>
              </w:rPr>
            </w:pPr>
            <w:r w:rsidRPr="00A955AF">
              <w:rPr>
                <w:lang w:val="cs-CZ"/>
              </w:rPr>
              <w:t>Strategický rámec Zdraví 2030</w:t>
            </w:r>
            <w:r w:rsidRPr="00A955AF" w:rsidR="004E46CE">
              <w:rPr>
                <w:lang w:val="cs-CZ"/>
              </w:rPr>
              <w:t xml:space="preserve"> také </w:t>
            </w:r>
            <w:r w:rsidRPr="00A955AF" w:rsidR="00E65DD5">
              <w:rPr>
                <w:lang w:val="cs-CZ"/>
              </w:rPr>
              <w:t xml:space="preserve">vychází z dříve formulovaných </w:t>
            </w:r>
            <w:r w:rsidRPr="00A955AF">
              <w:rPr>
                <w:lang w:val="cs-CZ"/>
              </w:rPr>
              <w:t>strategick</w:t>
            </w:r>
            <w:r w:rsidRPr="00A955AF" w:rsidR="00E65DD5">
              <w:rPr>
                <w:lang w:val="cs-CZ"/>
              </w:rPr>
              <w:t>ých</w:t>
            </w:r>
            <w:r w:rsidRPr="00A955AF">
              <w:rPr>
                <w:lang w:val="cs-CZ"/>
              </w:rPr>
              <w:t xml:space="preserve"> materiál</w:t>
            </w:r>
            <w:r w:rsidRPr="00A955AF" w:rsidR="00E65DD5">
              <w:rPr>
                <w:lang w:val="cs-CZ"/>
              </w:rPr>
              <w:t>ů</w:t>
            </w:r>
            <w:r w:rsidRPr="00A955AF">
              <w:rPr>
                <w:lang w:val="cs-CZ"/>
              </w:rPr>
              <w:t xml:space="preserve">, jako jsou </w:t>
            </w:r>
            <w:r w:rsidRPr="00A955AF" w:rsidR="004E46CE">
              <w:rPr>
                <w:lang w:val="cs-CZ"/>
              </w:rPr>
              <w:t>Zdraví 2020</w:t>
            </w:r>
            <w:r w:rsidR="00B106FC">
              <w:rPr>
                <w:lang w:val="cs-CZ"/>
              </w:rPr>
              <w:t xml:space="preserve"> </w:t>
            </w:r>
            <w:r w:rsidR="00B106FC">
              <w:rPr>
                <w:rFonts w:cs="Calibri"/>
                <w:lang w:val="cs-CZ"/>
              </w:rPr>
              <w:t>‒</w:t>
            </w:r>
            <w:r w:rsidRPr="00A955AF" w:rsidR="004E46CE">
              <w:rPr>
                <w:lang w:val="cs-CZ"/>
              </w:rPr>
              <w:t xml:space="preserve"> </w:t>
            </w:r>
            <w:r w:rsidRPr="00A955AF">
              <w:rPr>
                <w:lang w:val="cs-CZ"/>
              </w:rPr>
              <w:t>Národní strategie</w:t>
            </w:r>
            <w:r w:rsidRPr="00A955AF">
              <w:rPr>
                <w:lang w:val="cs-CZ"/>
              </w:rPr>
              <w:t xml:space="preserve"> ochrany </w:t>
            </w:r>
            <w:r w:rsidRPr="00A955AF" w:rsidR="00B6419C">
              <w:rPr>
                <w:lang w:val="cs-CZ"/>
              </w:rPr>
              <w:t>a </w:t>
            </w:r>
            <w:r w:rsidRPr="00A955AF">
              <w:rPr>
                <w:lang w:val="cs-CZ"/>
              </w:rPr>
              <w:t xml:space="preserve">podpory zdraví a prevence nemocí </w:t>
            </w:r>
            <w:r w:rsidRPr="00A955AF" w:rsidR="00E65DD5">
              <w:rPr>
                <w:lang w:val="cs-CZ"/>
              </w:rPr>
              <w:t>s</w:t>
            </w:r>
            <w:r w:rsidRPr="00A955AF" w:rsidR="00FE61B6">
              <w:rPr>
                <w:lang w:val="cs-CZ"/>
              </w:rPr>
              <w:t xml:space="preserve"> příslušn</w:t>
            </w:r>
            <w:r w:rsidRPr="00A955AF" w:rsidR="00E65DD5">
              <w:rPr>
                <w:lang w:val="cs-CZ"/>
              </w:rPr>
              <w:t>ými</w:t>
            </w:r>
            <w:r w:rsidRPr="00A955AF" w:rsidR="00FE61B6">
              <w:rPr>
                <w:lang w:val="cs-CZ"/>
              </w:rPr>
              <w:t xml:space="preserve"> akční</w:t>
            </w:r>
            <w:r w:rsidRPr="00A955AF" w:rsidR="00E65DD5">
              <w:rPr>
                <w:lang w:val="cs-CZ"/>
              </w:rPr>
              <w:t>mi</w:t>
            </w:r>
            <w:r w:rsidRPr="00A955AF" w:rsidR="00FE61B6">
              <w:rPr>
                <w:lang w:val="cs-CZ"/>
              </w:rPr>
              <w:t xml:space="preserve"> plány</w:t>
            </w:r>
            <w:r w:rsidRPr="00A955AF">
              <w:rPr>
                <w:lang w:val="cs-CZ"/>
              </w:rPr>
              <w:t>;</w:t>
            </w:r>
            <w:r w:rsidRPr="00A955AF">
              <w:rPr>
                <w:lang w:val="cs-CZ"/>
              </w:rPr>
              <w:t xml:space="preserve"> </w:t>
            </w:r>
            <w:r w:rsidRPr="00A955AF">
              <w:rPr>
                <w:lang w:val="cs-CZ"/>
              </w:rPr>
              <w:t>Národní strategie elektronického zdravotnictví</w:t>
            </w:r>
            <w:r w:rsidRPr="00A955AF" w:rsidR="00E65DD5">
              <w:rPr>
                <w:lang w:val="cs-CZ"/>
              </w:rPr>
              <w:t xml:space="preserve"> a </w:t>
            </w:r>
            <w:r w:rsidRPr="00A955AF">
              <w:rPr>
                <w:lang w:val="cs-CZ"/>
              </w:rPr>
              <w:t>Strategie reformy psychiatrické péče.</w:t>
            </w:r>
          </w:p>
          <w:p w:rsidR="00A24181" w:rsidRPr="00A955AF" w:rsidP="00656F49" w14:paraId="484B0EAF" w14:textId="5D4E8730">
            <w:pPr>
              <w:pStyle w:val="Bntext"/>
              <w:spacing w:before="0" w:line="240" w:lineRule="auto"/>
              <w:ind w:firstLine="0"/>
              <w:rPr>
                <w:lang w:val="cs-CZ"/>
              </w:rPr>
            </w:pPr>
            <w:r w:rsidRPr="00A955AF">
              <w:rPr>
                <w:lang w:val="cs-CZ"/>
              </w:rPr>
              <w:t>V mezinárodním kontextu byl</w:t>
            </w:r>
            <w:r w:rsidRPr="00A955AF" w:rsidR="00D91E40">
              <w:rPr>
                <w:lang w:val="cs-CZ"/>
              </w:rPr>
              <w:t>a</w:t>
            </w:r>
            <w:r w:rsidRPr="00A955AF">
              <w:rPr>
                <w:lang w:val="cs-CZ"/>
              </w:rPr>
              <w:t xml:space="preserve"> pro tvorbu Strategického rámce Zdraví 2030 výchozím dokumentem především Agenda 2030 pro udržitelný rozvoj, </w:t>
            </w:r>
            <w:r w:rsidRPr="00A955AF" w:rsidR="00B6419C">
              <w:rPr>
                <w:lang w:val="cs-CZ"/>
              </w:rPr>
              <w:t>ze </w:t>
            </w:r>
            <w:r w:rsidRPr="00A955AF">
              <w:rPr>
                <w:lang w:val="cs-CZ"/>
              </w:rPr>
              <w:t xml:space="preserve">které vychází tzv. </w:t>
            </w:r>
            <w:r w:rsidRPr="00A955AF" w:rsidR="00C42F23">
              <w:rPr>
                <w:lang w:val="cs-CZ"/>
              </w:rPr>
              <w:t>SDGs – cíle</w:t>
            </w:r>
            <w:r w:rsidRPr="00A955AF" w:rsidR="002E787D">
              <w:rPr>
                <w:lang w:val="cs-CZ"/>
              </w:rPr>
              <w:t xml:space="preserve"> udržitelného rozvoje OSN</w:t>
            </w:r>
            <w:r w:rsidRPr="00A955AF">
              <w:rPr>
                <w:lang w:val="cs-CZ"/>
              </w:rPr>
              <w:t>. Pro</w:t>
            </w:r>
            <w:r w:rsidRPr="00A955AF" w:rsidR="00FC7C81">
              <w:rPr>
                <w:lang w:val="cs-CZ"/>
              </w:rPr>
              <w:t> </w:t>
            </w:r>
            <w:r w:rsidRPr="00A955AF">
              <w:rPr>
                <w:lang w:val="cs-CZ"/>
              </w:rPr>
              <w:t xml:space="preserve">oblast </w:t>
            </w:r>
            <w:r w:rsidRPr="00A955AF">
              <w:rPr>
                <w:lang w:val="cs-CZ"/>
              </w:rPr>
              <w:t>zdravotnictví je určující SDG 3</w:t>
            </w:r>
            <w:r w:rsidRPr="00A955AF" w:rsidR="00B22B4B">
              <w:rPr>
                <w:rFonts w:asciiTheme="minorHAnsi" w:hAnsiTheme="minorHAnsi" w:cstheme="minorHAnsi"/>
                <w:b/>
                <w:bCs/>
                <w:lang w:val="cs-CZ"/>
              </w:rPr>
              <w:t xml:space="preserve"> </w:t>
            </w:r>
            <w:r w:rsidRPr="00A955AF" w:rsidR="004E46CE">
              <w:rPr>
                <w:rFonts w:asciiTheme="minorHAnsi" w:hAnsiTheme="minorHAnsi" w:cstheme="minorHAnsi"/>
                <w:b/>
                <w:bCs/>
                <w:i/>
                <w:lang w:val="cs-CZ"/>
              </w:rPr>
              <w:t>„Z</w:t>
            </w:r>
            <w:r w:rsidRPr="00A955AF" w:rsidR="00B22B4B">
              <w:rPr>
                <w:rFonts w:asciiTheme="minorHAnsi" w:hAnsiTheme="minorHAnsi" w:cstheme="minorHAnsi"/>
                <w:b/>
                <w:bCs/>
                <w:i/>
                <w:lang w:val="cs-CZ"/>
              </w:rPr>
              <w:t>ajistit zdravý život a zvyšovat jeho kvalitu pro všechny v jakémkoli věku</w:t>
            </w:r>
            <w:r w:rsidRPr="00A955AF" w:rsidR="004E46CE">
              <w:rPr>
                <w:rFonts w:asciiTheme="minorHAnsi" w:hAnsiTheme="minorHAnsi" w:cstheme="minorHAnsi"/>
                <w:b/>
                <w:bCs/>
                <w:lang w:val="cs-CZ"/>
              </w:rPr>
              <w:t>“</w:t>
            </w:r>
            <w:r w:rsidRPr="00A955AF">
              <w:rPr>
                <w:lang w:val="cs-CZ"/>
              </w:rPr>
              <w:t xml:space="preserve">. </w:t>
            </w:r>
          </w:p>
          <w:p w:rsidR="00A47B4C" w:rsidP="0077505D" w14:paraId="2649C282" w14:textId="6820AE9A">
            <w:pPr>
              <w:pStyle w:val="Bntext"/>
              <w:ind w:firstLine="0"/>
              <w:rPr>
                <w:color w:val="auto"/>
                <w:lang w:val="cs-CZ"/>
              </w:rPr>
            </w:pPr>
            <w:r w:rsidRPr="0D4C4CA9">
              <w:rPr>
                <w:lang w:val="cs-CZ"/>
              </w:rPr>
              <w:t>Stra</w:t>
            </w:r>
            <w:r w:rsidRPr="0D4C4CA9" w:rsidR="0DBB3FBA">
              <w:rPr>
                <w:lang w:val="cs-CZ"/>
              </w:rPr>
              <w:t>t</w:t>
            </w:r>
            <w:r w:rsidRPr="0D4C4CA9">
              <w:rPr>
                <w:lang w:val="cs-CZ"/>
              </w:rPr>
              <w:t>egický rámec Zdraví 2030 byl dne 1</w:t>
            </w:r>
            <w:r w:rsidRPr="0D4C4CA9" w:rsidR="5AEAE0D2">
              <w:rPr>
                <w:lang w:val="cs-CZ"/>
              </w:rPr>
              <w:t>8</w:t>
            </w:r>
            <w:r w:rsidRPr="0D4C4CA9">
              <w:rPr>
                <w:lang w:val="cs-CZ"/>
              </w:rPr>
              <w:t xml:space="preserve">. listopadu 2019 schválen vládou ČR. </w:t>
            </w:r>
            <w:r w:rsidRPr="0D4C4CA9" w:rsidR="2B219D1D">
              <w:rPr>
                <w:lang w:val="cs-CZ"/>
              </w:rPr>
              <w:t xml:space="preserve"> V souvislosti s pandemií Covid-19 byl Strategický rámec aktualizován a</w:t>
            </w:r>
            <w:r w:rsidR="005D4D73">
              <w:rPr>
                <w:lang w:val="cs-CZ"/>
              </w:rPr>
              <w:t> </w:t>
            </w:r>
            <w:r w:rsidRPr="0D4C4CA9" w:rsidR="2B219D1D">
              <w:rPr>
                <w:lang w:val="cs-CZ"/>
              </w:rPr>
              <w:t xml:space="preserve">dne </w:t>
            </w:r>
            <w:r w:rsidRPr="0D4C4CA9" w:rsidR="2B219D1D">
              <w:rPr>
                <w:color w:val="auto"/>
                <w:lang w:val="cs-CZ"/>
              </w:rPr>
              <w:t xml:space="preserve">13. července 2020 schválen usnesením vlády č. 743/20. V rámci této aktualizace došlo k úpravě aktivit tak, aby byl kladen větší důraz na ochranu veřejného zdraví.  </w:t>
            </w:r>
          </w:p>
          <w:p w:rsidR="001079F9" w:rsidRPr="00A955AF" w:rsidP="00656F49" w14:paraId="027F3209" w14:textId="33925B31">
            <w:pPr>
              <w:pStyle w:val="Bntext"/>
              <w:spacing w:before="0" w:line="240" w:lineRule="auto"/>
              <w:ind w:firstLine="0"/>
              <w:rPr>
                <w:lang w:val="cs-CZ"/>
              </w:rPr>
            </w:pPr>
            <w:r w:rsidRPr="008D30D8">
              <w:rPr>
                <w:color w:val="auto"/>
                <w:lang w:val="cs-CZ"/>
              </w:rPr>
              <w:t xml:space="preserve">Na základě </w:t>
            </w:r>
            <w:r w:rsidR="00D13826">
              <w:rPr>
                <w:color w:val="auto"/>
                <w:lang w:val="cs-CZ"/>
              </w:rPr>
              <w:t xml:space="preserve"> </w:t>
            </w:r>
            <w:bookmarkStart w:id="394" w:name="_Hlk207641176"/>
            <w:r w:rsidR="00F35DA3">
              <w:rPr>
                <w:color w:val="auto"/>
                <w:lang w:val="cs-CZ"/>
              </w:rPr>
              <w:t>Zprávy  realizaci Zdraví 2030 v letech 2023-2024</w:t>
            </w:r>
            <w:bookmarkEnd w:id="394"/>
            <w:r w:rsidRPr="008D30D8">
              <w:rPr>
                <w:color w:val="auto"/>
                <w:lang w:val="cs-CZ"/>
              </w:rPr>
              <w:t xml:space="preserve"> a s ohledem na aktuální dění bylo přistoupeno k aktualizaci Strategického rámce Zdraví 2030</w:t>
            </w:r>
            <w:r>
              <w:rPr>
                <w:color w:val="auto"/>
                <w:lang w:val="cs-CZ"/>
              </w:rPr>
              <w:t xml:space="preserve"> a jeho prolongaci do roku 2035</w:t>
            </w:r>
            <w:r w:rsidRPr="008D30D8">
              <w:rPr>
                <w:color w:val="auto"/>
                <w:lang w:val="cs-CZ"/>
              </w:rPr>
              <w:t xml:space="preserve">. </w:t>
            </w:r>
            <w:r>
              <w:rPr>
                <w:color w:val="auto"/>
                <w:lang w:val="cs-CZ"/>
              </w:rPr>
              <w:t>Navrhované úpravy</w:t>
            </w:r>
            <w:r w:rsidRPr="008D30D8">
              <w:rPr>
                <w:color w:val="auto"/>
                <w:lang w:val="cs-CZ"/>
              </w:rPr>
              <w:t xml:space="preserve"> </w:t>
            </w:r>
            <w:r w:rsidRPr="008D30D8" w:rsidR="00C53CE3">
              <w:rPr>
                <w:color w:val="auto"/>
                <w:lang w:val="cs-CZ"/>
              </w:rPr>
              <w:t>neovliv</w:t>
            </w:r>
            <w:r w:rsidR="00C53CE3">
              <w:rPr>
                <w:color w:val="auto"/>
                <w:lang w:val="cs-CZ"/>
              </w:rPr>
              <w:t>ňují</w:t>
            </w:r>
            <w:r w:rsidRPr="008D30D8" w:rsidR="00C53CE3">
              <w:rPr>
                <w:color w:val="auto"/>
                <w:lang w:val="cs-CZ"/>
              </w:rPr>
              <w:t xml:space="preserve"> </w:t>
            </w:r>
            <w:r w:rsidRPr="008D30D8">
              <w:rPr>
                <w:color w:val="auto"/>
                <w:lang w:val="cs-CZ"/>
              </w:rPr>
              <w:t>jeho základní směřování ani soulad se Strategi</w:t>
            </w:r>
            <w:r>
              <w:rPr>
                <w:color w:val="auto"/>
                <w:lang w:val="cs-CZ"/>
              </w:rPr>
              <w:t>c</w:t>
            </w:r>
            <w:r w:rsidRPr="008D30D8">
              <w:rPr>
                <w:color w:val="auto"/>
                <w:lang w:val="cs-CZ"/>
              </w:rPr>
              <w:t>kým rámcem ČR 2030</w:t>
            </w:r>
            <w:r>
              <w:rPr>
                <w:color w:val="auto"/>
                <w:lang w:val="cs-CZ"/>
              </w:rPr>
              <w:t xml:space="preserve">, naopak jsou přidány nové priority a cíle </w:t>
            </w:r>
            <w:r w:rsidRPr="006F0F53">
              <w:rPr>
                <w:color w:val="auto"/>
                <w:lang w:val="cs-CZ"/>
              </w:rPr>
              <w:t>tak, aby bylo možné pokrýt i další oblasti, které prozatím nejsou ve Zdraví 2030 nijak ošetřeny</w:t>
            </w:r>
            <w:r w:rsidRPr="008D30D8">
              <w:rPr>
                <w:color w:val="auto"/>
                <w:lang w:val="cs-CZ"/>
              </w:rPr>
              <w:t>.</w:t>
            </w:r>
            <w:r>
              <w:rPr>
                <w:rStyle w:val="FootnoteReference"/>
                <w:lang w:val="cs-CZ"/>
              </w:rPr>
              <w:footnoteReference w:id="3"/>
            </w:r>
            <w:r>
              <w:rPr>
                <w:color w:val="auto"/>
                <w:lang w:val="cs-CZ"/>
              </w:rPr>
              <w:t xml:space="preserve"> </w:t>
            </w:r>
          </w:p>
        </w:tc>
      </w:tr>
      <w:tr w14:paraId="76CCB39B" w14:textId="77777777" w:rsidTr="0D4C4CA9">
        <w:tblPrEx>
          <w:tblW w:w="10294" w:type="dxa"/>
          <w:tblCellMar>
            <w:top w:w="57" w:type="dxa"/>
            <w:left w:w="142" w:type="dxa"/>
            <w:bottom w:w="57" w:type="dxa"/>
            <w:right w:w="142" w:type="dxa"/>
          </w:tblCellMar>
          <w:tblLook w:val="04A0"/>
        </w:tblPrEx>
        <w:trPr>
          <w:trHeight w:val="397"/>
        </w:trPr>
        <w:tc>
          <w:tcPr>
            <w:tcW w:w="3362" w:type="dxa"/>
            <w:shd w:val="clear" w:color="auto" w:fill="EEECE1" w:themeFill="background2"/>
            <w:tcMar>
              <w:left w:w="88" w:type="dxa"/>
            </w:tcMar>
            <w:vAlign w:val="center"/>
          </w:tcPr>
          <w:p w:rsidR="008A5861" w:rsidRPr="00A955AF" w:rsidP="00656F49" w14:paraId="2EF6E488" w14:textId="77777777">
            <w:pPr>
              <w:keepNext/>
              <w:keepLines/>
              <w:tabs>
                <w:tab w:val="left" w:pos="1843"/>
              </w:tabs>
              <w:spacing w:after="120"/>
              <w:outlineLvl w:val="1"/>
              <w:rPr>
                <w:rFonts w:ascii="Calibri" w:hAnsi="Calibri" w:cstheme="minorHAnsi"/>
                <w:b/>
              </w:rPr>
            </w:pPr>
            <w:bookmarkStart w:id="395" w:name="_Toc2949821"/>
            <w:bookmarkStart w:id="396" w:name="_Toc2952731"/>
            <w:bookmarkStart w:id="397" w:name="_Toc6830989"/>
            <w:bookmarkStart w:id="398" w:name="_Toc6852177"/>
            <w:bookmarkStart w:id="399" w:name="_Toc7697505"/>
            <w:bookmarkStart w:id="400" w:name="_Toc7698276"/>
            <w:bookmarkStart w:id="401" w:name="_Toc7705120"/>
            <w:bookmarkStart w:id="402" w:name="_Toc7705591"/>
            <w:bookmarkStart w:id="403" w:name="_Toc7706107"/>
            <w:bookmarkStart w:id="404" w:name="_Toc7779496"/>
            <w:bookmarkStart w:id="405" w:name="_Toc10196758"/>
            <w:bookmarkStart w:id="406" w:name="_Toc10196885"/>
            <w:bookmarkStart w:id="407" w:name="_Toc10619777"/>
            <w:bookmarkStart w:id="408" w:name="_Toc23407246"/>
            <w:bookmarkStart w:id="409" w:name="_Toc26776953"/>
            <w:bookmarkStart w:id="410" w:name="_Toc40943331"/>
            <w:bookmarkStart w:id="411" w:name="_Toc41565627"/>
            <w:bookmarkStart w:id="412" w:name="_Toc41566160"/>
            <w:bookmarkStart w:id="413" w:name="_Toc201690617"/>
            <w:bookmarkStart w:id="414" w:name="_Toc201691340"/>
            <w:bookmarkStart w:id="415" w:name="_Toc203386429"/>
            <w:bookmarkStart w:id="416" w:name="_Toc256000018"/>
            <w:r w:rsidRPr="00A955AF">
              <w:rPr>
                <w:rFonts w:ascii="Calibri" w:hAnsi="Calibri" w:cstheme="minorHAnsi"/>
                <w:b/>
              </w:rPr>
              <w:t>Stručný popis řešené problematiky a obsahu strategického rámce</w:t>
            </w:r>
            <w:bookmarkEnd w:id="416"/>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tc>
        <w:tc>
          <w:tcPr>
            <w:tcW w:w="6932" w:type="dxa"/>
            <w:tcMar>
              <w:left w:w="88" w:type="dxa"/>
            </w:tcMar>
            <w:vAlign w:val="center"/>
          </w:tcPr>
          <w:p w:rsidR="00B4440E" w:rsidRPr="00A955AF" w:rsidP="00656F49" w14:paraId="50A9F8FE" w14:textId="32AE0C0F">
            <w:pPr>
              <w:pStyle w:val="Bntext"/>
              <w:ind w:firstLine="0"/>
              <w:rPr>
                <w:lang w:val="cs-CZ"/>
              </w:rPr>
            </w:pPr>
            <w:bookmarkStart w:id="417" w:name="_Toc536611003"/>
            <w:r w:rsidRPr="00A955AF">
              <w:rPr>
                <w:lang w:val="cs-CZ"/>
              </w:rPr>
              <w:t xml:space="preserve">Strategický rámec </w:t>
            </w:r>
            <w:r w:rsidRPr="00A955AF" w:rsidR="00DA492E">
              <w:rPr>
                <w:lang w:val="cs-CZ"/>
              </w:rPr>
              <w:t xml:space="preserve">Zdraví </w:t>
            </w:r>
            <w:r w:rsidRPr="00A955AF" w:rsidR="00A47B4C">
              <w:rPr>
                <w:lang w:val="cs-CZ"/>
              </w:rPr>
              <w:t>203</w:t>
            </w:r>
            <w:r w:rsidR="00A47B4C">
              <w:rPr>
                <w:lang w:val="cs-CZ"/>
              </w:rPr>
              <w:t>5</w:t>
            </w:r>
            <w:r w:rsidRPr="00A955AF" w:rsidR="00A47B4C">
              <w:rPr>
                <w:lang w:val="cs-CZ"/>
              </w:rPr>
              <w:t xml:space="preserve"> </w:t>
            </w:r>
            <w:r w:rsidRPr="00A955AF">
              <w:rPr>
                <w:lang w:val="cs-CZ"/>
              </w:rPr>
              <w:t xml:space="preserve">je koncepčním materiálem s meziresortním přesahem, který </w:t>
            </w:r>
            <w:r w:rsidRPr="00A955AF" w:rsidR="001227E4">
              <w:rPr>
                <w:lang w:val="cs-CZ"/>
              </w:rPr>
              <w:t>udává směr</w:t>
            </w:r>
            <w:r w:rsidRPr="00A955AF">
              <w:rPr>
                <w:lang w:val="cs-CZ"/>
              </w:rPr>
              <w:t xml:space="preserve"> rozvoj</w:t>
            </w:r>
            <w:r w:rsidRPr="00A955AF" w:rsidR="001227E4">
              <w:rPr>
                <w:lang w:val="cs-CZ"/>
              </w:rPr>
              <w:t>e</w:t>
            </w:r>
            <w:r w:rsidRPr="00A955AF">
              <w:rPr>
                <w:lang w:val="cs-CZ"/>
              </w:rPr>
              <w:t xml:space="preserve"> </w:t>
            </w:r>
            <w:r w:rsidRPr="00A955AF" w:rsidR="001227E4">
              <w:rPr>
                <w:lang w:val="cs-CZ"/>
              </w:rPr>
              <w:t>péče o zdraví občanů</w:t>
            </w:r>
            <w:r w:rsidRPr="00A955AF">
              <w:rPr>
                <w:lang w:val="cs-CZ"/>
              </w:rPr>
              <w:t xml:space="preserve"> České republiky v příštím desetiletí</w:t>
            </w:r>
            <w:r w:rsidRPr="00A955AF" w:rsidR="001227E4">
              <w:rPr>
                <w:lang w:val="cs-CZ"/>
              </w:rPr>
              <w:t>.</w:t>
            </w:r>
            <w:r w:rsidRPr="00A955AF">
              <w:rPr>
                <w:lang w:val="cs-CZ"/>
              </w:rPr>
              <w:t xml:space="preserve"> </w:t>
            </w:r>
          </w:p>
          <w:p w:rsidR="00B4440E" w:rsidRPr="00A955AF" w:rsidP="0D4C4CA9" w14:paraId="23C1FBF8" w14:textId="060558A8">
            <w:pPr>
              <w:pStyle w:val="Bntext"/>
              <w:ind w:firstLine="0"/>
              <w:rPr>
                <w:lang w:val="cs-CZ"/>
              </w:rPr>
            </w:pPr>
            <w:r w:rsidRPr="0D4C4CA9">
              <w:rPr>
                <w:lang w:val="cs-CZ"/>
              </w:rPr>
              <w:t xml:space="preserve">Strategický rámec Zdraví </w:t>
            </w:r>
            <w:r w:rsidRPr="0D4C4CA9" w:rsidR="2B219D1D">
              <w:rPr>
                <w:lang w:val="cs-CZ"/>
              </w:rPr>
              <w:t xml:space="preserve">2035 </w:t>
            </w:r>
            <w:r w:rsidRPr="0D4C4CA9">
              <w:rPr>
                <w:lang w:val="cs-CZ"/>
              </w:rPr>
              <w:t xml:space="preserve">soustřeďuje </w:t>
            </w:r>
            <w:r w:rsidRPr="0D4C4CA9" w:rsidR="63AF5010">
              <w:rPr>
                <w:lang w:val="cs-CZ"/>
              </w:rPr>
              <w:t xml:space="preserve">specifické cíle </w:t>
            </w:r>
            <w:r w:rsidRPr="0D4C4CA9">
              <w:rPr>
                <w:lang w:val="cs-CZ"/>
              </w:rPr>
              <w:t xml:space="preserve">Strategického rámce Česká republika 2030 do </w:t>
            </w:r>
            <w:r w:rsidRPr="0D4C4CA9" w:rsidR="464CC228">
              <w:rPr>
                <w:lang w:val="cs-CZ"/>
              </w:rPr>
              <w:t>t</w:t>
            </w:r>
            <w:r w:rsidRPr="0D4C4CA9" w:rsidR="3AA36DAD">
              <w:rPr>
                <w:lang w:val="cs-CZ"/>
              </w:rPr>
              <w:t>ří</w:t>
            </w:r>
            <w:r w:rsidRPr="0D4C4CA9" w:rsidR="464CC228">
              <w:rPr>
                <w:lang w:val="cs-CZ"/>
              </w:rPr>
              <w:t xml:space="preserve"> </w:t>
            </w:r>
            <w:r w:rsidRPr="0D4C4CA9" w:rsidR="63AF5010">
              <w:rPr>
                <w:lang w:val="cs-CZ"/>
              </w:rPr>
              <w:t>s</w:t>
            </w:r>
            <w:r w:rsidRPr="0D4C4CA9">
              <w:rPr>
                <w:lang w:val="cs-CZ"/>
              </w:rPr>
              <w:t>trategických cílů</w:t>
            </w:r>
            <w:r w:rsidRPr="0D4C4CA9" w:rsidR="464CC228">
              <w:rPr>
                <w:lang w:val="cs-CZ"/>
              </w:rPr>
              <w:t>:</w:t>
            </w:r>
            <w:r w:rsidRPr="0D4C4CA9">
              <w:rPr>
                <w:lang w:val="cs-CZ"/>
              </w:rPr>
              <w:t xml:space="preserve"> 1) </w:t>
            </w:r>
            <w:r w:rsidRPr="0D4C4CA9" w:rsidR="265632CA">
              <w:rPr>
                <w:lang w:val="cs-CZ"/>
              </w:rPr>
              <w:t>Ochrana a zlepšení zdraví obyvatel</w:t>
            </w:r>
            <w:r w:rsidRPr="0D4C4CA9">
              <w:rPr>
                <w:lang w:val="cs-CZ"/>
              </w:rPr>
              <w:t xml:space="preserve">, 2) Optimalizace zdravotnického systému, 3) Podpora vědy a výzkumu. Tyto strategické cíle se pak </w:t>
            </w:r>
            <w:r w:rsidRPr="0D4C4CA9" w:rsidR="464CC228">
              <w:rPr>
                <w:lang w:val="cs-CZ"/>
              </w:rPr>
              <w:t xml:space="preserve">člení </w:t>
            </w:r>
            <w:r w:rsidRPr="0D4C4CA9">
              <w:rPr>
                <w:lang w:val="cs-CZ"/>
              </w:rPr>
              <w:t xml:space="preserve">na </w:t>
            </w:r>
            <w:r w:rsidRPr="0D4C4CA9" w:rsidR="2B219D1D">
              <w:rPr>
                <w:lang w:val="cs-CZ"/>
              </w:rPr>
              <w:t>specifické cíle</w:t>
            </w:r>
            <w:r w:rsidRPr="0D4C4CA9" w:rsidR="62EC16D1">
              <w:rPr>
                <w:lang w:val="cs-CZ"/>
              </w:rPr>
              <w:t>,</w:t>
            </w:r>
            <w:r w:rsidRPr="0D4C4CA9" w:rsidR="5ED08700">
              <w:rPr>
                <w:lang w:val="cs-CZ"/>
              </w:rPr>
              <w:t xml:space="preserve"> </w:t>
            </w:r>
            <w:r w:rsidRPr="0D4C4CA9">
              <w:rPr>
                <w:lang w:val="cs-CZ"/>
              </w:rPr>
              <w:t xml:space="preserve">které </w:t>
            </w:r>
            <w:r w:rsidRPr="0D4C4CA9" w:rsidR="4E09CE48">
              <w:rPr>
                <w:lang w:val="cs-CZ"/>
              </w:rPr>
              <w:t>jsou</w:t>
            </w:r>
            <w:r w:rsidRPr="0D4C4CA9" w:rsidR="2B219D1D">
              <w:rPr>
                <w:lang w:val="cs-CZ"/>
              </w:rPr>
              <w:t xml:space="preserve"> </w:t>
            </w:r>
            <w:r w:rsidRPr="0D4C4CA9" w:rsidR="63AF5010">
              <w:rPr>
                <w:lang w:val="cs-CZ"/>
              </w:rPr>
              <w:t xml:space="preserve">realizovány </w:t>
            </w:r>
            <w:r w:rsidRPr="0D4C4CA9" w:rsidR="088EE536">
              <w:rPr>
                <w:lang w:val="cs-CZ"/>
              </w:rPr>
              <w:t xml:space="preserve">především </w:t>
            </w:r>
            <w:r w:rsidRPr="0D4C4CA9" w:rsidR="63AF5010">
              <w:rPr>
                <w:lang w:val="cs-CZ"/>
              </w:rPr>
              <w:t>p</w:t>
            </w:r>
            <w:r w:rsidRPr="0D4C4CA9" w:rsidR="5D95E880">
              <w:rPr>
                <w:lang w:val="cs-CZ"/>
              </w:rPr>
              <w:t>rostřednictvím</w:t>
            </w:r>
            <w:r w:rsidRPr="0D4C4CA9" w:rsidR="464CC228">
              <w:rPr>
                <w:lang w:val="cs-CZ"/>
              </w:rPr>
              <w:t xml:space="preserve"> </w:t>
            </w:r>
            <w:r w:rsidRPr="0D4C4CA9">
              <w:rPr>
                <w:lang w:val="cs-CZ"/>
              </w:rPr>
              <w:t>nav</w:t>
            </w:r>
            <w:r w:rsidRPr="0D4C4CA9" w:rsidR="63C1204A">
              <w:rPr>
                <w:lang w:val="cs-CZ"/>
              </w:rPr>
              <w:t>azujících implementačních plánů.</w:t>
            </w:r>
            <w:r w:rsidRPr="0D4C4CA9" w:rsidR="2B219D1D">
              <w:rPr>
                <w:lang w:val="cs-CZ"/>
              </w:rPr>
              <w:t xml:space="preserve"> Tyto mohou být doplněny dílčími strategiemi, koncepcemi, akčními plány atp. </w:t>
            </w:r>
          </w:p>
          <w:p w:rsidR="008A5861" w:rsidRPr="00A955AF" w:rsidP="00FC7C81" w14:paraId="63EC2ECF" w14:textId="499464E0">
            <w:pPr>
              <w:pStyle w:val="Bntext"/>
              <w:ind w:firstLine="0"/>
              <w:rPr>
                <w:bCs/>
                <w:lang w:val="cs-CZ"/>
              </w:rPr>
            </w:pPr>
            <w:r w:rsidRPr="00A955AF">
              <w:rPr>
                <w:bCs/>
                <w:lang w:val="cs-CZ"/>
              </w:rPr>
              <w:t xml:space="preserve">Strategický rámec Zdraví </w:t>
            </w:r>
            <w:r w:rsidRPr="00A955AF" w:rsidR="00A47B4C">
              <w:rPr>
                <w:bCs/>
                <w:lang w:val="cs-CZ"/>
              </w:rPr>
              <w:t>203</w:t>
            </w:r>
            <w:r w:rsidR="00A47B4C">
              <w:rPr>
                <w:bCs/>
                <w:lang w:val="cs-CZ"/>
              </w:rPr>
              <w:t>5</w:t>
            </w:r>
            <w:r w:rsidRPr="00A955AF" w:rsidR="00A47B4C">
              <w:rPr>
                <w:bCs/>
                <w:lang w:val="cs-CZ"/>
              </w:rPr>
              <w:t xml:space="preserve"> </w:t>
            </w:r>
            <w:r w:rsidRPr="00A955AF">
              <w:rPr>
                <w:bCs/>
                <w:lang w:val="cs-CZ"/>
              </w:rPr>
              <w:t xml:space="preserve">je rozčleněn do </w:t>
            </w:r>
            <w:r w:rsidR="00B106FC">
              <w:rPr>
                <w:bCs/>
                <w:lang w:val="cs-CZ"/>
              </w:rPr>
              <w:t>čtyř</w:t>
            </w:r>
            <w:r w:rsidRPr="00A955AF" w:rsidR="00B106FC">
              <w:rPr>
                <w:bCs/>
                <w:lang w:val="cs-CZ"/>
              </w:rPr>
              <w:t xml:space="preserve"> </w:t>
            </w:r>
            <w:r w:rsidRPr="00A955AF">
              <w:rPr>
                <w:bCs/>
                <w:lang w:val="cs-CZ"/>
              </w:rPr>
              <w:t>základních částí, přičemž první obecně a kontextově uvádí dokument</w:t>
            </w:r>
            <w:r w:rsidR="0077505D">
              <w:rPr>
                <w:bCs/>
                <w:lang w:val="cs-CZ"/>
              </w:rPr>
              <w:t>,</w:t>
            </w:r>
            <w:r w:rsidRPr="00A955AF" w:rsidR="00B365D6">
              <w:rPr>
                <w:bCs/>
                <w:lang w:val="cs-CZ"/>
              </w:rPr>
              <w:t xml:space="preserve"> jeho vize a cíle</w:t>
            </w:r>
            <w:r w:rsidRPr="00A955AF">
              <w:rPr>
                <w:bCs/>
                <w:lang w:val="cs-CZ"/>
              </w:rPr>
              <w:t>, následuje analytická část</w:t>
            </w:r>
            <w:r w:rsidRPr="00A955AF" w:rsidR="0003735F">
              <w:rPr>
                <w:lang w:val="cs-CZ"/>
              </w:rPr>
              <w:t xml:space="preserve"> </w:t>
            </w:r>
            <w:r w:rsidRPr="00A955AF" w:rsidR="00717F3C">
              <w:rPr>
                <w:bCs/>
                <w:lang w:val="cs-CZ"/>
              </w:rPr>
              <w:t>zpracovaná s cílem popsat hlavní faktory určující stav a</w:t>
            </w:r>
            <w:r w:rsidRPr="00A955AF" w:rsidR="00FC7C81">
              <w:rPr>
                <w:bCs/>
                <w:lang w:val="cs-CZ"/>
              </w:rPr>
              <w:t> </w:t>
            </w:r>
            <w:r w:rsidRPr="00A955AF" w:rsidR="00717F3C">
              <w:rPr>
                <w:bCs/>
                <w:lang w:val="cs-CZ"/>
              </w:rPr>
              <w:t>budoucí vývoj nemocnosti české populace, silná a slabá místa zdravotnického systému a hlavní závěry vyplývající z relevantních mezinárodních doporučení</w:t>
            </w:r>
            <w:r w:rsidRPr="00A955AF" w:rsidR="004B6E13">
              <w:rPr>
                <w:bCs/>
                <w:lang w:val="cs-CZ"/>
              </w:rPr>
              <w:t xml:space="preserve">. Následuje </w:t>
            </w:r>
            <w:r w:rsidRPr="00A955AF">
              <w:rPr>
                <w:bCs/>
                <w:lang w:val="cs-CZ"/>
              </w:rPr>
              <w:t xml:space="preserve">návrhová část, která </w:t>
            </w:r>
            <w:r w:rsidRPr="00A955AF" w:rsidR="00067D70">
              <w:rPr>
                <w:bCs/>
                <w:lang w:val="cs-CZ"/>
              </w:rPr>
              <w:t>obecně vysvětluje</w:t>
            </w:r>
            <w:r w:rsidRPr="00A955AF">
              <w:rPr>
                <w:bCs/>
                <w:lang w:val="cs-CZ"/>
              </w:rPr>
              <w:t xml:space="preserve"> návaznost Strategického rámce Zdraví </w:t>
            </w:r>
            <w:r w:rsidRPr="00A955AF" w:rsidR="00A47B4C">
              <w:rPr>
                <w:bCs/>
                <w:lang w:val="cs-CZ"/>
              </w:rPr>
              <w:t>203</w:t>
            </w:r>
            <w:r w:rsidR="00A47B4C">
              <w:rPr>
                <w:bCs/>
                <w:lang w:val="cs-CZ"/>
              </w:rPr>
              <w:t>5</w:t>
            </w:r>
            <w:r w:rsidRPr="00A955AF" w:rsidR="00A47B4C">
              <w:rPr>
                <w:bCs/>
                <w:lang w:val="cs-CZ"/>
              </w:rPr>
              <w:t xml:space="preserve"> </w:t>
            </w:r>
            <w:r w:rsidRPr="00A955AF" w:rsidR="0079222F">
              <w:rPr>
                <w:bCs/>
                <w:lang w:val="cs-CZ"/>
              </w:rPr>
              <w:t>a implementačních</w:t>
            </w:r>
            <w:r w:rsidRPr="00A955AF" w:rsidR="00DA492E">
              <w:rPr>
                <w:bCs/>
                <w:lang w:val="cs-CZ"/>
              </w:rPr>
              <w:t xml:space="preserve"> plánů</w:t>
            </w:r>
            <w:bookmarkEnd w:id="417"/>
            <w:r w:rsidR="0077505D">
              <w:rPr>
                <w:bCs/>
                <w:lang w:val="cs-CZ"/>
              </w:rPr>
              <w:t>,</w:t>
            </w:r>
            <w:r w:rsidRPr="00A955AF" w:rsidR="00DA492E">
              <w:rPr>
                <w:bCs/>
                <w:lang w:val="cs-CZ"/>
              </w:rPr>
              <w:t xml:space="preserve"> </w:t>
            </w:r>
            <w:r w:rsidR="009B786E">
              <w:rPr>
                <w:bCs/>
                <w:lang w:val="cs-CZ"/>
              </w:rPr>
              <w:t xml:space="preserve">a poslední </w:t>
            </w:r>
            <w:r w:rsidRPr="00A955AF" w:rsidR="00DA492E">
              <w:rPr>
                <w:bCs/>
                <w:lang w:val="cs-CZ"/>
              </w:rPr>
              <w:t xml:space="preserve">část věnující se implementaci Strategického rámce Zdraví </w:t>
            </w:r>
            <w:r w:rsidRPr="00A955AF" w:rsidR="00A47B4C">
              <w:rPr>
                <w:bCs/>
                <w:lang w:val="cs-CZ"/>
              </w:rPr>
              <w:t>203</w:t>
            </w:r>
            <w:r w:rsidR="00A47B4C">
              <w:rPr>
                <w:bCs/>
                <w:lang w:val="cs-CZ"/>
              </w:rPr>
              <w:t>5</w:t>
            </w:r>
            <w:r w:rsidRPr="00A955AF" w:rsidR="00DA492E">
              <w:rPr>
                <w:bCs/>
                <w:lang w:val="cs-CZ"/>
              </w:rPr>
              <w:t>, jeho monitoringu, evaluaci a indikátorů</w:t>
            </w:r>
            <w:r w:rsidRPr="00A955AF" w:rsidR="006B0651">
              <w:rPr>
                <w:bCs/>
                <w:lang w:val="cs-CZ"/>
              </w:rPr>
              <w:t>m</w:t>
            </w:r>
            <w:r w:rsidRPr="00A955AF" w:rsidR="00DA492E">
              <w:rPr>
                <w:bCs/>
                <w:lang w:val="cs-CZ"/>
              </w:rPr>
              <w:t>.</w:t>
            </w:r>
          </w:p>
        </w:tc>
      </w:tr>
    </w:tbl>
    <w:p w:rsidR="001756C1" w:rsidRPr="00A955AF" w:rsidP="00145B43" w14:paraId="26133D8B" w14:textId="77777777">
      <w:pPr>
        <w:autoSpaceDE w:val="0"/>
        <w:autoSpaceDN w:val="0"/>
        <w:adjustRightInd w:val="0"/>
        <w:spacing w:before="0" w:after="0"/>
        <w:jc w:val="left"/>
        <w:rPr>
          <w:rFonts w:ascii="Calibri" w:eastAsia="MS Mincho" w:hAnsi="Calibri"/>
          <w:szCs w:val="22"/>
        </w:rPr>
      </w:pPr>
      <w:bookmarkStart w:id="418" w:name="_Toc478333825"/>
      <w:bookmarkStart w:id="419" w:name="_Toc478373711"/>
      <w:bookmarkStart w:id="420" w:name="_Toc478373774"/>
      <w:bookmarkStart w:id="421" w:name="_Toc453696098"/>
      <w:bookmarkStart w:id="422" w:name="_Toc455044668"/>
      <w:bookmarkEnd w:id="0"/>
      <w:bookmarkEnd w:id="418"/>
      <w:bookmarkEnd w:id="419"/>
      <w:bookmarkEnd w:id="420"/>
    </w:p>
    <w:p w:rsidR="008B316B" w:rsidRPr="00A955AF" w:rsidP="00A25876" w14:paraId="4B2CB744" w14:textId="4C2194B4">
      <w:pPr>
        <w:pStyle w:val="1"/>
        <w:rPr>
          <w:szCs w:val="36"/>
        </w:rPr>
        <w:sectPr w:rsidSect="00604632">
          <w:headerReference w:type="default" r:id="rId9"/>
          <w:footerReference w:type="default" r:id="rId10"/>
          <w:headerReference w:type="first" r:id="rId11"/>
          <w:type w:val="continuous"/>
          <w:pgSz w:w="11906" w:h="16838"/>
          <w:pgMar w:top="1418" w:right="1417" w:bottom="1417" w:left="1417" w:header="708" w:footer="97" w:gutter="0"/>
          <w:cols w:space="708"/>
          <w:titlePg/>
          <w:docGrid w:linePitch="360"/>
        </w:sectPr>
      </w:pPr>
      <w:bookmarkStart w:id="423" w:name="_Toc535312486"/>
      <w:r w:rsidRPr="00A955AF">
        <w:rPr>
          <w:szCs w:val="36"/>
        </w:rPr>
        <w:t xml:space="preserve"> </w:t>
      </w:r>
    </w:p>
    <w:sdt>
      <w:sdtPr>
        <w:rPr>
          <w:rFonts w:asciiTheme="minorHAnsi" w:eastAsiaTheme="minorEastAsia" w:hAnsiTheme="minorHAnsi" w:cstheme="minorBidi"/>
          <w:b w:val="0"/>
          <w:color w:val="212121"/>
          <w:sz w:val="22"/>
          <w:szCs w:val="22"/>
        </w:rPr>
        <w:id w:val="-1071182685"/>
        <w:docPartObj>
          <w:docPartGallery w:val="Table of Contents"/>
          <w:docPartUnique/>
        </w:docPartObj>
      </w:sdtPr>
      <w:sdtContent>
        <w:p w:rsidR="0010317C" w:rsidRPr="00A955AF" w:rsidP="0010317C" w14:paraId="70751431" w14:textId="77777777">
          <w:pPr>
            <w:pStyle w:val="TOCHeading"/>
            <w:numPr>
              <w:ilvl w:val="0"/>
              <w:numId w:val="0"/>
            </w:numPr>
            <w:ind w:left="432" w:hanging="432"/>
          </w:pPr>
          <w:r w:rsidRPr="00A955AF">
            <w:t>Obsah</w:t>
          </w:r>
        </w:p>
        <w:p w14:paraId="057A54DF" w14:textId="78DB2614">
          <w:pPr>
            <w:pStyle w:val="TOC2"/>
            <w:rPr>
              <w:rFonts w:asciiTheme="minorHAnsi" w:hAnsiTheme="minorHAnsi"/>
              <w:noProof/>
              <w:sz w:val="22"/>
            </w:rPr>
          </w:pPr>
          <w:r w:rsidRPr="00A955AF">
            <w:fldChar w:fldCharType="begin"/>
          </w:r>
          <w:r w:rsidRPr="00A955AF">
            <w:instrText xml:space="preserve"> TOC \o "1-3" \h \z \u </w:instrText>
          </w:r>
          <w:r w:rsidRPr="00A955AF">
            <w:fldChar w:fldCharType="separate"/>
          </w:r>
          <w:hyperlink w:anchor="_Toc256000000" w:history="1">
            <w:r w:rsidRPr="00A955AF">
              <w:rPr>
                <w:rStyle w:val="Hyperlink"/>
                <w:rFonts w:ascii="Calibri" w:hAnsi="Calibri" w:cstheme="minorHAnsi"/>
                <w:b/>
              </w:rPr>
              <w:t>Název</w:t>
            </w:r>
            <w:r>
              <w:tab/>
            </w:r>
            <w:r>
              <w:fldChar w:fldCharType="begin"/>
            </w:r>
            <w:r>
              <w:instrText xml:space="preserve"> PAGEREF _Toc256000000 \h </w:instrText>
            </w:r>
            <w:r>
              <w:fldChar w:fldCharType="separate"/>
            </w:r>
            <w:r>
              <w:t>2</w:t>
            </w:r>
            <w:r>
              <w:fldChar w:fldCharType="end"/>
            </w:r>
          </w:hyperlink>
        </w:p>
        <w:p>
          <w:pPr>
            <w:pStyle w:val="TOC2"/>
            <w:rPr>
              <w:rFonts w:asciiTheme="minorHAnsi" w:hAnsiTheme="minorHAnsi"/>
              <w:noProof/>
              <w:sz w:val="22"/>
            </w:rPr>
          </w:pPr>
          <w:hyperlink w:anchor="_Toc256000001" w:history="1">
            <w:r w:rsidRPr="00A955AF">
              <w:rPr>
                <w:rStyle w:val="Hyperlink"/>
                <w:rFonts w:ascii="Calibri" w:hAnsi="Calibri" w:cstheme="minorHAnsi"/>
              </w:rPr>
              <w:t>STRATEGICKÝ RÁMEC</w:t>
            </w:r>
            <w:r w:rsidRPr="00A955AF">
              <w:rPr>
                <w:rStyle w:val="Hyperlink"/>
                <w:rFonts w:ascii="Calibri" w:hAnsi="Calibri" w:cstheme="minorHAnsi"/>
              </w:rPr>
              <w:t xml:space="preserve"> </w:t>
            </w:r>
            <w:r w:rsidRPr="00A955AF" w:rsidR="00BA3BCA">
              <w:rPr>
                <w:rStyle w:val="Hyperlink"/>
                <w:rFonts w:ascii="Calibri" w:hAnsi="Calibri" w:cstheme="minorHAnsi"/>
              </w:rPr>
              <w:t xml:space="preserve">ROZVOJE </w:t>
            </w:r>
            <w:r w:rsidRPr="00A955AF" w:rsidR="008A5861">
              <w:rPr>
                <w:rStyle w:val="Hyperlink"/>
                <w:rFonts w:ascii="Calibri" w:hAnsi="Calibri" w:cstheme="minorHAnsi"/>
                <w:caps/>
              </w:rPr>
              <w:t>péče o zdraví v České republice</w:t>
            </w:r>
            <w:r w:rsidRPr="00A955AF" w:rsidR="00562654">
              <w:rPr>
                <w:rStyle w:val="Hyperlink"/>
                <w:rFonts w:ascii="Calibri" w:hAnsi="Calibri" w:cstheme="minorHAnsi"/>
                <w:caps/>
              </w:rPr>
              <w:t xml:space="preserve"> </w:t>
            </w:r>
            <w:r w:rsidRPr="00A955AF" w:rsidR="0016591F">
              <w:rPr>
                <w:rStyle w:val="Hyperlink"/>
                <w:rFonts w:ascii="Calibri" w:hAnsi="Calibri" w:cstheme="minorHAnsi"/>
                <w:caps/>
              </w:rPr>
              <w:t>do </w:t>
            </w:r>
            <w:r w:rsidRPr="00A955AF" w:rsidR="008A5861">
              <w:rPr>
                <w:rStyle w:val="Hyperlink"/>
                <w:rFonts w:ascii="Calibri" w:hAnsi="Calibri" w:cstheme="minorHAnsi"/>
                <w:caps/>
              </w:rPr>
              <w:t>roku 203</w:t>
            </w:r>
            <w:r w:rsidR="00613001">
              <w:rPr>
                <w:rStyle w:val="Hyperlink"/>
                <w:rFonts w:ascii="Calibri" w:hAnsi="Calibri" w:cstheme="minorHAnsi"/>
                <w:caps/>
              </w:rPr>
              <w:t>5</w:t>
            </w:r>
            <w:r>
              <w:tab/>
            </w:r>
            <w:r>
              <w:fldChar w:fldCharType="begin"/>
            </w:r>
            <w:r>
              <w:instrText xml:space="preserve"> PAGEREF _Toc256000001 \h </w:instrText>
            </w:r>
            <w:r>
              <w:fldChar w:fldCharType="separate"/>
            </w:r>
            <w:r>
              <w:t>2</w:t>
            </w:r>
            <w:r>
              <w:fldChar w:fldCharType="end"/>
            </w:r>
          </w:hyperlink>
        </w:p>
        <w:p>
          <w:pPr>
            <w:pStyle w:val="TOC2"/>
            <w:rPr>
              <w:rFonts w:asciiTheme="minorHAnsi" w:hAnsiTheme="minorHAnsi"/>
              <w:noProof/>
              <w:sz w:val="22"/>
            </w:rPr>
          </w:pPr>
          <w:hyperlink w:anchor="_Toc256000002" w:history="1">
            <w:r w:rsidRPr="00A955AF">
              <w:rPr>
                <w:rStyle w:val="Hyperlink"/>
                <w:rFonts w:ascii="Calibri" w:hAnsi="Calibri" w:cstheme="minorHAnsi"/>
                <w:b/>
              </w:rPr>
              <w:t>Zadavatel</w:t>
            </w:r>
            <w:r>
              <w:tab/>
            </w:r>
            <w:r>
              <w:fldChar w:fldCharType="begin"/>
            </w:r>
            <w:r>
              <w:instrText xml:space="preserve"> PAGEREF _Toc256000002 \h </w:instrText>
            </w:r>
            <w:r>
              <w:fldChar w:fldCharType="separate"/>
            </w:r>
            <w:r>
              <w:t>2</w:t>
            </w:r>
            <w:r>
              <w:fldChar w:fldCharType="end"/>
            </w:r>
          </w:hyperlink>
        </w:p>
        <w:p>
          <w:pPr>
            <w:pStyle w:val="TOC2"/>
            <w:rPr>
              <w:rFonts w:asciiTheme="minorHAnsi" w:hAnsiTheme="minorHAnsi"/>
              <w:noProof/>
              <w:sz w:val="22"/>
            </w:rPr>
          </w:pPr>
          <w:hyperlink w:anchor="_Toc256000003" w:history="1">
            <w:r w:rsidRPr="00A955AF">
              <w:rPr>
                <w:rStyle w:val="Hyperlink"/>
                <w:rFonts w:ascii="Calibri" w:hAnsi="Calibri" w:cstheme="minorHAnsi"/>
              </w:rPr>
              <w:t>Ministerstvo zdravotnictví České republiky</w:t>
            </w:r>
            <w:r>
              <w:tab/>
            </w:r>
            <w:r>
              <w:fldChar w:fldCharType="begin"/>
            </w:r>
            <w:r>
              <w:instrText xml:space="preserve"> PAGEREF _Toc256000003 \h </w:instrText>
            </w:r>
            <w:r>
              <w:fldChar w:fldCharType="separate"/>
            </w:r>
            <w:r>
              <w:t>2</w:t>
            </w:r>
            <w:r>
              <w:fldChar w:fldCharType="end"/>
            </w:r>
          </w:hyperlink>
        </w:p>
        <w:p>
          <w:pPr>
            <w:pStyle w:val="TOC2"/>
            <w:rPr>
              <w:rFonts w:asciiTheme="minorHAnsi" w:hAnsiTheme="minorHAnsi"/>
              <w:noProof/>
              <w:sz w:val="22"/>
            </w:rPr>
          </w:pPr>
          <w:hyperlink w:anchor="_Toc256000004" w:history="1">
            <w:r w:rsidRPr="00A955AF">
              <w:rPr>
                <w:rStyle w:val="Hyperlink"/>
                <w:rFonts w:ascii="Calibri" w:hAnsi="Calibri" w:cstheme="minorHAnsi"/>
                <w:b/>
              </w:rPr>
              <w:t>Gestor tvorby </w:t>
            </w:r>
            <w:r w:rsidRPr="00A955AF" w:rsidR="00BA3BCA">
              <w:rPr>
                <w:rStyle w:val="Hyperlink"/>
                <w:rFonts w:ascii="Calibri" w:hAnsi="Calibri" w:cstheme="minorHAnsi"/>
                <w:b/>
              </w:rPr>
              <w:t>strategického rámce</w:t>
            </w:r>
            <w:r>
              <w:tab/>
            </w:r>
            <w:r>
              <w:fldChar w:fldCharType="begin"/>
            </w:r>
            <w:r>
              <w:instrText xml:space="preserve"> PAGEREF _Toc256000004 \h </w:instrText>
            </w:r>
            <w:r>
              <w:fldChar w:fldCharType="separate"/>
            </w:r>
            <w:r>
              <w:t>2</w:t>
            </w:r>
            <w:r>
              <w:fldChar w:fldCharType="end"/>
            </w:r>
          </w:hyperlink>
        </w:p>
        <w:p>
          <w:pPr>
            <w:pStyle w:val="TOC2"/>
            <w:rPr>
              <w:rFonts w:asciiTheme="minorHAnsi" w:hAnsiTheme="minorHAnsi"/>
              <w:noProof/>
              <w:sz w:val="22"/>
            </w:rPr>
          </w:pPr>
          <w:hyperlink w:anchor="_Toc256000005" w:history="1">
            <w:r w:rsidRPr="00A955AF">
              <w:rPr>
                <w:rStyle w:val="Hyperlink"/>
                <w:rFonts w:ascii="Calibri" w:hAnsi="Calibri" w:cstheme="minorHAnsi"/>
              </w:rPr>
              <w:t xml:space="preserve">ministr </w:t>
            </w:r>
            <w:r w:rsidRPr="00A955AF">
              <w:rPr>
                <w:rStyle w:val="Hyperlink"/>
                <w:rFonts w:ascii="Calibri" w:hAnsi="Calibri" w:cstheme="minorHAnsi"/>
              </w:rPr>
              <w:t>zdravotnictví</w:t>
            </w:r>
            <w:r>
              <w:tab/>
            </w:r>
            <w:r>
              <w:fldChar w:fldCharType="begin"/>
            </w:r>
            <w:r>
              <w:instrText xml:space="preserve"> PAGEREF _Toc256000005 \h </w:instrText>
            </w:r>
            <w:r>
              <w:fldChar w:fldCharType="separate"/>
            </w:r>
            <w:r>
              <w:t>2</w:t>
            </w:r>
            <w:r>
              <w:fldChar w:fldCharType="end"/>
            </w:r>
          </w:hyperlink>
        </w:p>
        <w:p>
          <w:pPr>
            <w:pStyle w:val="TOC2"/>
            <w:rPr>
              <w:rFonts w:asciiTheme="minorHAnsi" w:hAnsiTheme="minorHAnsi"/>
              <w:noProof/>
              <w:sz w:val="22"/>
            </w:rPr>
          </w:pPr>
          <w:hyperlink w:anchor="_Toc256000006" w:history="1">
            <w:r w:rsidRPr="00A955AF">
              <w:rPr>
                <w:rStyle w:val="Hyperlink"/>
                <w:rFonts w:ascii="Calibri" w:hAnsi="Calibri" w:cstheme="minorHAnsi"/>
                <w:b/>
              </w:rPr>
              <w:t xml:space="preserve">Rok </w:t>
            </w:r>
            <w:r w:rsidRPr="00A955AF" w:rsidR="00831030">
              <w:rPr>
                <w:rStyle w:val="Hyperlink"/>
                <w:rFonts w:ascii="Calibri" w:hAnsi="Calibri" w:cstheme="minorHAnsi"/>
                <w:b/>
              </w:rPr>
              <w:t xml:space="preserve">zpracování </w:t>
            </w:r>
            <w:r w:rsidRPr="00A955AF" w:rsidR="00BA3BCA">
              <w:rPr>
                <w:rStyle w:val="Hyperlink"/>
                <w:rFonts w:ascii="Calibri" w:hAnsi="Calibri" w:cstheme="minorHAnsi"/>
                <w:b/>
              </w:rPr>
              <w:t>strategického rámce</w:t>
            </w:r>
            <w:r>
              <w:tab/>
            </w:r>
            <w:r>
              <w:fldChar w:fldCharType="begin"/>
            </w:r>
            <w:r>
              <w:instrText xml:space="preserve"> PAGEREF _Toc256000006 \h </w:instrText>
            </w:r>
            <w:r>
              <w:fldChar w:fldCharType="separate"/>
            </w:r>
            <w:r>
              <w:t>2</w:t>
            </w:r>
            <w:r>
              <w:fldChar w:fldCharType="end"/>
            </w:r>
          </w:hyperlink>
        </w:p>
        <w:p>
          <w:pPr>
            <w:pStyle w:val="TOC2"/>
            <w:rPr>
              <w:rFonts w:asciiTheme="minorHAnsi" w:hAnsiTheme="minorHAnsi"/>
              <w:noProof/>
              <w:sz w:val="22"/>
            </w:rPr>
          </w:pPr>
          <w:hyperlink w:anchor="_Toc256000007" w:history="1">
            <w:r>
              <w:rPr>
                <w:rStyle w:val="Hyperlink"/>
                <w:rFonts w:ascii="Calibri" w:hAnsi="Calibri" w:cstheme="minorHAnsi"/>
              </w:rPr>
              <w:t>2024-2025</w:t>
            </w:r>
            <w:r>
              <w:tab/>
            </w:r>
            <w:r>
              <w:fldChar w:fldCharType="begin"/>
            </w:r>
            <w:r>
              <w:instrText xml:space="preserve"> PAGEREF _Toc256000007 \h </w:instrText>
            </w:r>
            <w:r>
              <w:fldChar w:fldCharType="separate"/>
            </w:r>
            <w:r>
              <w:t>2</w:t>
            </w:r>
            <w:r>
              <w:fldChar w:fldCharType="end"/>
            </w:r>
          </w:hyperlink>
        </w:p>
        <w:p>
          <w:pPr>
            <w:pStyle w:val="TOC2"/>
            <w:rPr>
              <w:rFonts w:asciiTheme="minorHAnsi" w:hAnsiTheme="minorHAnsi"/>
              <w:noProof/>
              <w:sz w:val="22"/>
            </w:rPr>
          </w:pPr>
          <w:hyperlink w:anchor="_Toc256000008" w:history="1">
            <w:r w:rsidRPr="00A955AF">
              <w:rPr>
                <w:rStyle w:val="Hyperlink"/>
                <w:rFonts w:ascii="Calibri" w:hAnsi="Calibri" w:cstheme="minorHAnsi"/>
                <w:b/>
              </w:rPr>
              <w:t xml:space="preserve">Schvalovatel </w:t>
            </w:r>
            <w:r w:rsidRPr="00A955AF" w:rsidR="00BA3BCA">
              <w:rPr>
                <w:rStyle w:val="Hyperlink"/>
                <w:rFonts w:ascii="Calibri" w:hAnsi="Calibri" w:cstheme="minorHAnsi"/>
                <w:b/>
              </w:rPr>
              <w:t>strategického rámce</w:t>
            </w:r>
            <w:r>
              <w:tab/>
            </w:r>
            <w:r>
              <w:fldChar w:fldCharType="begin"/>
            </w:r>
            <w:r>
              <w:instrText xml:space="preserve"> PAGEREF _Toc256000008 \h </w:instrText>
            </w:r>
            <w:r>
              <w:fldChar w:fldCharType="separate"/>
            </w:r>
            <w:r>
              <w:t>2</w:t>
            </w:r>
            <w:r>
              <w:fldChar w:fldCharType="end"/>
            </w:r>
          </w:hyperlink>
        </w:p>
        <w:p>
          <w:pPr>
            <w:pStyle w:val="TOC2"/>
            <w:rPr>
              <w:rFonts w:asciiTheme="minorHAnsi" w:hAnsiTheme="minorHAnsi"/>
              <w:noProof/>
              <w:sz w:val="22"/>
            </w:rPr>
          </w:pPr>
          <w:hyperlink w:anchor="_Toc256000009" w:history="1">
            <w:r w:rsidRPr="00A955AF">
              <w:rPr>
                <w:rStyle w:val="Hyperlink"/>
                <w:rFonts w:ascii="Calibri" w:hAnsi="Calibri" w:cstheme="minorHAnsi"/>
              </w:rPr>
              <w:t>vláda České republiky</w:t>
            </w:r>
            <w:r>
              <w:tab/>
            </w:r>
            <w:r>
              <w:fldChar w:fldCharType="begin"/>
            </w:r>
            <w:r>
              <w:instrText xml:space="preserve"> PAGEREF _Toc256000009 \h </w:instrText>
            </w:r>
            <w:r>
              <w:fldChar w:fldCharType="separate"/>
            </w:r>
            <w:r>
              <w:t>2</w:t>
            </w:r>
            <w:r>
              <w:fldChar w:fldCharType="end"/>
            </w:r>
          </w:hyperlink>
        </w:p>
        <w:p>
          <w:pPr>
            <w:pStyle w:val="TOC2"/>
            <w:rPr>
              <w:rFonts w:asciiTheme="minorHAnsi" w:hAnsiTheme="minorHAnsi"/>
              <w:noProof/>
              <w:sz w:val="22"/>
            </w:rPr>
          </w:pPr>
          <w:hyperlink w:anchor="_Toc256000010" w:history="1">
            <w:r w:rsidRPr="00A955AF">
              <w:rPr>
                <w:rStyle w:val="Hyperlink"/>
                <w:rFonts w:ascii="Calibri" w:hAnsi="Calibri" w:cstheme="minorHAnsi"/>
                <w:b/>
              </w:rPr>
              <w:t>Datum schválení</w:t>
            </w:r>
            <w:r>
              <w:tab/>
            </w:r>
            <w:r>
              <w:fldChar w:fldCharType="begin"/>
            </w:r>
            <w:r>
              <w:instrText xml:space="preserve"> PAGEREF _Toc256000010 \h </w:instrText>
            </w:r>
            <w:r>
              <w:fldChar w:fldCharType="separate"/>
            </w:r>
            <w:r>
              <w:t>2</w:t>
            </w:r>
            <w:r>
              <w:fldChar w:fldCharType="end"/>
            </w:r>
          </w:hyperlink>
        </w:p>
        <w:p>
          <w:pPr>
            <w:pStyle w:val="TOC2"/>
            <w:rPr>
              <w:rFonts w:asciiTheme="minorHAnsi" w:hAnsiTheme="minorHAnsi"/>
              <w:noProof/>
              <w:sz w:val="22"/>
            </w:rPr>
          </w:pPr>
          <w:hyperlink w:anchor="_Toc256000011" w:history="1">
            <w:r w:rsidRPr="00A955AF">
              <w:rPr>
                <w:rStyle w:val="Hyperlink"/>
                <w:rFonts w:ascii="Calibri" w:hAnsi="Calibri" w:cstheme="minorHAnsi"/>
                <w:b/>
              </w:rPr>
              <w:t>Forma schválení</w:t>
            </w:r>
            <w:r>
              <w:tab/>
            </w:r>
            <w:r>
              <w:fldChar w:fldCharType="begin"/>
            </w:r>
            <w:r>
              <w:instrText xml:space="preserve"> PAGEREF _Toc256000011 \h </w:instrText>
            </w:r>
            <w:r>
              <w:fldChar w:fldCharType="separate"/>
            </w:r>
            <w:r>
              <w:t>2</w:t>
            </w:r>
            <w:r>
              <w:fldChar w:fldCharType="end"/>
            </w:r>
          </w:hyperlink>
        </w:p>
        <w:p>
          <w:pPr>
            <w:pStyle w:val="TOC2"/>
            <w:rPr>
              <w:rFonts w:asciiTheme="minorHAnsi" w:hAnsiTheme="minorHAnsi"/>
              <w:noProof/>
              <w:sz w:val="22"/>
            </w:rPr>
          </w:pPr>
          <w:hyperlink w:anchor="_Toc256000012" w:history="1">
            <w:r w:rsidRPr="0070747B">
              <w:rPr>
                <w:rStyle w:val="Hyperlink"/>
                <w:rFonts w:ascii="Calibri" w:hAnsi="Calibri" w:cstheme="minorHAnsi"/>
                <w:highlight w:val="yellow"/>
              </w:rPr>
              <w:t>usnesení vlády</w:t>
            </w:r>
            <w:r w:rsidRPr="0070747B" w:rsidR="005E3406">
              <w:rPr>
                <w:rStyle w:val="Hyperlink"/>
                <w:rFonts w:ascii="Calibri" w:hAnsi="Calibri" w:cstheme="minorHAnsi"/>
                <w:highlight w:val="yellow"/>
              </w:rPr>
              <w:t xml:space="preserve"> České republiky</w:t>
            </w:r>
            <w:r w:rsidRPr="0070747B" w:rsidR="009C46C9">
              <w:rPr>
                <w:rStyle w:val="Hyperlink"/>
                <w:rFonts w:ascii="Calibri" w:hAnsi="Calibri" w:cstheme="minorHAnsi"/>
                <w:highlight w:val="yellow"/>
              </w:rPr>
              <w:t xml:space="preserve"> č. </w:t>
            </w:r>
            <w:r w:rsidRPr="0070747B" w:rsidR="00A7241B">
              <w:rPr>
                <w:rStyle w:val="Hyperlink"/>
                <w:rFonts w:ascii="Calibri" w:hAnsi="Calibri" w:cstheme="minorHAnsi"/>
                <w:highlight w:val="yellow"/>
              </w:rPr>
              <w:t>743/2020</w:t>
            </w:r>
            <w:r>
              <w:tab/>
            </w:r>
            <w:r>
              <w:fldChar w:fldCharType="begin"/>
            </w:r>
            <w:r>
              <w:instrText xml:space="preserve"> PAGEREF _Toc256000012 \h </w:instrText>
            </w:r>
            <w:r>
              <w:fldChar w:fldCharType="separate"/>
            </w:r>
            <w:r>
              <w:t>2</w:t>
            </w:r>
            <w:r>
              <w:fldChar w:fldCharType="end"/>
            </w:r>
          </w:hyperlink>
        </w:p>
        <w:p>
          <w:pPr>
            <w:pStyle w:val="TOC2"/>
            <w:rPr>
              <w:rFonts w:asciiTheme="minorHAnsi" w:hAnsiTheme="minorHAnsi"/>
              <w:noProof/>
              <w:sz w:val="22"/>
            </w:rPr>
          </w:pPr>
          <w:hyperlink w:anchor="_Toc256000013" w:history="1">
            <w:r w:rsidRPr="00A955AF">
              <w:rPr>
                <w:rStyle w:val="Hyperlink"/>
                <w:rFonts w:ascii="Calibri" w:hAnsi="Calibri" w:cstheme="minorHAnsi"/>
                <w:b/>
              </w:rPr>
              <w:t>Poslední aktualizace</w:t>
            </w:r>
            <w:r>
              <w:tab/>
            </w:r>
            <w:r>
              <w:fldChar w:fldCharType="begin"/>
            </w:r>
            <w:r>
              <w:instrText xml:space="preserve"> PAGEREF _Toc256000013 \h </w:instrText>
            </w:r>
            <w:r>
              <w:fldChar w:fldCharType="separate"/>
            </w:r>
            <w:r>
              <w:t>2</w:t>
            </w:r>
            <w:r>
              <w:fldChar w:fldCharType="end"/>
            </w:r>
          </w:hyperlink>
        </w:p>
        <w:p>
          <w:pPr>
            <w:pStyle w:val="TOC2"/>
            <w:rPr>
              <w:rFonts w:asciiTheme="minorHAnsi" w:hAnsiTheme="minorHAnsi"/>
              <w:noProof/>
              <w:sz w:val="22"/>
            </w:rPr>
          </w:pPr>
          <w:hyperlink w:anchor="_Toc256000014" w:history="1">
            <w:r w:rsidRPr="00A955AF">
              <w:rPr>
                <w:rStyle w:val="Hyperlink"/>
                <w:rFonts w:ascii="Calibri" w:hAnsi="Calibri" w:cstheme="minorHAnsi"/>
                <w:b/>
              </w:rPr>
              <w:t>Doba realizace</w:t>
            </w:r>
            <w:r>
              <w:tab/>
            </w:r>
            <w:r>
              <w:fldChar w:fldCharType="begin"/>
            </w:r>
            <w:r>
              <w:instrText xml:space="preserve"> PAGEREF _Toc256000014 \h </w:instrText>
            </w:r>
            <w:r>
              <w:fldChar w:fldCharType="separate"/>
            </w:r>
            <w:r>
              <w:t>2</w:t>
            </w:r>
            <w:r>
              <w:fldChar w:fldCharType="end"/>
            </w:r>
          </w:hyperlink>
        </w:p>
        <w:p>
          <w:pPr>
            <w:pStyle w:val="TOC2"/>
            <w:rPr>
              <w:rFonts w:asciiTheme="minorHAnsi" w:hAnsiTheme="minorHAnsi"/>
              <w:noProof/>
              <w:sz w:val="22"/>
            </w:rPr>
          </w:pPr>
          <w:hyperlink w:anchor="_Toc256000015" w:history="1">
            <w:r w:rsidRPr="00A955AF">
              <w:rPr>
                <w:rStyle w:val="Hyperlink"/>
                <w:rFonts w:ascii="Calibri" w:hAnsi="Calibri" w:cstheme="minorHAnsi"/>
                <w:b/>
              </w:rPr>
              <w:t>Odpovědnost za implementaci</w:t>
            </w:r>
            <w:r>
              <w:tab/>
            </w:r>
            <w:r>
              <w:fldChar w:fldCharType="begin"/>
            </w:r>
            <w:r>
              <w:instrText xml:space="preserve"> PAGEREF _Toc256000015 \h </w:instrText>
            </w:r>
            <w:r>
              <w:fldChar w:fldCharType="separate"/>
            </w:r>
            <w:r>
              <w:t>2</w:t>
            </w:r>
            <w:r>
              <w:fldChar w:fldCharType="end"/>
            </w:r>
          </w:hyperlink>
        </w:p>
        <w:p>
          <w:pPr>
            <w:pStyle w:val="TOC2"/>
            <w:rPr>
              <w:rFonts w:asciiTheme="minorHAnsi" w:hAnsiTheme="minorHAnsi"/>
              <w:noProof/>
              <w:sz w:val="22"/>
            </w:rPr>
          </w:pPr>
          <w:hyperlink w:anchor="_Toc256000016" w:history="1">
            <w:r w:rsidRPr="00A955AF">
              <w:rPr>
                <w:rStyle w:val="Hyperlink"/>
                <w:rFonts w:ascii="Calibri" w:hAnsi="Calibri" w:cstheme="minorHAnsi"/>
              </w:rPr>
              <w:t>Ministerstvo zdravotnictví České republiky</w:t>
            </w:r>
            <w:r>
              <w:tab/>
            </w:r>
            <w:r>
              <w:fldChar w:fldCharType="begin"/>
            </w:r>
            <w:r>
              <w:instrText xml:space="preserve"> PAGEREF _Toc256000016 \h </w:instrText>
            </w:r>
            <w:r>
              <w:fldChar w:fldCharType="separate"/>
            </w:r>
            <w:r>
              <w:t>2</w:t>
            </w:r>
            <w:r>
              <w:fldChar w:fldCharType="end"/>
            </w:r>
          </w:hyperlink>
        </w:p>
        <w:p>
          <w:pPr>
            <w:pStyle w:val="TOC2"/>
            <w:rPr>
              <w:rFonts w:asciiTheme="minorHAnsi" w:hAnsiTheme="minorHAnsi"/>
              <w:noProof/>
              <w:sz w:val="22"/>
            </w:rPr>
          </w:pPr>
          <w:hyperlink w:anchor="_Toc256000017" w:history="1">
            <w:r w:rsidRPr="00A955AF">
              <w:rPr>
                <w:rStyle w:val="Hyperlink"/>
                <w:rFonts w:ascii="Calibri" w:hAnsi="Calibri" w:cstheme="minorHAnsi"/>
                <w:b/>
              </w:rPr>
              <w:t xml:space="preserve">Kontext vzniku </w:t>
            </w:r>
            <w:r w:rsidRPr="00A955AF" w:rsidR="00BA3BCA">
              <w:rPr>
                <w:rStyle w:val="Hyperlink"/>
                <w:rFonts w:ascii="Calibri" w:hAnsi="Calibri" w:cstheme="minorHAnsi"/>
                <w:b/>
              </w:rPr>
              <w:t>strategického rámce</w:t>
            </w:r>
            <w:r>
              <w:tab/>
            </w:r>
            <w:r>
              <w:fldChar w:fldCharType="begin"/>
            </w:r>
            <w:r>
              <w:instrText xml:space="preserve"> PAGEREF _Toc256000017 \h </w:instrText>
            </w:r>
            <w:r>
              <w:fldChar w:fldCharType="separate"/>
            </w:r>
            <w:r>
              <w:t>2</w:t>
            </w:r>
            <w:r>
              <w:fldChar w:fldCharType="end"/>
            </w:r>
          </w:hyperlink>
        </w:p>
        <w:p>
          <w:pPr>
            <w:pStyle w:val="TOC2"/>
            <w:rPr>
              <w:rFonts w:asciiTheme="minorHAnsi" w:hAnsiTheme="minorHAnsi"/>
              <w:noProof/>
              <w:sz w:val="22"/>
            </w:rPr>
          </w:pPr>
          <w:hyperlink w:anchor="_Toc256000018" w:history="1">
            <w:r w:rsidRPr="00A955AF">
              <w:rPr>
                <w:rStyle w:val="Hyperlink"/>
                <w:rFonts w:ascii="Calibri" w:hAnsi="Calibri" w:cstheme="minorHAnsi"/>
                <w:b/>
              </w:rPr>
              <w:t>Stručný popis řešené problematiky a obsahu strategického rámce</w:t>
            </w:r>
            <w:r>
              <w:tab/>
            </w:r>
            <w:r>
              <w:fldChar w:fldCharType="begin"/>
            </w:r>
            <w:r>
              <w:instrText xml:space="preserve"> PAGEREF _Toc256000018 \h </w:instrText>
            </w:r>
            <w:r>
              <w:fldChar w:fldCharType="separate"/>
            </w:r>
            <w:r>
              <w:t>3</w:t>
            </w:r>
            <w:r>
              <w:fldChar w:fldCharType="end"/>
            </w:r>
          </w:hyperlink>
        </w:p>
        <w:p>
          <w:pPr>
            <w:pStyle w:val="TOC1"/>
            <w:rPr>
              <w:rFonts w:asciiTheme="minorHAnsi" w:hAnsiTheme="minorHAnsi"/>
              <w:noProof/>
              <w:sz w:val="22"/>
            </w:rPr>
          </w:pPr>
          <w:hyperlink w:anchor="_Toc256000019" w:history="1">
            <w:r>
              <w:rPr>
                <w:rStyle w:val="Hyperlink"/>
              </w:rPr>
              <w:t>1.</w:t>
            </w:r>
            <w:r>
              <w:rPr>
                <w:rFonts w:asciiTheme="minorHAnsi" w:hAnsiTheme="minorHAnsi"/>
                <w:noProof/>
                <w:sz w:val="22"/>
              </w:rPr>
              <w:tab/>
            </w:r>
            <w:r w:rsidRPr="00A955AF">
              <w:rPr>
                <w:rStyle w:val="Hyperlink"/>
              </w:rPr>
              <w:t>Úvod</w:t>
            </w:r>
            <w:r>
              <w:tab/>
            </w:r>
            <w:r>
              <w:fldChar w:fldCharType="begin"/>
            </w:r>
            <w:r>
              <w:instrText xml:space="preserve"> PAGEREF _Toc256000019 \h </w:instrText>
            </w:r>
            <w:r>
              <w:fldChar w:fldCharType="separate"/>
            </w:r>
            <w:r>
              <w:t>6</w:t>
            </w:r>
            <w:r>
              <w:fldChar w:fldCharType="end"/>
            </w:r>
          </w:hyperlink>
        </w:p>
        <w:p>
          <w:pPr>
            <w:pStyle w:val="TOC1"/>
            <w:rPr>
              <w:rFonts w:asciiTheme="minorHAnsi" w:hAnsiTheme="minorHAnsi"/>
              <w:noProof/>
              <w:sz w:val="22"/>
            </w:rPr>
          </w:pPr>
          <w:hyperlink w:anchor="_Toc256000020" w:history="1">
            <w:r>
              <w:rPr>
                <w:rStyle w:val="Hyperlink"/>
              </w:rPr>
              <w:t>1.1.</w:t>
            </w:r>
            <w:r>
              <w:rPr>
                <w:rFonts w:asciiTheme="minorHAnsi" w:hAnsiTheme="minorHAnsi"/>
                <w:noProof/>
                <w:sz w:val="22"/>
              </w:rPr>
              <w:tab/>
            </w:r>
            <w:r w:rsidRPr="00A955AF">
              <w:rPr>
                <w:rStyle w:val="Hyperlink"/>
              </w:rPr>
              <w:t>Rámcová strategie České republiky pro oblast zdravotní péče</w:t>
            </w:r>
            <w:r>
              <w:tab/>
            </w:r>
            <w:r>
              <w:fldChar w:fldCharType="begin"/>
            </w:r>
            <w:r>
              <w:instrText xml:space="preserve"> PAGEREF _Toc256000020 \h </w:instrText>
            </w:r>
            <w:r>
              <w:fldChar w:fldCharType="separate"/>
            </w:r>
            <w:r>
              <w:t>6</w:t>
            </w:r>
            <w:r>
              <w:fldChar w:fldCharType="end"/>
            </w:r>
          </w:hyperlink>
        </w:p>
        <w:p>
          <w:pPr>
            <w:pStyle w:val="TOC1"/>
            <w:rPr>
              <w:rFonts w:asciiTheme="minorHAnsi" w:hAnsiTheme="minorHAnsi"/>
              <w:noProof/>
              <w:sz w:val="22"/>
            </w:rPr>
          </w:pPr>
          <w:hyperlink w:anchor="_Toc256000021" w:history="1">
            <w:r>
              <w:rPr>
                <w:rStyle w:val="Hyperlink"/>
              </w:rPr>
              <w:t>1.2.</w:t>
            </w:r>
            <w:r>
              <w:rPr>
                <w:rFonts w:asciiTheme="minorHAnsi" w:hAnsiTheme="minorHAnsi"/>
                <w:noProof/>
                <w:sz w:val="22"/>
              </w:rPr>
              <w:tab/>
            </w:r>
            <w:r>
              <w:rPr>
                <w:rStyle w:val="Hyperlink"/>
              </w:rPr>
              <w:t>Mezinárodní kontext</w:t>
            </w:r>
            <w:r>
              <w:tab/>
            </w:r>
            <w:r>
              <w:fldChar w:fldCharType="begin"/>
            </w:r>
            <w:r>
              <w:instrText xml:space="preserve"> PAGEREF _Toc256000021 \h </w:instrText>
            </w:r>
            <w:r>
              <w:fldChar w:fldCharType="separate"/>
            </w:r>
            <w:r>
              <w:t>13</w:t>
            </w:r>
            <w:r>
              <w:fldChar w:fldCharType="end"/>
            </w:r>
          </w:hyperlink>
        </w:p>
        <w:p>
          <w:pPr>
            <w:pStyle w:val="TOC1"/>
            <w:rPr>
              <w:rFonts w:asciiTheme="minorHAnsi" w:hAnsiTheme="minorHAnsi"/>
              <w:noProof/>
              <w:sz w:val="22"/>
            </w:rPr>
          </w:pPr>
          <w:hyperlink w:anchor="_Toc256000025" w:history="1">
            <w:r>
              <w:rPr>
                <w:rStyle w:val="Hyperlink"/>
              </w:rPr>
              <w:t>1.2.1.</w:t>
            </w:r>
            <w:r>
              <w:rPr>
                <w:rFonts w:asciiTheme="minorHAnsi" w:hAnsiTheme="minorHAnsi"/>
                <w:noProof/>
                <w:sz w:val="22"/>
              </w:rPr>
              <w:tab/>
            </w:r>
            <w:r w:rsidRPr="0072040F">
              <w:rPr>
                <w:rStyle w:val="Hyperlink"/>
              </w:rPr>
              <w:t>WHO</w:t>
            </w:r>
            <w:r>
              <w:tab/>
            </w:r>
            <w:r>
              <w:fldChar w:fldCharType="begin"/>
            </w:r>
            <w:r>
              <w:instrText xml:space="preserve"> PAGEREF _Toc256000025 \h </w:instrText>
            </w:r>
            <w:r>
              <w:fldChar w:fldCharType="separate"/>
            </w:r>
            <w:r>
              <w:t>13</w:t>
            </w:r>
            <w:r>
              <w:fldChar w:fldCharType="end"/>
            </w:r>
          </w:hyperlink>
        </w:p>
        <w:p>
          <w:pPr>
            <w:pStyle w:val="TOC1"/>
            <w:rPr>
              <w:rFonts w:asciiTheme="minorHAnsi" w:hAnsiTheme="minorHAnsi"/>
              <w:noProof/>
              <w:sz w:val="22"/>
            </w:rPr>
          </w:pPr>
          <w:hyperlink w:anchor="_Toc256000026" w:history="1">
            <w:r>
              <w:rPr>
                <w:rStyle w:val="Hyperlink"/>
              </w:rPr>
              <w:t>1.2.2.</w:t>
            </w:r>
            <w:r>
              <w:rPr>
                <w:rFonts w:asciiTheme="minorHAnsi" w:hAnsiTheme="minorHAnsi"/>
                <w:noProof/>
                <w:sz w:val="22"/>
              </w:rPr>
              <w:tab/>
            </w:r>
            <w:r w:rsidRPr="00A955AF">
              <w:rPr>
                <w:rStyle w:val="Hyperlink"/>
              </w:rPr>
              <w:t>Evropská unie</w:t>
            </w:r>
            <w:r>
              <w:tab/>
            </w:r>
            <w:r>
              <w:fldChar w:fldCharType="begin"/>
            </w:r>
            <w:r>
              <w:instrText xml:space="preserve"> PAGEREF _Toc256000026 \h </w:instrText>
            </w:r>
            <w:r>
              <w:fldChar w:fldCharType="separate"/>
            </w:r>
            <w:r>
              <w:t>17</w:t>
            </w:r>
            <w:r>
              <w:fldChar w:fldCharType="end"/>
            </w:r>
          </w:hyperlink>
        </w:p>
        <w:p>
          <w:pPr>
            <w:pStyle w:val="TOC1"/>
            <w:rPr>
              <w:rFonts w:asciiTheme="minorHAnsi" w:hAnsiTheme="minorHAnsi"/>
              <w:noProof/>
              <w:sz w:val="22"/>
            </w:rPr>
          </w:pPr>
          <w:hyperlink w:anchor="_Toc256000027" w:history="1">
            <w:r>
              <w:rPr>
                <w:rStyle w:val="Hyperlink"/>
                <w:rFonts w:cstheme="minorHAnsi"/>
              </w:rPr>
              <w:t>1.2.3.</w:t>
            </w:r>
            <w:r>
              <w:rPr>
                <w:rFonts w:asciiTheme="minorHAnsi" w:hAnsiTheme="minorHAnsi" w:cstheme="minorHAnsi"/>
                <w:noProof/>
                <w:sz w:val="22"/>
              </w:rPr>
              <w:tab/>
            </w:r>
            <w:r w:rsidRPr="003D5E99">
              <w:rPr>
                <w:rStyle w:val="Hyperlink"/>
              </w:rPr>
              <w:t>O</w:t>
            </w:r>
            <w:r w:rsidR="00524549">
              <w:rPr>
                <w:rStyle w:val="Hyperlink"/>
              </w:rPr>
              <w:t>ECD</w:t>
            </w:r>
            <w:r>
              <w:tab/>
            </w:r>
            <w:r>
              <w:fldChar w:fldCharType="begin"/>
            </w:r>
            <w:r>
              <w:instrText xml:space="preserve"> PAGEREF _Toc256000027 \h </w:instrText>
            </w:r>
            <w:r>
              <w:fldChar w:fldCharType="separate"/>
            </w:r>
            <w:r>
              <w:t>21</w:t>
            </w:r>
            <w:r>
              <w:fldChar w:fldCharType="end"/>
            </w:r>
          </w:hyperlink>
        </w:p>
        <w:p>
          <w:pPr>
            <w:pStyle w:val="TOC1"/>
            <w:rPr>
              <w:rFonts w:asciiTheme="minorHAnsi" w:hAnsiTheme="minorHAnsi"/>
              <w:noProof/>
              <w:sz w:val="22"/>
            </w:rPr>
          </w:pPr>
          <w:hyperlink w:anchor="_Toc256000028" w:history="1">
            <w:r>
              <w:rPr>
                <w:rStyle w:val="Hyperlink"/>
              </w:rPr>
              <w:t>2.</w:t>
            </w:r>
            <w:r>
              <w:rPr>
                <w:rFonts w:asciiTheme="minorHAnsi" w:hAnsiTheme="minorHAnsi"/>
                <w:noProof/>
                <w:sz w:val="22"/>
              </w:rPr>
              <w:tab/>
            </w:r>
            <w:r w:rsidRPr="00594575">
              <w:rPr>
                <w:rStyle w:val="Hyperlink"/>
              </w:rPr>
              <w:t>Analy</w:t>
            </w:r>
            <w:r w:rsidRPr="00A955AF">
              <w:rPr>
                <w:rStyle w:val="Hyperlink"/>
              </w:rPr>
              <w:t>tická část</w:t>
            </w:r>
            <w:r>
              <w:tab/>
            </w:r>
            <w:r>
              <w:fldChar w:fldCharType="begin"/>
            </w:r>
            <w:r>
              <w:instrText xml:space="preserve"> PAGEREF _Toc256000028 \h </w:instrText>
            </w:r>
            <w:r>
              <w:fldChar w:fldCharType="separate"/>
            </w:r>
            <w:r>
              <w:t>23</w:t>
            </w:r>
            <w:r>
              <w:fldChar w:fldCharType="end"/>
            </w:r>
          </w:hyperlink>
        </w:p>
        <w:p>
          <w:pPr>
            <w:pStyle w:val="TOC1"/>
            <w:rPr>
              <w:rFonts w:asciiTheme="minorHAnsi" w:hAnsiTheme="minorHAnsi"/>
              <w:noProof/>
              <w:sz w:val="22"/>
            </w:rPr>
          </w:pPr>
          <w:hyperlink w:anchor="_Toc256000030" w:history="1">
            <w:r>
              <w:rPr>
                <w:rStyle w:val="Hyperlink"/>
              </w:rPr>
              <w:t>2.1.</w:t>
            </w:r>
            <w:r>
              <w:rPr>
                <w:rFonts w:asciiTheme="minorHAnsi" w:hAnsiTheme="minorHAnsi"/>
                <w:noProof/>
                <w:sz w:val="22"/>
              </w:rPr>
              <w:tab/>
            </w:r>
            <w:r w:rsidR="3C824C36">
              <w:rPr>
                <w:rStyle w:val="Hyperlink"/>
              </w:rPr>
              <w:t>Cíle analytické části a zdroje dat</w:t>
            </w:r>
            <w:r>
              <w:tab/>
            </w:r>
            <w:r>
              <w:fldChar w:fldCharType="begin"/>
            </w:r>
            <w:r>
              <w:instrText xml:space="preserve"> PAGEREF _Toc256000030 \h </w:instrText>
            </w:r>
            <w:r>
              <w:fldChar w:fldCharType="separate"/>
            </w:r>
            <w:r>
              <w:t>23</w:t>
            </w:r>
            <w:r>
              <w:fldChar w:fldCharType="end"/>
            </w:r>
          </w:hyperlink>
        </w:p>
        <w:p>
          <w:pPr>
            <w:pStyle w:val="TOC1"/>
            <w:rPr>
              <w:rFonts w:asciiTheme="minorHAnsi" w:hAnsiTheme="minorHAnsi"/>
              <w:noProof/>
              <w:sz w:val="22"/>
            </w:rPr>
          </w:pPr>
          <w:hyperlink w:anchor="_Toc256000033" w:history="1">
            <w:r>
              <w:rPr>
                <w:rStyle w:val="Hyperlink"/>
              </w:rPr>
              <w:t>2.1.1.</w:t>
            </w:r>
            <w:r>
              <w:rPr>
                <w:rFonts w:asciiTheme="minorHAnsi" w:hAnsiTheme="minorHAnsi"/>
                <w:noProof/>
                <w:sz w:val="22"/>
              </w:rPr>
              <w:tab/>
            </w:r>
            <w:r w:rsidRPr="006B4A39">
              <w:rPr>
                <w:rStyle w:val="Hyperlink"/>
              </w:rPr>
              <w:t>Int</w:t>
            </w:r>
            <w:r w:rsidRPr="00A955AF">
              <w:rPr>
                <w:rStyle w:val="Hyperlink"/>
              </w:rPr>
              <w:t>egrální ukazatele zdravotního stavu obyvatelstva</w:t>
            </w:r>
            <w:r>
              <w:tab/>
            </w:r>
            <w:r>
              <w:fldChar w:fldCharType="begin"/>
            </w:r>
            <w:r>
              <w:instrText xml:space="preserve"> PAGEREF _Toc256000033 \h </w:instrText>
            </w:r>
            <w:r>
              <w:fldChar w:fldCharType="separate"/>
            </w:r>
            <w:r>
              <w:t>23</w:t>
            </w:r>
            <w:r>
              <w:fldChar w:fldCharType="end"/>
            </w:r>
          </w:hyperlink>
        </w:p>
        <w:p>
          <w:pPr>
            <w:pStyle w:val="TOC1"/>
            <w:rPr>
              <w:rFonts w:asciiTheme="minorHAnsi" w:hAnsiTheme="minorHAnsi"/>
              <w:noProof/>
              <w:sz w:val="22"/>
            </w:rPr>
          </w:pPr>
          <w:hyperlink w:anchor="_Toc256000034" w:history="1">
            <w:r>
              <w:rPr>
                <w:rStyle w:val="Hyperlink"/>
              </w:rPr>
              <w:t>2.1.2.</w:t>
            </w:r>
            <w:r>
              <w:rPr>
                <w:rFonts w:asciiTheme="minorHAnsi" w:hAnsiTheme="minorHAnsi"/>
                <w:noProof/>
                <w:sz w:val="22"/>
              </w:rPr>
              <w:tab/>
            </w:r>
            <w:r w:rsidRPr="00A955AF">
              <w:rPr>
                <w:rStyle w:val="Hyperlink"/>
              </w:rPr>
              <w:t>Faktory determinující potřeby zdravotní péče v budoucnosti</w:t>
            </w:r>
            <w:r>
              <w:tab/>
            </w:r>
            <w:r>
              <w:fldChar w:fldCharType="begin"/>
            </w:r>
            <w:r>
              <w:instrText xml:space="preserve"> PAGEREF _Toc256000034 \h </w:instrText>
            </w:r>
            <w:r>
              <w:fldChar w:fldCharType="separate"/>
            </w:r>
            <w:r>
              <w:t>27</w:t>
            </w:r>
            <w:r>
              <w:fldChar w:fldCharType="end"/>
            </w:r>
          </w:hyperlink>
        </w:p>
        <w:p>
          <w:pPr>
            <w:pStyle w:val="TOC1"/>
            <w:rPr>
              <w:rFonts w:asciiTheme="minorHAnsi" w:hAnsiTheme="minorHAnsi"/>
              <w:noProof/>
              <w:sz w:val="22"/>
            </w:rPr>
          </w:pPr>
          <w:hyperlink w:anchor="_Toc256000035" w:history="1">
            <w:r>
              <w:rPr>
                <w:rStyle w:val="Hyperlink"/>
              </w:rPr>
              <w:t>2.2.</w:t>
            </w:r>
            <w:r>
              <w:rPr>
                <w:rFonts w:asciiTheme="minorHAnsi" w:hAnsiTheme="minorHAnsi"/>
                <w:noProof/>
                <w:sz w:val="22"/>
              </w:rPr>
              <w:tab/>
            </w:r>
            <w:r>
              <w:rPr>
                <w:rStyle w:val="Hyperlink"/>
              </w:rPr>
              <w:t>Analytické zdůvodnění specifických cílů Strategického rámce Zdraví 2035</w:t>
            </w:r>
            <w:r>
              <w:tab/>
            </w:r>
            <w:r>
              <w:fldChar w:fldCharType="begin"/>
            </w:r>
            <w:r>
              <w:instrText xml:space="preserve"> PAGEREF _Toc256000035 \h </w:instrText>
            </w:r>
            <w:r>
              <w:fldChar w:fldCharType="separate"/>
            </w:r>
            <w:r>
              <w:t>30</w:t>
            </w:r>
            <w:r>
              <w:fldChar w:fldCharType="end"/>
            </w:r>
          </w:hyperlink>
        </w:p>
        <w:p>
          <w:pPr>
            <w:pStyle w:val="TOC1"/>
            <w:rPr>
              <w:rFonts w:asciiTheme="minorHAnsi" w:hAnsiTheme="minorHAnsi"/>
              <w:noProof/>
              <w:sz w:val="22"/>
            </w:rPr>
          </w:pPr>
          <w:hyperlink w:anchor="_Toc256000037" w:history="1">
            <w:r>
              <w:rPr>
                <w:rStyle w:val="Hyperlink"/>
              </w:rPr>
              <w:t>2.2.1.</w:t>
            </w:r>
            <w:r>
              <w:rPr>
                <w:rFonts w:asciiTheme="minorHAnsi" w:hAnsiTheme="minorHAnsi"/>
                <w:noProof/>
                <w:sz w:val="22"/>
              </w:rPr>
              <w:tab/>
            </w:r>
            <w:r w:rsidRPr="00A955AF">
              <w:rPr>
                <w:rStyle w:val="Hyperlink"/>
              </w:rPr>
              <w:t>Specifický cíl 1.</w:t>
            </w:r>
            <w:r w:rsidR="00DE33D8">
              <w:rPr>
                <w:rStyle w:val="Hyperlink"/>
              </w:rPr>
              <w:t>1</w:t>
            </w:r>
            <w:r>
              <w:rPr>
                <w:rStyle w:val="Hyperlink"/>
              </w:rPr>
              <w:t xml:space="preserve"> </w:t>
            </w:r>
            <w:r w:rsidRPr="00D43172">
              <w:rPr>
                <w:rStyle w:val="Hyperlink"/>
              </w:rPr>
              <w:t>‒</w:t>
            </w:r>
            <w:r w:rsidRPr="00A955AF">
              <w:rPr>
                <w:rStyle w:val="Hyperlink"/>
              </w:rPr>
              <w:t xml:space="preserve"> </w:t>
            </w:r>
            <w:r w:rsidRPr="005436D9">
              <w:rPr>
                <w:rStyle w:val="Hyperlink"/>
              </w:rPr>
              <w:t>Primární prevence a ochrana veřejného zdraví</w:t>
            </w:r>
            <w:r>
              <w:tab/>
            </w:r>
            <w:r>
              <w:fldChar w:fldCharType="begin"/>
            </w:r>
            <w:r>
              <w:instrText xml:space="preserve"> PAGEREF _Toc256000037 \h </w:instrText>
            </w:r>
            <w:r>
              <w:fldChar w:fldCharType="separate"/>
            </w:r>
            <w:r>
              <w:t>30</w:t>
            </w:r>
            <w:r>
              <w:fldChar w:fldCharType="end"/>
            </w:r>
          </w:hyperlink>
        </w:p>
        <w:p>
          <w:pPr>
            <w:pStyle w:val="TOC1"/>
            <w:rPr>
              <w:rFonts w:asciiTheme="minorHAnsi" w:hAnsiTheme="minorHAnsi"/>
              <w:noProof/>
              <w:sz w:val="22"/>
            </w:rPr>
          </w:pPr>
          <w:hyperlink w:anchor="_Toc256000038" w:history="1">
            <w:r>
              <w:rPr>
                <w:rStyle w:val="Hyperlink"/>
              </w:rPr>
              <w:t>2.2.2.</w:t>
            </w:r>
            <w:r>
              <w:rPr>
                <w:rFonts w:asciiTheme="minorHAnsi" w:hAnsiTheme="minorHAnsi"/>
                <w:noProof/>
                <w:sz w:val="22"/>
              </w:rPr>
              <w:tab/>
            </w:r>
            <w:r w:rsidRPr="00A955AF">
              <w:rPr>
                <w:rStyle w:val="Hyperlink"/>
              </w:rPr>
              <w:t>Specifický cíl 1.2</w:t>
            </w:r>
            <w:r>
              <w:rPr>
                <w:rStyle w:val="Hyperlink"/>
              </w:rPr>
              <w:t xml:space="preserve"> </w:t>
            </w:r>
            <w:r w:rsidRPr="00D43172">
              <w:rPr>
                <w:rStyle w:val="Hyperlink"/>
              </w:rPr>
              <w:t>‒</w:t>
            </w:r>
            <w:r w:rsidRPr="00A955AF">
              <w:rPr>
                <w:rStyle w:val="Hyperlink"/>
              </w:rPr>
              <w:t xml:space="preserve"> </w:t>
            </w:r>
            <w:r w:rsidRPr="004537D7">
              <w:rPr>
                <w:rStyle w:val="Hyperlink"/>
              </w:rPr>
              <w:t>Sekundární prevence a screeningové programy</w:t>
            </w:r>
            <w:r>
              <w:tab/>
            </w:r>
            <w:r>
              <w:fldChar w:fldCharType="begin"/>
            </w:r>
            <w:r>
              <w:instrText xml:space="preserve"> PAGEREF _Toc256000038 \h </w:instrText>
            </w:r>
            <w:r>
              <w:fldChar w:fldCharType="separate"/>
            </w:r>
            <w:r>
              <w:t>35</w:t>
            </w:r>
            <w:r>
              <w:fldChar w:fldCharType="end"/>
            </w:r>
          </w:hyperlink>
        </w:p>
        <w:p>
          <w:pPr>
            <w:pStyle w:val="TOC1"/>
            <w:rPr>
              <w:rFonts w:asciiTheme="minorHAnsi" w:hAnsiTheme="minorHAnsi"/>
              <w:noProof/>
              <w:sz w:val="22"/>
            </w:rPr>
          </w:pPr>
          <w:hyperlink w:anchor="_Toc256000039" w:history="1">
            <w:r>
              <w:rPr>
                <w:rStyle w:val="Hyperlink"/>
              </w:rPr>
              <w:t>2.2.3.</w:t>
            </w:r>
            <w:r>
              <w:rPr>
                <w:rFonts w:asciiTheme="minorHAnsi" w:hAnsiTheme="minorHAnsi"/>
                <w:noProof/>
                <w:sz w:val="22"/>
              </w:rPr>
              <w:tab/>
            </w:r>
            <w:r w:rsidRPr="007B4D90">
              <w:rPr>
                <w:rStyle w:val="Hyperlink"/>
              </w:rPr>
              <w:t>Specifický cíl 1.3 ‒ Léková politika a zvýšení dostupnosti léčiv</w:t>
            </w:r>
            <w:r>
              <w:tab/>
            </w:r>
            <w:r>
              <w:fldChar w:fldCharType="begin"/>
            </w:r>
            <w:r>
              <w:instrText xml:space="preserve"> PAGEREF _Toc256000039 \h </w:instrText>
            </w:r>
            <w:r>
              <w:fldChar w:fldCharType="separate"/>
            </w:r>
            <w:r>
              <w:t>38</w:t>
            </w:r>
            <w:r>
              <w:fldChar w:fldCharType="end"/>
            </w:r>
          </w:hyperlink>
        </w:p>
        <w:p>
          <w:pPr>
            <w:pStyle w:val="TOC1"/>
            <w:rPr>
              <w:rFonts w:asciiTheme="minorHAnsi" w:hAnsiTheme="minorHAnsi"/>
              <w:noProof/>
              <w:sz w:val="22"/>
            </w:rPr>
          </w:pPr>
          <w:hyperlink w:anchor="_Toc256000040" w:history="1">
            <w:r>
              <w:rPr>
                <w:rStyle w:val="Hyperlink"/>
              </w:rPr>
              <w:t>2.2.4.</w:t>
            </w:r>
            <w:r>
              <w:rPr>
                <w:rFonts w:asciiTheme="minorHAnsi" w:hAnsiTheme="minorHAnsi"/>
                <w:noProof/>
                <w:sz w:val="22"/>
              </w:rPr>
              <w:tab/>
            </w:r>
            <w:r w:rsidRPr="00D43172">
              <w:rPr>
                <w:rStyle w:val="Hyperlink"/>
              </w:rPr>
              <w:t xml:space="preserve">Specifický cíl </w:t>
            </w:r>
            <w:r>
              <w:rPr>
                <w:rStyle w:val="Hyperlink"/>
              </w:rPr>
              <w:t>2</w:t>
            </w:r>
            <w:r w:rsidRPr="00D43172">
              <w:rPr>
                <w:rStyle w:val="Hyperlink"/>
              </w:rPr>
              <w:t xml:space="preserve">.1 ‒ </w:t>
            </w:r>
            <w:r w:rsidRPr="00A955AF">
              <w:rPr>
                <w:rStyle w:val="Hyperlink"/>
              </w:rPr>
              <w:t>Reforma primární péče</w:t>
            </w:r>
            <w:r>
              <w:tab/>
            </w:r>
            <w:r>
              <w:fldChar w:fldCharType="begin"/>
            </w:r>
            <w:r>
              <w:instrText xml:space="preserve"> PAGEREF _Toc256000040 \h </w:instrText>
            </w:r>
            <w:r>
              <w:fldChar w:fldCharType="separate"/>
            </w:r>
            <w:r>
              <w:t>41</w:t>
            </w:r>
            <w:r>
              <w:fldChar w:fldCharType="end"/>
            </w:r>
          </w:hyperlink>
        </w:p>
        <w:p>
          <w:pPr>
            <w:pStyle w:val="TOC1"/>
            <w:rPr>
              <w:rFonts w:asciiTheme="minorHAnsi" w:hAnsiTheme="minorHAnsi"/>
              <w:noProof/>
              <w:sz w:val="22"/>
            </w:rPr>
          </w:pPr>
          <w:hyperlink w:anchor="_Toc256000041" w:history="1">
            <w:r>
              <w:rPr>
                <w:rStyle w:val="Hyperlink"/>
              </w:rPr>
              <w:t>2.2.5.</w:t>
            </w:r>
            <w:r>
              <w:rPr>
                <w:rFonts w:asciiTheme="minorHAnsi" w:hAnsiTheme="minorHAnsi"/>
                <w:noProof/>
                <w:sz w:val="22"/>
              </w:rPr>
              <w:tab/>
            </w:r>
            <w:r w:rsidRPr="00A30085">
              <w:rPr>
                <w:rStyle w:val="Hyperlink"/>
              </w:rPr>
              <w:t xml:space="preserve">Specifický cíl 2.2 ‒ </w:t>
            </w:r>
            <w:r w:rsidRPr="00A955AF">
              <w:rPr>
                <w:rStyle w:val="Hyperlink"/>
              </w:rPr>
              <w:t>Personální stabilizace resortu zdravotnictví.</w:t>
            </w:r>
            <w:r>
              <w:tab/>
            </w:r>
            <w:r>
              <w:fldChar w:fldCharType="begin"/>
            </w:r>
            <w:r>
              <w:instrText xml:space="preserve"> PAGEREF _Toc256000041 \h </w:instrText>
            </w:r>
            <w:r>
              <w:fldChar w:fldCharType="separate"/>
            </w:r>
            <w:r>
              <w:t>43</w:t>
            </w:r>
            <w:r>
              <w:fldChar w:fldCharType="end"/>
            </w:r>
          </w:hyperlink>
        </w:p>
        <w:p>
          <w:pPr>
            <w:pStyle w:val="TOC1"/>
            <w:rPr>
              <w:rFonts w:asciiTheme="minorHAnsi" w:hAnsiTheme="minorHAnsi"/>
              <w:noProof/>
              <w:sz w:val="22"/>
            </w:rPr>
          </w:pPr>
          <w:hyperlink w:anchor="_Toc256000042" w:history="1">
            <w:r>
              <w:rPr>
                <w:rStyle w:val="Hyperlink"/>
              </w:rPr>
              <w:t>2.2.6.</w:t>
            </w:r>
            <w:r>
              <w:rPr>
                <w:rFonts w:asciiTheme="minorHAnsi" w:hAnsiTheme="minorHAnsi"/>
                <w:noProof/>
                <w:sz w:val="22"/>
              </w:rPr>
              <w:tab/>
            </w:r>
            <w:r w:rsidRPr="00A955AF">
              <w:rPr>
                <w:rStyle w:val="Hyperlink"/>
              </w:rPr>
              <w:t>S</w:t>
            </w:r>
            <w:r w:rsidRPr="00A30085">
              <w:rPr>
                <w:rStyle w:val="Hyperlink"/>
              </w:rPr>
              <w:t xml:space="preserve">pecifický cíl 2.3 ‒ </w:t>
            </w:r>
            <w:r w:rsidRPr="00A955AF">
              <w:rPr>
                <w:rStyle w:val="Hyperlink"/>
              </w:rPr>
              <w:t>Digitalizace zdravotnictví</w:t>
            </w:r>
            <w:r>
              <w:tab/>
            </w:r>
            <w:r>
              <w:fldChar w:fldCharType="begin"/>
            </w:r>
            <w:r>
              <w:instrText xml:space="preserve"> PAGEREF _Toc256000042 \h </w:instrText>
            </w:r>
            <w:r>
              <w:fldChar w:fldCharType="separate"/>
            </w:r>
            <w:r>
              <w:t>46</w:t>
            </w:r>
            <w:r>
              <w:fldChar w:fldCharType="end"/>
            </w:r>
          </w:hyperlink>
        </w:p>
        <w:p>
          <w:pPr>
            <w:pStyle w:val="TOC1"/>
            <w:rPr>
              <w:rFonts w:asciiTheme="minorHAnsi" w:hAnsiTheme="minorHAnsi"/>
              <w:noProof/>
              <w:sz w:val="22"/>
            </w:rPr>
          </w:pPr>
          <w:hyperlink w:anchor="_Toc256000043" w:history="1">
            <w:r>
              <w:rPr>
                <w:rStyle w:val="Hyperlink"/>
              </w:rPr>
              <w:t>2.2.7.</w:t>
            </w:r>
            <w:r>
              <w:rPr>
                <w:rFonts w:asciiTheme="minorHAnsi" w:hAnsiTheme="minorHAnsi"/>
                <w:noProof/>
                <w:sz w:val="22"/>
              </w:rPr>
              <w:tab/>
            </w:r>
            <w:r w:rsidRPr="00A955AF">
              <w:rPr>
                <w:rStyle w:val="Hyperlink"/>
              </w:rPr>
              <w:t>Specifický cíl 2.4</w:t>
            </w:r>
            <w:r>
              <w:rPr>
                <w:rStyle w:val="Hyperlink"/>
              </w:rPr>
              <w:t xml:space="preserve"> </w:t>
            </w:r>
            <w:r w:rsidRPr="00A30085">
              <w:rPr>
                <w:rStyle w:val="Hyperlink"/>
              </w:rPr>
              <w:t>‒</w:t>
            </w:r>
            <w:r w:rsidRPr="00A955AF">
              <w:rPr>
                <w:rStyle w:val="Hyperlink"/>
              </w:rPr>
              <w:t xml:space="preserve"> Optimalizace systému úhrad ve zdravotnictví</w:t>
            </w:r>
            <w:r>
              <w:tab/>
            </w:r>
            <w:r>
              <w:fldChar w:fldCharType="begin"/>
            </w:r>
            <w:r>
              <w:instrText xml:space="preserve"> PAGEREF _Toc256000043 \h </w:instrText>
            </w:r>
            <w:r>
              <w:fldChar w:fldCharType="separate"/>
            </w:r>
            <w:r>
              <w:t>46</w:t>
            </w:r>
            <w:r>
              <w:fldChar w:fldCharType="end"/>
            </w:r>
          </w:hyperlink>
        </w:p>
        <w:p>
          <w:pPr>
            <w:pStyle w:val="TOC1"/>
            <w:rPr>
              <w:rFonts w:asciiTheme="minorHAnsi" w:hAnsiTheme="minorHAnsi"/>
              <w:noProof/>
              <w:sz w:val="22"/>
            </w:rPr>
          </w:pPr>
          <w:hyperlink w:anchor="_Toc256000044" w:history="1">
            <w:r>
              <w:rPr>
                <w:rStyle w:val="Hyperlink"/>
              </w:rPr>
              <w:t>2.2.8.</w:t>
            </w:r>
            <w:r>
              <w:rPr>
                <w:rFonts w:asciiTheme="minorHAnsi" w:hAnsiTheme="minorHAnsi"/>
                <w:noProof/>
                <w:sz w:val="22"/>
              </w:rPr>
              <w:tab/>
            </w:r>
            <w:r w:rsidRPr="004C0CFB" w:rsidR="006C359E">
              <w:rPr>
                <w:rStyle w:val="Hyperlink"/>
              </w:rPr>
              <w:t>Specifický cíl 2.</w:t>
            </w:r>
            <w:r w:rsidR="006C359E">
              <w:rPr>
                <w:rStyle w:val="Hyperlink"/>
              </w:rPr>
              <w:t>5</w:t>
            </w:r>
            <w:r w:rsidRPr="00225F93" w:rsidR="006C359E">
              <w:rPr>
                <w:rStyle w:val="Hyperlink"/>
              </w:rPr>
              <w:t xml:space="preserve"> ‒ </w:t>
            </w:r>
            <w:r w:rsidR="006C359E">
              <w:rPr>
                <w:rStyle w:val="Hyperlink"/>
              </w:rPr>
              <w:t>Péče na sociálně zdravotním pomezí</w:t>
            </w:r>
            <w:r>
              <w:tab/>
            </w:r>
            <w:r>
              <w:fldChar w:fldCharType="begin"/>
            </w:r>
            <w:r>
              <w:instrText xml:space="preserve"> PAGEREF _Toc256000044 \h </w:instrText>
            </w:r>
            <w:r>
              <w:fldChar w:fldCharType="separate"/>
            </w:r>
            <w:r>
              <w:t>49</w:t>
            </w:r>
            <w:r>
              <w:fldChar w:fldCharType="end"/>
            </w:r>
          </w:hyperlink>
        </w:p>
        <w:p>
          <w:pPr>
            <w:pStyle w:val="TOC1"/>
            <w:rPr>
              <w:rFonts w:asciiTheme="minorHAnsi" w:hAnsiTheme="minorHAnsi"/>
              <w:noProof/>
              <w:sz w:val="22"/>
            </w:rPr>
          </w:pPr>
          <w:hyperlink w:anchor="_Toc256000045" w:history="1">
            <w:r>
              <w:rPr>
                <w:rStyle w:val="Hyperlink"/>
              </w:rPr>
              <w:t>2.2.9.</w:t>
            </w:r>
            <w:r>
              <w:rPr>
                <w:rFonts w:asciiTheme="minorHAnsi" w:hAnsiTheme="minorHAnsi"/>
                <w:noProof/>
                <w:sz w:val="22"/>
              </w:rPr>
              <w:tab/>
            </w:r>
            <w:r w:rsidRPr="004C0CFB">
              <w:rPr>
                <w:rStyle w:val="Hyperlink"/>
              </w:rPr>
              <w:t>Specifický cíl 2.</w:t>
            </w:r>
            <w:r>
              <w:rPr>
                <w:rStyle w:val="Hyperlink"/>
              </w:rPr>
              <w:t>6</w:t>
            </w:r>
            <w:r w:rsidRPr="00225F93">
              <w:rPr>
                <w:rStyle w:val="Hyperlink"/>
              </w:rPr>
              <w:t xml:space="preserve"> ‒ </w:t>
            </w:r>
            <w:r>
              <w:rPr>
                <w:rStyle w:val="Hyperlink"/>
              </w:rPr>
              <w:t>Péče o duševní zdraví</w:t>
            </w:r>
            <w:r>
              <w:tab/>
            </w:r>
            <w:r>
              <w:fldChar w:fldCharType="begin"/>
            </w:r>
            <w:r>
              <w:instrText xml:space="preserve"> PAGEREF _Toc256000045 \h </w:instrText>
            </w:r>
            <w:r>
              <w:fldChar w:fldCharType="separate"/>
            </w:r>
            <w:r>
              <w:t>52</w:t>
            </w:r>
            <w:r>
              <w:fldChar w:fldCharType="end"/>
            </w:r>
          </w:hyperlink>
        </w:p>
        <w:p>
          <w:pPr>
            <w:pStyle w:val="TOC1"/>
            <w:rPr>
              <w:rFonts w:asciiTheme="minorHAnsi" w:hAnsiTheme="minorHAnsi"/>
              <w:noProof/>
              <w:sz w:val="22"/>
            </w:rPr>
          </w:pPr>
          <w:hyperlink w:anchor="_Toc256000046" w:history="1">
            <w:r>
              <w:rPr>
                <w:rStyle w:val="Hyperlink"/>
              </w:rPr>
              <w:t>2.2.10.</w:t>
            </w:r>
            <w:r>
              <w:rPr>
                <w:rFonts w:asciiTheme="minorHAnsi" w:hAnsiTheme="minorHAnsi"/>
                <w:noProof/>
                <w:sz w:val="22"/>
              </w:rPr>
              <w:tab/>
            </w:r>
            <w:r w:rsidRPr="004C0CFB">
              <w:rPr>
                <w:rStyle w:val="Hyperlink"/>
              </w:rPr>
              <w:t>Specifický cíl 2.</w:t>
            </w:r>
            <w:r>
              <w:rPr>
                <w:rStyle w:val="Hyperlink"/>
              </w:rPr>
              <w:t>7</w:t>
            </w:r>
            <w:r w:rsidRPr="00225F93">
              <w:rPr>
                <w:rStyle w:val="Hyperlink"/>
              </w:rPr>
              <w:t xml:space="preserve"> ‒ </w:t>
            </w:r>
            <w:r>
              <w:rPr>
                <w:rStyle w:val="Hyperlink"/>
              </w:rPr>
              <w:t>Specializovaná zdravotní péče</w:t>
            </w:r>
            <w:r>
              <w:tab/>
            </w:r>
            <w:r>
              <w:fldChar w:fldCharType="begin"/>
            </w:r>
            <w:r>
              <w:instrText xml:space="preserve"> PAGEREF _Toc256000046 \h </w:instrText>
            </w:r>
            <w:r>
              <w:fldChar w:fldCharType="separate"/>
            </w:r>
            <w:r>
              <w:t>53</w:t>
            </w:r>
            <w:r>
              <w:fldChar w:fldCharType="end"/>
            </w:r>
          </w:hyperlink>
        </w:p>
        <w:p>
          <w:pPr>
            <w:pStyle w:val="TOC1"/>
            <w:rPr>
              <w:rFonts w:asciiTheme="minorHAnsi" w:hAnsiTheme="minorHAnsi"/>
              <w:noProof/>
              <w:sz w:val="22"/>
            </w:rPr>
          </w:pPr>
          <w:hyperlink w:anchor="_Toc256000047" w:history="1">
            <w:r>
              <w:rPr>
                <w:rStyle w:val="Hyperlink"/>
              </w:rPr>
              <w:t>2.2.11.</w:t>
            </w:r>
            <w:r>
              <w:rPr>
                <w:rFonts w:asciiTheme="minorHAnsi" w:hAnsiTheme="minorHAnsi"/>
                <w:noProof/>
                <w:sz w:val="22"/>
              </w:rPr>
              <w:tab/>
            </w:r>
            <w:r w:rsidRPr="004C0CFB">
              <w:rPr>
                <w:rStyle w:val="Hyperlink"/>
              </w:rPr>
              <w:t>Specifický cíl 2.</w:t>
            </w:r>
            <w:r>
              <w:rPr>
                <w:rStyle w:val="Hyperlink"/>
              </w:rPr>
              <w:t>8</w:t>
            </w:r>
            <w:r w:rsidRPr="00225F93">
              <w:rPr>
                <w:rStyle w:val="Hyperlink"/>
              </w:rPr>
              <w:t xml:space="preserve"> </w:t>
            </w:r>
            <w:r w:rsidR="00102850">
              <w:rPr>
                <w:rStyle w:val="Hyperlink"/>
              </w:rPr>
              <w:t>-</w:t>
            </w:r>
            <w:r w:rsidRPr="00225F93">
              <w:rPr>
                <w:rStyle w:val="Hyperlink"/>
              </w:rPr>
              <w:t xml:space="preserve"> </w:t>
            </w:r>
            <w:r w:rsidR="00370D7A">
              <w:rPr>
                <w:rStyle w:val="Hyperlink"/>
              </w:rPr>
              <w:t>Zvýšení kvality poskytovaných zdravotních služeb v ČR</w:t>
            </w:r>
            <w:r>
              <w:tab/>
            </w:r>
            <w:r>
              <w:fldChar w:fldCharType="begin"/>
            </w:r>
            <w:r>
              <w:instrText xml:space="preserve"> PAGEREF _Toc256000047 \h </w:instrText>
            </w:r>
            <w:r>
              <w:fldChar w:fldCharType="separate"/>
            </w:r>
            <w:r>
              <w:t>57</w:t>
            </w:r>
            <w:r>
              <w:fldChar w:fldCharType="end"/>
            </w:r>
          </w:hyperlink>
        </w:p>
        <w:p>
          <w:pPr>
            <w:pStyle w:val="TOC1"/>
            <w:rPr>
              <w:rFonts w:asciiTheme="minorHAnsi" w:hAnsiTheme="minorHAnsi"/>
              <w:noProof/>
              <w:sz w:val="22"/>
            </w:rPr>
          </w:pPr>
          <w:hyperlink w:anchor="_Toc256000048" w:history="1">
            <w:r>
              <w:rPr>
                <w:rStyle w:val="Hyperlink"/>
              </w:rPr>
              <w:t>3.</w:t>
            </w:r>
            <w:r>
              <w:rPr>
                <w:rFonts w:asciiTheme="minorHAnsi" w:hAnsiTheme="minorHAnsi"/>
                <w:noProof/>
                <w:sz w:val="22"/>
              </w:rPr>
              <w:tab/>
            </w:r>
            <w:r w:rsidRPr="00A30085">
              <w:rPr>
                <w:rStyle w:val="Hyperlink"/>
              </w:rPr>
              <w:t xml:space="preserve">Návrhová část </w:t>
            </w:r>
            <w:r w:rsidRPr="00A30085" w:rsidR="005E6F53">
              <w:rPr>
                <w:rStyle w:val="Hyperlink"/>
              </w:rPr>
              <w:t>–</w:t>
            </w:r>
            <w:r w:rsidRPr="00A30085">
              <w:rPr>
                <w:rStyle w:val="Hyperlink"/>
              </w:rPr>
              <w:t xml:space="preserve"> </w:t>
            </w:r>
            <w:r w:rsidRPr="00A30085" w:rsidR="005E6F53">
              <w:rPr>
                <w:rStyle w:val="Hyperlink"/>
              </w:rPr>
              <w:t>specifické cíle</w:t>
            </w:r>
            <w:r>
              <w:tab/>
            </w:r>
            <w:r>
              <w:fldChar w:fldCharType="begin"/>
            </w:r>
            <w:r>
              <w:instrText xml:space="preserve"> PAGEREF _Toc256000048 \h </w:instrText>
            </w:r>
            <w:r>
              <w:fldChar w:fldCharType="separate"/>
            </w:r>
            <w:r>
              <w:t>66</w:t>
            </w:r>
            <w:r>
              <w:fldChar w:fldCharType="end"/>
            </w:r>
          </w:hyperlink>
        </w:p>
        <w:p>
          <w:pPr>
            <w:pStyle w:val="TOC1"/>
            <w:rPr>
              <w:rFonts w:asciiTheme="minorHAnsi" w:hAnsiTheme="minorHAnsi"/>
              <w:noProof/>
              <w:sz w:val="22"/>
            </w:rPr>
          </w:pPr>
          <w:hyperlink w:anchor="_Toc256000050" w:history="1">
            <w:r>
              <w:rPr>
                <w:rStyle w:val="Hyperlink"/>
              </w:rPr>
              <w:t>3.1.</w:t>
            </w:r>
            <w:r>
              <w:rPr>
                <w:rFonts w:asciiTheme="minorHAnsi" w:hAnsiTheme="minorHAnsi"/>
                <w:noProof/>
                <w:sz w:val="22"/>
              </w:rPr>
              <w:tab/>
            </w:r>
            <w:r>
              <w:rPr>
                <w:rStyle w:val="Hyperlink"/>
              </w:rPr>
              <w:t xml:space="preserve">SC 1.1 </w:t>
            </w:r>
            <w:r w:rsidRPr="00562C2F" w:rsidR="00D2750E">
              <w:rPr>
                <w:rStyle w:val="Hyperlink"/>
              </w:rPr>
              <w:t>Primární prevence a ochrana veřejného zdraví</w:t>
            </w:r>
            <w:r>
              <w:tab/>
            </w:r>
            <w:r>
              <w:fldChar w:fldCharType="begin"/>
            </w:r>
            <w:r>
              <w:instrText xml:space="preserve"> PAGEREF _Toc256000050 \h </w:instrText>
            </w:r>
            <w:r>
              <w:fldChar w:fldCharType="separate"/>
            </w:r>
            <w:r>
              <w:t>69</w:t>
            </w:r>
            <w:r>
              <w:fldChar w:fldCharType="end"/>
            </w:r>
          </w:hyperlink>
        </w:p>
        <w:p>
          <w:pPr>
            <w:pStyle w:val="TOC1"/>
            <w:rPr>
              <w:rFonts w:asciiTheme="minorHAnsi" w:hAnsiTheme="minorHAnsi"/>
              <w:noProof/>
              <w:sz w:val="22"/>
            </w:rPr>
          </w:pPr>
          <w:hyperlink w:anchor="_Toc256000051" w:history="1">
            <w:r>
              <w:rPr>
                <w:rStyle w:val="Hyperlink"/>
              </w:rPr>
              <w:t>3.2.</w:t>
            </w:r>
            <w:r>
              <w:rPr>
                <w:rFonts w:asciiTheme="minorHAnsi" w:hAnsiTheme="minorHAnsi"/>
                <w:noProof/>
                <w:sz w:val="22"/>
              </w:rPr>
              <w:tab/>
            </w:r>
            <w:r>
              <w:rPr>
                <w:rStyle w:val="Hyperlink"/>
              </w:rPr>
              <w:t xml:space="preserve">SC 1.2 </w:t>
            </w:r>
            <w:r w:rsidR="6ECFCF1B">
              <w:rPr>
                <w:rStyle w:val="Hyperlink"/>
              </w:rPr>
              <w:t>Sekundární prevence a screeningové programy</w:t>
            </w:r>
            <w:r>
              <w:tab/>
            </w:r>
            <w:r>
              <w:fldChar w:fldCharType="begin"/>
            </w:r>
            <w:r>
              <w:instrText xml:space="preserve"> PAGEREF _Toc256000051 \h </w:instrText>
            </w:r>
            <w:r>
              <w:fldChar w:fldCharType="separate"/>
            </w:r>
            <w:r>
              <w:t>75</w:t>
            </w:r>
            <w:r>
              <w:fldChar w:fldCharType="end"/>
            </w:r>
          </w:hyperlink>
        </w:p>
        <w:p>
          <w:pPr>
            <w:pStyle w:val="TOC1"/>
            <w:rPr>
              <w:rFonts w:asciiTheme="minorHAnsi" w:hAnsiTheme="minorHAnsi"/>
              <w:noProof/>
              <w:sz w:val="22"/>
            </w:rPr>
          </w:pPr>
          <w:hyperlink w:anchor="_Toc256000052" w:history="1">
            <w:r>
              <w:rPr>
                <w:rStyle w:val="Hyperlink"/>
              </w:rPr>
              <w:t>3.3.</w:t>
            </w:r>
            <w:r>
              <w:rPr>
                <w:rFonts w:asciiTheme="minorHAnsi" w:hAnsiTheme="minorHAnsi"/>
                <w:noProof/>
                <w:sz w:val="22"/>
              </w:rPr>
              <w:tab/>
            </w:r>
            <w:r>
              <w:rPr>
                <w:rStyle w:val="Hyperlink"/>
              </w:rPr>
              <w:t xml:space="preserve">SC 1.3 </w:t>
            </w:r>
            <w:r w:rsidR="00434E5A">
              <w:rPr>
                <w:rStyle w:val="Hyperlink"/>
              </w:rPr>
              <w:t>Léková politika a zvýšení dostupnosti léčiv</w:t>
            </w:r>
            <w:r>
              <w:tab/>
            </w:r>
            <w:r>
              <w:fldChar w:fldCharType="begin"/>
            </w:r>
            <w:r>
              <w:instrText xml:space="preserve"> PAGEREF _Toc256000052 \h </w:instrText>
            </w:r>
            <w:r>
              <w:fldChar w:fldCharType="separate"/>
            </w:r>
            <w:r>
              <w:t>79</w:t>
            </w:r>
            <w:r>
              <w:fldChar w:fldCharType="end"/>
            </w:r>
          </w:hyperlink>
        </w:p>
        <w:p>
          <w:pPr>
            <w:pStyle w:val="TOC1"/>
            <w:rPr>
              <w:rFonts w:asciiTheme="minorHAnsi" w:hAnsiTheme="minorHAnsi"/>
              <w:noProof/>
              <w:sz w:val="22"/>
            </w:rPr>
          </w:pPr>
          <w:hyperlink w:anchor="_Toc256000053" w:history="1">
            <w:r>
              <w:rPr>
                <w:rStyle w:val="Hyperlink"/>
              </w:rPr>
              <w:t>3.4.</w:t>
            </w:r>
            <w:r>
              <w:rPr>
                <w:rFonts w:asciiTheme="minorHAnsi" w:hAnsiTheme="minorHAnsi"/>
                <w:noProof/>
                <w:sz w:val="22"/>
              </w:rPr>
              <w:tab/>
            </w:r>
            <w:r>
              <w:rPr>
                <w:rStyle w:val="Hyperlink"/>
              </w:rPr>
              <w:t xml:space="preserve">SC 2.1 </w:t>
            </w:r>
            <w:r w:rsidRPr="00A955AF" w:rsidR="00B071ED">
              <w:rPr>
                <w:rStyle w:val="Hyperlink"/>
              </w:rPr>
              <w:t>Reforma primární péče</w:t>
            </w:r>
            <w:r>
              <w:tab/>
            </w:r>
            <w:r>
              <w:fldChar w:fldCharType="begin"/>
            </w:r>
            <w:r>
              <w:instrText xml:space="preserve"> PAGEREF _Toc256000053 \h </w:instrText>
            </w:r>
            <w:r>
              <w:fldChar w:fldCharType="separate"/>
            </w:r>
            <w:r>
              <w:t>86</w:t>
            </w:r>
            <w:r>
              <w:fldChar w:fldCharType="end"/>
            </w:r>
          </w:hyperlink>
        </w:p>
        <w:p>
          <w:pPr>
            <w:pStyle w:val="TOC1"/>
            <w:rPr>
              <w:rFonts w:asciiTheme="minorHAnsi" w:hAnsiTheme="minorHAnsi"/>
              <w:noProof/>
              <w:sz w:val="22"/>
            </w:rPr>
          </w:pPr>
          <w:hyperlink w:anchor="_Toc256000054" w:history="1">
            <w:r>
              <w:rPr>
                <w:rStyle w:val="Hyperlink"/>
              </w:rPr>
              <w:t>3.5.</w:t>
            </w:r>
            <w:r>
              <w:rPr>
                <w:rFonts w:asciiTheme="minorHAnsi" w:hAnsiTheme="minorHAnsi"/>
                <w:noProof/>
                <w:sz w:val="22"/>
              </w:rPr>
              <w:tab/>
            </w:r>
            <w:r>
              <w:rPr>
                <w:rStyle w:val="Hyperlink"/>
              </w:rPr>
              <w:t xml:space="preserve">SC 2.2 </w:t>
            </w:r>
            <w:r w:rsidRPr="00A955AF" w:rsidR="00244EE3">
              <w:rPr>
                <w:rStyle w:val="Hyperlink"/>
              </w:rPr>
              <w:t>Personální stabilizace resortu zdravotnictví</w:t>
            </w:r>
            <w:r>
              <w:tab/>
            </w:r>
            <w:r>
              <w:fldChar w:fldCharType="begin"/>
            </w:r>
            <w:r>
              <w:instrText xml:space="preserve"> PAGEREF _Toc256000054 \h </w:instrText>
            </w:r>
            <w:r>
              <w:fldChar w:fldCharType="separate"/>
            </w:r>
            <w:r>
              <w:t>91</w:t>
            </w:r>
            <w:r>
              <w:fldChar w:fldCharType="end"/>
            </w:r>
          </w:hyperlink>
        </w:p>
        <w:p>
          <w:pPr>
            <w:pStyle w:val="TOC1"/>
            <w:rPr>
              <w:rFonts w:asciiTheme="minorHAnsi" w:hAnsiTheme="minorHAnsi"/>
              <w:noProof/>
              <w:sz w:val="22"/>
            </w:rPr>
          </w:pPr>
          <w:hyperlink w:anchor="_Toc256000055" w:history="1">
            <w:r>
              <w:rPr>
                <w:rStyle w:val="Hyperlink"/>
              </w:rPr>
              <w:t>3.6.</w:t>
            </w:r>
            <w:r>
              <w:rPr>
                <w:rFonts w:asciiTheme="minorHAnsi" w:hAnsiTheme="minorHAnsi"/>
                <w:noProof/>
                <w:sz w:val="22"/>
              </w:rPr>
              <w:tab/>
            </w:r>
            <w:r>
              <w:rPr>
                <w:rStyle w:val="Hyperlink"/>
              </w:rPr>
              <w:t xml:space="preserve">SC 2.3 </w:t>
            </w:r>
            <w:r w:rsidRPr="00A955AF" w:rsidR="00244EE3">
              <w:rPr>
                <w:rStyle w:val="Hyperlink"/>
              </w:rPr>
              <w:t>Digitalizace zdravotnictví</w:t>
            </w:r>
            <w:r>
              <w:tab/>
            </w:r>
            <w:r>
              <w:fldChar w:fldCharType="begin"/>
            </w:r>
            <w:r>
              <w:instrText xml:space="preserve"> PAGEREF _Toc256000055 \h </w:instrText>
            </w:r>
            <w:r>
              <w:fldChar w:fldCharType="separate"/>
            </w:r>
            <w:r>
              <w:t>97</w:t>
            </w:r>
            <w:r>
              <w:fldChar w:fldCharType="end"/>
            </w:r>
          </w:hyperlink>
        </w:p>
        <w:p>
          <w:pPr>
            <w:pStyle w:val="TOC1"/>
            <w:rPr>
              <w:rFonts w:asciiTheme="minorHAnsi" w:hAnsiTheme="minorHAnsi"/>
              <w:noProof/>
              <w:sz w:val="22"/>
            </w:rPr>
          </w:pPr>
          <w:hyperlink w:anchor="_Toc256000056" w:history="1">
            <w:r>
              <w:rPr>
                <w:rStyle w:val="Hyperlink"/>
              </w:rPr>
              <w:t>3.7.</w:t>
            </w:r>
            <w:r>
              <w:rPr>
                <w:rFonts w:asciiTheme="minorHAnsi" w:hAnsiTheme="minorHAnsi"/>
                <w:noProof/>
                <w:sz w:val="22"/>
              </w:rPr>
              <w:tab/>
            </w:r>
            <w:r>
              <w:rPr>
                <w:rStyle w:val="Hyperlink"/>
              </w:rPr>
              <w:t xml:space="preserve">SC 2.4 </w:t>
            </w:r>
            <w:r w:rsidRPr="00A955AF" w:rsidR="00244EE3">
              <w:rPr>
                <w:rStyle w:val="Hyperlink"/>
              </w:rPr>
              <w:t>Optimalizace systému úhrad ve zdravotnictví</w:t>
            </w:r>
            <w:r>
              <w:tab/>
            </w:r>
            <w:r>
              <w:fldChar w:fldCharType="begin"/>
            </w:r>
            <w:r>
              <w:instrText xml:space="preserve"> PAGEREF _Toc256000056 \h </w:instrText>
            </w:r>
            <w:r>
              <w:fldChar w:fldCharType="separate"/>
            </w:r>
            <w:r>
              <w:t>104</w:t>
            </w:r>
            <w:r>
              <w:fldChar w:fldCharType="end"/>
            </w:r>
          </w:hyperlink>
        </w:p>
        <w:p>
          <w:pPr>
            <w:pStyle w:val="TOC1"/>
            <w:rPr>
              <w:rFonts w:asciiTheme="minorHAnsi" w:hAnsiTheme="minorHAnsi"/>
              <w:noProof/>
              <w:sz w:val="22"/>
            </w:rPr>
          </w:pPr>
          <w:hyperlink w:anchor="_Toc256000057" w:history="1">
            <w:r>
              <w:rPr>
                <w:rStyle w:val="Hyperlink"/>
              </w:rPr>
              <w:t>3.8.</w:t>
            </w:r>
            <w:r>
              <w:rPr>
                <w:rFonts w:asciiTheme="minorHAnsi" w:hAnsiTheme="minorHAnsi"/>
                <w:noProof/>
                <w:sz w:val="22"/>
              </w:rPr>
              <w:tab/>
            </w:r>
            <w:r>
              <w:rPr>
                <w:rStyle w:val="Hyperlink"/>
              </w:rPr>
              <w:t xml:space="preserve">SC 2.5 </w:t>
            </w:r>
            <w:r w:rsidRPr="00B90F50" w:rsidR="00B90F50">
              <w:rPr>
                <w:rStyle w:val="Hyperlink"/>
              </w:rPr>
              <w:t>Péče na sociálně zdravotním pomezí</w:t>
            </w:r>
            <w:r>
              <w:tab/>
            </w:r>
            <w:r>
              <w:fldChar w:fldCharType="begin"/>
            </w:r>
            <w:r>
              <w:instrText xml:space="preserve"> PAGEREF _Toc256000057 \h </w:instrText>
            </w:r>
            <w:r>
              <w:fldChar w:fldCharType="separate"/>
            </w:r>
            <w:r>
              <w:t>108</w:t>
            </w:r>
            <w:r>
              <w:fldChar w:fldCharType="end"/>
            </w:r>
          </w:hyperlink>
        </w:p>
        <w:p>
          <w:pPr>
            <w:pStyle w:val="TOC1"/>
            <w:rPr>
              <w:rFonts w:asciiTheme="minorHAnsi" w:hAnsiTheme="minorHAnsi"/>
              <w:noProof/>
              <w:sz w:val="22"/>
            </w:rPr>
          </w:pPr>
          <w:hyperlink w:anchor="_Toc256000059" w:history="1">
            <w:r>
              <w:rPr>
                <w:rStyle w:val="Hyperlink"/>
              </w:rPr>
              <w:t>3.9.</w:t>
            </w:r>
            <w:r>
              <w:rPr>
                <w:rFonts w:asciiTheme="minorHAnsi" w:hAnsiTheme="minorHAnsi"/>
                <w:noProof/>
                <w:sz w:val="22"/>
              </w:rPr>
              <w:tab/>
            </w:r>
            <w:r>
              <w:rPr>
                <w:rStyle w:val="Hyperlink"/>
              </w:rPr>
              <w:t xml:space="preserve">SC 2.6 </w:t>
            </w:r>
            <w:r w:rsidRPr="00D63B35" w:rsidR="006B7070">
              <w:rPr>
                <w:rStyle w:val="Hyperlink"/>
              </w:rPr>
              <w:t>Péče o duševní zdraví</w:t>
            </w:r>
            <w:r>
              <w:tab/>
            </w:r>
            <w:r>
              <w:fldChar w:fldCharType="begin"/>
            </w:r>
            <w:r>
              <w:instrText xml:space="preserve"> PAGEREF _Toc256000059 \h </w:instrText>
            </w:r>
            <w:r>
              <w:fldChar w:fldCharType="separate"/>
            </w:r>
            <w:r>
              <w:t>113</w:t>
            </w:r>
            <w:r>
              <w:fldChar w:fldCharType="end"/>
            </w:r>
          </w:hyperlink>
        </w:p>
        <w:p>
          <w:pPr>
            <w:pStyle w:val="TOC1"/>
            <w:rPr>
              <w:rFonts w:asciiTheme="minorHAnsi" w:hAnsiTheme="minorHAnsi"/>
              <w:noProof/>
              <w:sz w:val="22"/>
            </w:rPr>
          </w:pPr>
          <w:hyperlink w:anchor="_Toc256000060" w:history="1">
            <w:r>
              <w:rPr>
                <w:rStyle w:val="Hyperlink"/>
              </w:rPr>
              <w:t>3.10.</w:t>
            </w:r>
            <w:r>
              <w:rPr>
                <w:rFonts w:asciiTheme="minorHAnsi" w:hAnsiTheme="minorHAnsi"/>
                <w:noProof/>
                <w:sz w:val="22"/>
              </w:rPr>
              <w:tab/>
            </w:r>
            <w:r>
              <w:rPr>
                <w:rStyle w:val="Hyperlink"/>
              </w:rPr>
              <w:t xml:space="preserve">SC 2.7 </w:t>
            </w:r>
            <w:r w:rsidRPr="00D37617" w:rsidR="006B7070">
              <w:rPr>
                <w:rStyle w:val="Hyperlink"/>
              </w:rPr>
              <w:t>Specializovaná zdravotní péče</w:t>
            </w:r>
            <w:r>
              <w:tab/>
            </w:r>
            <w:r>
              <w:fldChar w:fldCharType="begin"/>
            </w:r>
            <w:r>
              <w:instrText xml:space="preserve"> PAGEREF _Toc256000060 \h </w:instrText>
            </w:r>
            <w:r>
              <w:fldChar w:fldCharType="separate"/>
            </w:r>
            <w:r>
              <w:t>118</w:t>
            </w:r>
            <w:r>
              <w:fldChar w:fldCharType="end"/>
            </w:r>
          </w:hyperlink>
        </w:p>
        <w:p>
          <w:pPr>
            <w:pStyle w:val="TOC1"/>
            <w:rPr>
              <w:rFonts w:asciiTheme="minorHAnsi" w:hAnsiTheme="minorHAnsi"/>
              <w:noProof/>
              <w:sz w:val="22"/>
            </w:rPr>
          </w:pPr>
          <w:hyperlink w:anchor="_Toc256000061" w:history="1">
            <w:r w:rsidRPr="00021EEE">
              <w:rPr>
                <w:rStyle w:val="Hyperlink"/>
                <w:rFonts w:cstheme="minorHAnsi"/>
                <w:b/>
                <w:bCs/>
              </w:rPr>
              <w:t>Podpora onkologické péče</w:t>
            </w:r>
            <w:r>
              <w:tab/>
            </w:r>
            <w:r>
              <w:fldChar w:fldCharType="begin"/>
            </w:r>
            <w:r>
              <w:instrText xml:space="preserve"> PAGEREF _Toc256000061 \h </w:instrText>
            </w:r>
            <w:r>
              <w:fldChar w:fldCharType="separate"/>
            </w:r>
            <w:r>
              <w:t>125</w:t>
            </w:r>
            <w:r>
              <w:fldChar w:fldCharType="end"/>
            </w:r>
          </w:hyperlink>
        </w:p>
        <w:p>
          <w:pPr>
            <w:pStyle w:val="TOC1"/>
            <w:rPr>
              <w:rFonts w:asciiTheme="minorHAnsi" w:hAnsiTheme="minorHAnsi"/>
              <w:noProof/>
              <w:sz w:val="22"/>
            </w:rPr>
          </w:pPr>
          <w:hyperlink w:anchor="_Toc256000062" w:history="1">
            <w:r>
              <w:rPr>
                <w:rStyle w:val="Hyperlink"/>
              </w:rPr>
              <w:t>3.11.</w:t>
            </w:r>
            <w:r>
              <w:rPr>
                <w:rFonts w:asciiTheme="minorHAnsi" w:hAnsiTheme="minorHAnsi"/>
                <w:noProof/>
                <w:sz w:val="22"/>
              </w:rPr>
              <w:tab/>
            </w:r>
            <w:r>
              <w:rPr>
                <w:rStyle w:val="Hyperlink"/>
              </w:rPr>
              <w:t xml:space="preserve">SC 2.8 </w:t>
            </w:r>
            <w:r w:rsidRPr="007960F5" w:rsidR="007960F5">
              <w:rPr>
                <w:rStyle w:val="Hyperlink"/>
              </w:rPr>
              <w:t>Zvýšení kvality poskytovaných zdravotních služeb v ČR</w:t>
            </w:r>
            <w:r>
              <w:tab/>
            </w:r>
            <w:r>
              <w:fldChar w:fldCharType="begin"/>
            </w:r>
            <w:r>
              <w:instrText xml:space="preserve"> PAGEREF _Toc256000062 \h </w:instrText>
            </w:r>
            <w:r>
              <w:fldChar w:fldCharType="separate"/>
            </w:r>
            <w:r>
              <w:t>127</w:t>
            </w:r>
            <w:r>
              <w:fldChar w:fldCharType="end"/>
            </w:r>
          </w:hyperlink>
        </w:p>
        <w:p>
          <w:pPr>
            <w:pStyle w:val="TOC1"/>
            <w:rPr>
              <w:rFonts w:asciiTheme="minorHAnsi" w:hAnsiTheme="minorHAnsi"/>
              <w:noProof/>
              <w:sz w:val="22"/>
            </w:rPr>
          </w:pPr>
          <w:hyperlink w:anchor="_Toc256000063" w:history="1">
            <w:r>
              <w:rPr>
                <w:rStyle w:val="Hyperlink"/>
              </w:rPr>
              <w:t>3.12.</w:t>
            </w:r>
            <w:r>
              <w:rPr>
                <w:rFonts w:asciiTheme="minorHAnsi" w:hAnsiTheme="minorHAnsi"/>
                <w:noProof/>
                <w:sz w:val="22"/>
              </w:rPr>
              <w:tab/>
            </w:r>
            <w:r>
              <w:rPr>
                <w:rStyle w:val="Hyperlink"/>
              </w:rPr>
              <w:t xml:space="preserve">SC 3.1 </w:t>
            </w:r>
            <w:r w:rsidRPr="00A955AF" w:rsidR="00244EE3">
              <w:rPr>
                <w:rStyle w:val="Hyperlink"/>
              </w:rPr>
              <w:t>Zapojení vědy a výzkumu do řešení prioritních úkolů zdravotnictví</w:t>
            </w:r>
            <w:r>
              <w:tab/>
            </w:r>
            <w:r>
              <w:fldChar w:fldCharType="begin"/>
            </w:r>
            <w:r>
              <w:instrText xml:space="preserve"> PAGEREF _Toc256000063 \h </w:instrText>
            </w:r>
            <w:r>
              <w:fldChar w:fldCharType="separate"/>
            </w:r>
            <w:r>
              <w:t>134</w:t>
            </w:r>
            <w:r>
              <w:fldChar w:fldCharType="end"/>
            </w:r>
          </w:hyperlink>
        </w:p>
        <w:p>
          <w:pPr>
            <w:pStyle w:val="TOC1"/>
            <w:rPr>
              <w:rFonts w:asciiTheme="minorHAnsi" w:hAnsiTheme="minorHAnsi"/>
              <w:noProof/>
              <w:sz w:val="22"/>
            </w:rPr>
          </w:pPr>
          <w:hyperlink w:anchor="_Toc256000064" w:history="1">
            <w:r>
              <w:rPr>
                <w:rStyle w:val="Hyperlink"/>
              </w:rPr>
              <w:t>4.</w:t>
            </w:r>
            <w:r>
              <w:rPr>
                <w:rFonts w:asciiTheme="minorHAnsi" w:hAnsiTheme="minorHAnsi"/>
                <w:noProof/>
                <w:sz w:val="22"/>
              </w:rPr>
              <w:tab/>
            </w:r>
            <w:r w:rsidRPr="00163C98">
              <w:rPr>
                <w:rStyle w:val="Hyperlink"/>
              </w:rPr>
              <w:t>Implementace Strategického rámce Zdraví 203</w:t>
            </w:r>
            <w:r w:rsidR="00AD522B">
              <w:rPr>
                <w:rStyle w:val="Hyperlink"/>
              </w:rPr>
              <w:t>5</w:t>
            </w:r>
            <w:r>
              <w:tab/>
            </w:r>
            <w:r>
              <w:fldChar w:fldCharType="begin"/>
            </w:r>
            <w:r>
              <w:instrText xml:space="preserve"> PAGEREF _Toc256000064 \h </w:instrText>
            </w:r>
            <w:r>
              <w:fldChar w:fldCharType="separate"/>
            </w:r>
            <w:r>
              <w:t>140</w:t>
            </w:r>
            <w:r>
              <w:fldChar w:fldCharType="end"/>
            </w:r>
          </w:hyperlink>
        </w:p>
        <w:p>
          <w:pPr>
            <w:pStyle w:val="TOC1"/>
            <w:rPr>
              <w:rFonts w:asciiTheme="minorHAnsi" w:hAnsiTheme="minorHAnsi"/>
              <w:noProof/>
              <w:sz w:val="22"/>
            </w:rPr>
          </w:pPr>
          <w:hyperlink w:anchor="_Toc256000067" w:history="1">
            <w:r>
              <w:rPr>
                <w:rStyle w:val="Hyperlink"/>
              </w:rPr>
              <w:t>4.1.</w:t>
            </w:r>
            <w:r>
              <w:rPr>
                <w:rFonts w:asciiTheme="minorHAnsi" w:hAnsiTheme="minorHAnsi"/>
                <w:noProof/>
                <w:sz w:val="22"/>
              </w:rPr>
              <w:tab/>
            </w:r>
            <w:r w:rsidRPr="00A955AF">
              <w:rPr>
                <w:rStyle w:val="Hyperlink"/>
              </w:rPr>
              <w:t>Monitoring</w:t>
            </w:r>
            <w:r w:rsidRPr="00A955AF" w:rsidR="00590DC2">
              <w:rPr>
                <w:rStyle w:val="Hyperlink"/>
              </w:rPr>
              <w:t>, evaluace</w:t>
            </w:r>
            <w:r>
              <w:tab/>
            </w:r>
            <w:r>
              <w:fldChar w:fldCharType="begin"/>
            </w:r>
            <w:r>
              <w:instrText xml:space="preserve"> PAGEREF _Toc256000067 \h </w:instrText>
            </w:r>
            <w:r>
              <w:fldChar w:fldCharType="separate"/>
            </w:r>
            <w:r>
              <w:t>140</w:t>
            </w:r>
            <w:r>
              <w:fldChar w:fldCharType="end"/>
            </w:r>
          </w:hyperlink>
        </w:p>
        <w:p>
          <w:pPr>
            <w:pStyle w:val="TOC1"/>
            <w:rPr>
              <w:rFonts w:asciiTheme="minorHAnsi" w:hAnsiTheme="minorHAnsi"/>
              <w:noProof/>
              <w:sz w:val="22"/>
            </w:rPr>
          </w:pPr>
          <w:hyperlink w:anchor="_Toc256000068" w:history="1">
            <w:r>
              <w:rPr>
                <w:rStyle w:val="Hyperlink"/>
              </w:rPr>
              <w:t>4.2.</w:t>
            </w:r>
            <w:r>
              <w:rPr>
                <w:rFonts w:asciiTheme="minorHAnsi" w:hAnsiTheme="minorHAnsi"/>
                <w:noProof/>
                <w:sz w:val="22"/>
              </w:rPr>
              <w:tab/>
            </w:r>
            <w:r w:rsidRPr="006C359E">
              <w:rPr>
                <w:rStyle w:val="Hyperlink"/>
              </w:rPr>
              <w:t>Indikátory a klíčové předpoklady realizace</w:t>
            </w:r>
            <w:r>
              <w:tab/>
            </w:r>
            <w:r>
              <w:fldChar w:fldCharType="begin"/>
            </w:r>
            <w:r>
              <w:instrText xml:space="preserve"> PAGEREF _Toc256000068 \h </w:instrText>
            </w:r>
            <w:r>
              <w:fldChar w:fldCharType="separate"/>
            </w:r>
            <w:r>
              <w:t>143</w:t>
            </w:r>
            <w:r>
              <w:fldChar w:fldCharType="end"/>
            </w:r>
          </w:hyperlink>
        </w:p>
        <w:p>
          <w:pPr>
            <w:pStyle w:val="TOC1"/>
            <w:rPr>
              <w:rFonts w:asciiTheme="minorHAnsi" w:hAnsiTheme="minorHAnsi"/>
              <w:noProof/>
              <w:sz w:val="22"/>
            </w:rPr>
          </w:pPr>
          <w:hyperlink w:anchor="_Toc256000069" w:history="1">
            <w:r>
              <w:rPr>
                <w:rStyle w:val="Hyperlink"/>
              </w:rPr>
              <w:t>5.</w:t>
            </w:r>
            <w:r>
              <w:rPr>
                <w:rFonts w:asciiTheme="minorHAnsi" w:hAnsiTheme="minorHAnsi"/>
                <w:noProof/>
                <w:sz w:val="22"/>
              </w:rPr>
              <w:tab/>
            </w:r>
            <w:r w:rsidRPr="00163C98">
              <w:rPr>
                <w:rStyle w:val="Hyperlink"/>
              </w:rPr>
              <w:t>Závěr</w:t>
            </w:r>
            <w:r>
              <w:tab/>
            </w:r>
            <w:r>
              <w:fldChar w:fldCharType="begin"/>
            </w:r>
            <w:r>
              <w:instrText xml:space="preserve"> PAGEREF _Toc256000069 \h </w:instrText>
            </w:r>
            <w:r>
              <w:fldChar w:fldCharType="separate"/>
            </w:r>
            <w:r>
              <w:t>154</w:t>
            </w:r>
            <w:r>
              <w:fldChar w:fldCharType="end"/>
            </w:r>
          </w:hyperlink>
        </w:p>
        <w:p>
          <w:pPr>
            <w:pStyle w:val="TOC1"/>
            <w:rPr>
              <w:rFonts w:asciiTheme="minorHAnsi" w:hAnsiTheme="minorHAnsi"/>
              <w:noProof/>
              <w:sz w:val="22"/>
            </w:rPr>
          </w:pPr>
          <w:hyperlink w:anchor="_Toc256000070" w:history="1">
            <w:r>
              <w:rPr>
                <w:rStyle w:val="Hyperlink"/>
              </w:rPr>
              <w:t>6.</w:t>
            </w:r>
            <w:r>
              <w:rPr>
                <w:rFonts w:asciiTheme="minorHAnsi" w:hAnsiTheme="minorHAnsi"/>
                <w:noProof/>
                <w:sz w:val="22"/>
              </w:rPr>
              <w:tab/>
            </w:r>
            <w:r w:rsidRPr="00163C98">
              <w:rPr>
                <w:rStyle w:val="Hyperlink"/>
              </w:rPr>
              <w:t>Seznam zkratek</w:t>
            </w:r>
            <w:r>
              <w:tab/>
            </w:r>
            <w:r>
              <w:fldChar w:fldCharType="begin"/>
            </w:r>
            <w:r>
              <w:instrText xml:space="preserve"> PAGEREF _Toc256000070 \h </w:instrText>
            </w:r>
            <w:r>
              <w:fldChar w:fldCharType="separate"/>
            </w:r>
            <w:r>
              <w:t>156</w:t>
            </w:r>
            <w:r>
              <w:fldChar w:fldCharType="end"/>
            </w:r>
          </w:hyperlink>
        </w:p>
        <w:p w:rsidR="0010317C" w:rsidRPr="00A955AF">
          <w:r w:rsidRPr="00A955AF">
            <w:rPr>
              <w:b/>
              <w:bCs/>
            </w:rPr>
            <w:fldChar w:fldCharType="end"/>
          </w:r>
        </w:p>
      </w:sdtContent>
    </w:sdt>
    <w:p w:rsidR="008B316B" w:rsidRPr="00A955AF" w:rsidP="008B316B" w14:paraId="4116B1C6" w14:textId="77777777"/>
    <w:p w:rsidR="00B6419C" w:rsidRPr="00A955AF" w:rsidP="005D78FA" w14:paraId="3129FD7D" w14:textId="06F88189">
      <w:pPr>
        <w:spacing w:before="0" w:line="264" w:lineRule="auto"/>
        <w:jc w:val="left"/>
      </w:pPr>
      <w:r w:rsidRPr="00A955AF">
        <w:br w:type="page"/>
      </w:r>
      <w:bookmarkStart w:id="424" w:name="_Toc535312487"/>
      <w:bookmarkStart w:id="425" w:name="_Toc7705121"/>
      <w:bookmarkStart w:id="426" w:name="_Ref7705252"/>
      <w:bookmarkStart w:id="427" w:name="_Toc7705592"/>
      <w:bookmarkEnd w:id="423"/>
    </w:p>
    <w:p w:rsidR="00B6419C" w:rsidRPr="00A955AF" w:rsidP="009F13CC" w14:paraId="5761D014" w14:textId="4AF9DC3D">
      <w:pPr>
        <w:pStyle w:val="Heading1"/>
      </w:pPr>
      <w:bookmarkStart w:id="428" w:name="_Toc256000019"/>
      <w:r w:rsidRPr="00A955AF">
        <w:rPr>
          <w:color w:val="1F497D" w:themeColor="text2"/>
        </w:rPr>
        <w:t>Úvod</w:t>
      </w:r>
      <w:bookmarkEnd w:id="428"/>
      <w:bookmarkStart w:id="429" w:name="_Toc7705123"/>
      <w:bookmarkStart w:id="430" w:name="_Toc7705594"/>
      <w:bookmarkEnd w:id="424"/>
      <w:bookmarkEnd w:id="425"/>
      <w:bookmarkEnd w:id="426"/>
      <w:bookmarkEnd w:id="427"/>
    </w:p>
    <w:p w:rsidR="003927E7" w:rsidRPr="00A955AF" w:rsidP="005D78FA" w14:paraId="298F185B" w14:textId="51E4F397">
      <w:pPr>
        <w:pStyle w:val="NA2"/>
      </w:pPr>
      <w:bookmarkStart w:id="431" w:name="_Toc256000020"/>
      <w:r w:rsidRPr="00A955AF">
        <w:t>Rámcová strategie České republiky pro oblast zdravotní péče</w:t>
      </w:r>
      <w:bookmarkEnd w:id="431"/>
      <w:bookmarkEnd w:id="429"/>
      <w:bookmarkEnd w:id="430"/>
    </w:p>
    <w:tbl>
      <w:tblPr>
        <w:tblStyle w:val="TableGrid"/>
        <w:tblW w:w="0" w:type="auto"/>
        <w:tblInd w:w="-5" w:type="dxa"/>
        <w:tblLook w:val="04A0"/>
      </w:tblPr>
      <w:tblGrid>
        <w:gridCol w:w="9067"/>
      </w:tblGrid>
      <w:tr w14:paraId="554EE68A" w14:textId="77777777" w:rsidTr="00624D72">
        <w:tblPrEx>
          <w:tblW w:w="0" w:type="auto"/>
          <w:tblInd w:w="-5" w:type="dxa"/>
          <w:tblLook w:val="04A0"/>
        </w:tblPrEx>
        <w:trPr>
          <w:trHeight w:val="3805"/>
        </w:trPr>
        <w:tc>
          <w:tcPr>
            <w:tcW w:w="9067" w:type="dxa"/>
          </w:tcPr>
          <w:p w:rsidR="003927E7" w:rsidRPr="00A955AF" w:rsidP="00E364AF" w14:paraId="71A6150D" w14:textId="60A81789">
            <w:pPr>
              <w:pStyle w:val="ListParagraph"/>
              <w:numPr>
                <w:ilvl w:val="0"/>
                <w:numId w:val="0"/>
              </w:numPr>
              <w:ind w:left="-54"/>
              <w:rPr>
                <w:sz w:val="24"/>
              </w:rPr>
            </w:pPr>
            <w:r w:rsidRPr="00A955AF">
              <w:rPr>
                <w:sz w:val="24"/>
              </w:rPr>
              <w:t>WHO definuje zdraví jako „</w:t>
            </w:r>
            <w:r w:rsidRPr="00A955AF">
              <w:rPr>
                <w:i/>
                <w:sz w:val="24"/>
              </w:rPr>
              <w:t>stav plné tělesné a duševní a sociální pohody</w:t>
            </w:r>
            <w:r w:rsidRPr="00A955AF" w:rsidR="004E46CE">
              <w:t xml:space="preserve"> </w:t>
            </w:r>
            <w:r w:rsidRPr="00A955AF" w:rsidR="004E46CE">
              <w:rPr>
                <w:i/>
                <w:sz w:val="24"/>
              </w:rPr>
              <w:t>a nejenom nepřítomnost nemoci nebo vady</w:t>
            </w:r>
            <w:r w:rsidRPr="00A955AF">
              <w:rPr>
                <w:sz w:val="24"/>
              </w:rPr>
              <w:t>“. Jedná se o užitečnou definici, ale</w:t>
            </w:r>
            <w:r w:rsidRPr="00A955AF" w:rsidR="0016591F">
              <w:rPr>
                <w:sz w:val="24"/>
              </w:rPr>
              <w:t> </w:t>
            </w:r>
            <w:r w:rsidRPr="00A955AF">
              <w:rPr>
                <w:sz w:val="24"/>
              </w:rPr>
              <w:t>jde spíše o</w:t>
            </w:r>
            <w:r w:rsidRPr="00A955AF" w:rsidR="004E46CE">
              <w:rPr>
                <w:sz w:val="24"/>
              </w:rPr>
              <w:t> </w:t>
            </w:r>
            <w:r w:rsidRPr="00A955AF">
              <w:rPr>
                <w:sz w:val="24"/>
              </w:rPr>
              <w:t>směřování a</w:t>
            </w:r>
            <w:r w:rsidR="00361382">
              <w:rPr>
                <w:sz w:val="24"/>
              </w:rPr>
              <w:t> </w:t>
            </w:r>
            <w:r w:rsidRPr="00A955AF">
              <w:rPr>
                <w:sz w:val="24"/>
              </w:rPr>
              <w:t>maximální možné přibližování se k tomuto cíli. Zdraví tak není cílem samo o sobě, ale je prostředkem k realizaci harmonického vývoje člověka.</w:t>
            </w:r>
            <w:r>
              <w:rPr>
                <w:rStyle w:val="FootnoteReference"/>
                <w:sz w:val="24"/>
              </w:rPr>
              <w:footnoteReference w:id="4"/>
            </w:r>
            <w:r w:rsidRPr="00A955AF">
              <w:rPr>
                <w:sz w:val="24"/>
              </w:rPr>
              <w:t xml:space="preserve"> Zdravotní potenciál každého člověka je nejvyšším stupněm zdraví, kterého může jednotlivec dosáhnout. Je určován také možností starat se o sebe a</w:t>
            </w:r>
            <w:r w:rsidRPr="00A955AF" w:rsidR="0016591F">
              <w:rPr>
                <w:sz w:val="24"/>
              </w:rPr>
              <w:t> </w:t>
            </w:r>
            <w:r w:rsidRPr="00A955AF">
              <w:rPr>
                <w:sz w:val="24"/>
              </w:rPr>
              <w:t>o</w:t>
            </w:r>
            <w:r w:rsidRPr="00A955AF" w:rsidR="0016591F">
              <w:rPr>
                <w:sz w:val="24"/>
              </w:rPr>
              <w:t> </w:t>
            </w:r>
            <w:r w:rsidRPr="00A955AF">
              <w:rPr>
                <w:sz w:val="24"/>
              </w:rPr>
              <w:t>druhé, uchovat si kontrolu nad svým životem. Společnost má vytvářet podmínky k tomu, aby lidé mohli potenciál zdraví uplatnit.</w:t>
            </w:r>
            <w:r>
              <w:rPr>
                <w:rStyle w:val="FootnoteReference"/>
                <w:sz w:val="24"/>
              </w:rPr>
              <w:footnoteReference w:id="5"/>
            </w:r>
          </w:p>
          <w:p w:rsidR="003927E7" w:rsidRPr="00A955AF" w:rsidP="00E364AF" w14:paraId="4FA3ADC9" w14:textId="6373BC1D">
            <w:pPr>
              <w:pStyle w:val="ListParagraph"/>
              <w:numPr>
                <w:ilvl w:val="0"/>
                <w:numId w:val="0"/>
              </w:numPr>
              <w:ind w:left="-54"/>
              <w:rPr>
                <w:rFonts w:cs="Arial"/>
                <w:sz w:val="24"/>
              </w:rPr>
            </w:pPr>
            <w:r w:rsidRPr="00A955AF">
              <w:rPr>
                <w:rFonts w:cs="Arial"/>
                <w:sz w:val="24"/>
              </w:rPr>
              <w:t xml:space="preserve">Zdraví </w:t>
            </w:r>
            <w:r w:rsidR="005973B7">
              <w:rPr>
                <w:rFonts w:cs="Arial"/>
                <w:sz w:val="24"/>
              </w:rPr>
              <w:t xml:space="preserve">je </w:t>
            </w:r>
            <w:r w:rsidRPr="00A955AF" w:rsidR="005973B7">
              <w:rPr>
                <w:rFonts w:cs="Arial"/>
                <w:sz w:val="24"/>
              </w:rPr>
              <w:t>determin</w:t>
            </w:r>
            <w:r w:rsidR="005973B7">
              <w:rPr>
                <w:rFonts w:cs="Arial"/>
                <w:sz w:val="24"/>
              </w:rPr>
              <w:t>ováno</w:t>
            </w:r>
            <w:r w:rsidRPr="00A955AF" w:rsidR="005973B7">
              <w:rPr>
                <w:rFonts w:cs="Arial"/>
                <w:sz w:val="24"/>
              </w:rPr>
              <w:t xml:space="preserve"> řad</w:t>
            </w:r>
            <w:r w:rsidR="005973B7">
              <w:rPr>
                <w:rFonts w:cs="Arial"/>
                <w:sz w:val="24"/>
              </w:rPr>
              <w:t>ou</w:t>
            </w:r>
            <w:r w:rsidRPr="00A955AF" w:rsidR="005973B7">
              <w:rPr>
                <w:rFonts w:cs="Arial"/>
                <w:sz w:val="24"/>
              </w:rPr>
              <w:t xml:space="preserve"> </w:t>
            </w:r>
            <w:r w:rsidRPr="00A955AF">
              <w:rPr>
                <w:rFonts w:cs="Arial"/>
                <w:sz w:val="24"/>
              </w:rPr>
              <w:t>faktorů, jako jsou osobní, společenské a ekonomické faktory a faktory životního prostředí, které jsou vzájemně se ovlivňujícími proměnnými, a zároveň významně ovlivňují a určují zdravotní stav jedince, skupiny lidí nebo společnosti. Zahrnují sociální, ekonomické a fyzické prostředí jedince, stejně jako jeho individuální charakteristiky a chování (</w:t>
            </w:r>
            <w:r w:rsidRPr="00A955AF" w:rsidR="004B2D2A">
              <w:rPr>
                <w:rFonts w:cs="Arial"/>
                <w:sz w:val="24"/>
              </w:rPr>
              <w:t xml:space="preserve">gender, </w:t>
            </w:r>
            <w:r w:rsidRPr="00A955AF">
              <w:rPr>
                <w:rFonts w:cs="Arial"/>
                <w:sz w:val="24"/>
              </w:rPr>
              <w:t>dědičnost, životní styl apod.)</w:t>
            </w:r>
            <w:r w:rsidR="005973B7">
              <w:rPr>
                <w:rFonts w:cs="Arial"/>
                <w:sz w:val="24"/>
              </w:rPr>
              <w:t>.</w:t>
            </w:r>
            <w:r w:rsidRPr="00A955AF">
              <w:rPr>
                <w:rFonts w:cs="Arial"/>
                <w:sz w:val="24"/>
              </w:rPr>
              <w:t xml:space="preserve">  </w:t>
            </w:r>
          </w:p>
        </w:tc>
      </w:tr>
    </w:tbl>
    <w:p w:rsidR="00457D1D" w:rsidRPr="00A955AF" w:rsidP="00477A42" w14:paraId="6B45ACDC" w14:textId="67E63A1F">
      <w:pPr>
        <w:rPr>
          <w:rFonts w:cstheme="minorHAnsi"/>
          <w:sz w:val="24"/>
          <w:szCs w:val="22"/>
        </w:rPr>
      </w:pPr>
      <w:r w:rsidRPr="00A955AF">
        <w:rPr>
          <w:rFonts w:cstheme="minorHAnsi"/>
          <w:sz w:val="24"/>
          <w:szCs w:val="22"/>
        </w:rPr>
        <w:t xml:space="preserve">Oblast zdravotní </w:t>
      </w:r>
      <w:r w:rsidRPr="00A955AF">
        <w:rPr>
          <w:rFonts w:cstheme="minorHAnsi"/>
          <w:sz w:val="24"/>
          <w:szCs w:val="22"/>
        </w:rPr>
        <w:t>péče v České republice</w:t>
      </w:r>
      <w:r w:rsidRPr="00A955AF">
        <w:rPr>
          <w:rFonts w:cstheme="minorHAnsi"/>
          <w:sz w:val="24"/>
          <w:szCs w:val="22"/>
        </w:rPr>
        <w:t xml:space="preserve"> (dále jen „</w:t>
      </w:r>
      <w:r w:rsidRPr="00A955AF">
        <w:rPr>
          <w:rFonts w:cstheme="minorHAnsi"/>
          <w:i/>
          <w:sz w:val="24"/>
          <w:szCs w:val="22"/>
        </w:rPr>
        <w:t>ČR</w:t>
      </w:r>
      <w:r w:rsidRPr="00A955AF">
        <w:rPr>
          <w:rFonts w:cstheme="minorHAnsi"/>
          <w:sz w:val="24"/>
          <w:szCs w:val="22"/>
        </w:rPr>
        <w:t>“)</w:t>
      </w:r>
      <w:r w:rsidRPr="00A955AF">
        <w:rPr>
          <w:rFonts w:cstheme="minorHAnsi"/>
          <w:sz w:val="24"/>
          <w:szCs w:val="22"/>
        </w:rPr>
        <w:t xml:space="preserve"> je nedílnou součástí základních strategických materiálů a vládních dokumentů. </w:t>
      </w:r>
      <w:r w:rsidRPr="00A955AF" w:rsidR="00C74A95">
        <w:rPr>
          <w:rFonts w:cstheme="minorHAnsi"/>
          <w:sz w:val="24"/>
          <w:szCs w:val="22"/>
        </w:rPr>
        <w:t>Stejně jak</w:t>
      </w:r>
      <w:r w:rsidRPr="00A955AF" w:rsidR="00656F49">
        <w:rPr>
          <w:rFonts w:cstheme="minorHAnsi"/>
          <w:sz w:val="24"/>
          <w:szCs w:val="22"/>
        </w:rPr>
        <w:t>o</w:t>
      </w:r>
      <w:r w:rsidRPr="00A955AF" w:rsidR="00C74A95">
        <w:rPr>
          <w:rFonts w:cstheme="minorHAnsi"/>
          <w:sz w:val="24"/>
          <w:szCs w:val="22"/>
        </w:rPr>
        <w:t xml:space="preserve"> je tomu u ostatních politik, i</w:t>
      </w:r>
      <w:r w:rsidRPr="00A955AF" w:rsidR="00656F49">
        <w:rPr>
          <w:rFonts w:cstheme="minorHAnsi"/>
          <w:sz w:val="24"/>
          <w:szCs w:val="22"/>
        </w:rPr>
        <w:t> </w:t>
      </w:r>
      <w:r w:rsidRPr="00A955AF" w:rsidR="00C74A95">
        <w:rPr>
          <w:rFonts w:cstheme="minorHAnsi"/>
          <w:sz w:val="24"/>
          <w:szCs w:val="22"/>
        </w:rPr>
        <w:t xml:space="preserve">zdravotnictví je vázáno na mezinárodní dohody a dokumenty, které jsou blíže uvedeny v kapitole mezinárodní kontext. Jednotlivé cíle </w:t>
      </w:r>
      <w:r w:rsidRPr="00A955AF" w:rsidR="00BB5FC1">
        <w:rPr>
          <w:rFonts w:cstheme="minorHAnsi"/>
          <w:sz w:val="24"/>
          <w:szCs w:val="22"/>
        </w:rPr>
        <w:t xml:space="preserve">pro rozvoj </w:t>
      </w:r>
      <w:r w:rsidRPr="00A955AF" w:rsidR="00C74A95">
        <w:rPr>
          <w:rFonts w:cstheme="minorHAnsi"/>
          <w:sz w:val="24"/>
          <w:szCs w:val="22"/>
        </w:rPr>
        <w:t>oblasti zdravotnictví však vycházejí z podmínek a potřeb ČR a byly formulovány na základě konzultací s</w:t>
      </w:r>
      <w:r w:rsidRPr="00A955AF" w:rsidR="00BB5FC1">
        <w:rPr>
          <w:rFonts w:cstheme="minorHAnsi"/>
          <w:sz w:val="24"/>
          <w:szCs w:val="22"/>
        </w:rPr>
        <w:t> relevantními partnery</w:t>
      </w:r>
      <w:r w:rsidRPr="00A955AF" w:rsidR="00656F49">
        <w:rPr>
          <w:rFonts w:cstheme="minorHAnsi"/>
          <w:sz w:val="24"/>
          <w:szCs w:val="22"/>
        </w:rPr>
        <w:t xml:space="preserve"> </w:t>
      </w:r>
      <w:r w:rsidRPr="00A955AF" w:rsidR="00F313CB">
        <w:rPr>
          <w:rFonts w:cstheme="minorHAnsi"/>
          <w:sz w:val="24"/>
          <w:szCs w:val="22"/>
        </w:rPr>
        <w:t>a </w:t>
      </w:r>
      <w:r w:rsidRPr="00A955AF" w:rsidR="00C74A95">
        <w:rPr>
          <w:rFonts w:cstheme="minorHAnsi"/>
          <w:sz w:val="24"/>
          <w:szCs w:val="22"/>
        </w:rPr>
        <w:t>na</w:t>
      </w:r>
      <w:r w:rsidR="00567661">
        <w:rPr>
          <w:rFonts w:cstheme="minorHAnsi"/>
          <w:sz w:val="24"/>
          <w:szCs w:val="22"/>
        </w:rPr>
        <w:t> </w:t>
      </w:r>
      <w:r w:rsidRPr="00A955AF" w:rsidR="00C74A95">
        <w:rPr>
          <w:rFonts w:cstheme="minorHAnsi"/>
          <w:sz w:val="24"/>
          <w:szCs w:val="22"/>
        </w:rPr>
        <w:t xml:space="preserve">základě rozsáhlé analytické studie, jež je přílohou Strategického rámce </w:t>
      </w:r>
      <w:r w:rsidRPr="00A955AF" w:rsidR="00E65DD5">
        <w:rPr>
          <w:rFonts w:cstheme="minorHAnsi"/>
          <w:sz w:val="24"/>
          <w:szCs w:val="22"/>
        </w:rPr>
        <w:t xml:space="preserve">Zdraví </w:t>
      </w:r>
      <w:r w:rsidRPr="00A955AF" w:rsidR="00853322">
        <w:rPr>
          <w:rFonts w:cstheme="minorHAnsi"/>
          <w:sz w:val="24"/>
          <w:szCs w:val="22"/>
        </w:rPr>
        <w:t>203</w:t>
      </w:r>
      <w:r w:rsidR="00853322">
        <w:rPr>
          <w:rFonts w:cstheme="minorHAnsi"/>
          <w:sz w:val="24"/>
          <w:szCs w:val="22"/>
        </w:rPr>
        <w:t>5</w:t>
      </w:r>
      <w:r>
        <w:rPr>
          <w:rStyle w:val="FootnoteReference"/>
          <w:rFonts w:cstheme="minorHAnsi"/>
          <w:sz w:val="24"/>
          <w:szCs w:val="22"/>
        </w:rPr>
        <w:footnoteReference w:id="6"/>
      </w:r>
      <w:r w:rsidRPr="00A955AF" w:rsidR="00E65DD5">
        <w:rPr>
          <w:rFonts w:cstheme="minorHAnsi"/>
          <w:sz w:val="24"/>
          <w:szCs w:val="22"/>
        </w:rPr>
        <w:t xml:space="preserve">. </w:t>
      </w:r>
    </w:p>
    <w:p w:rsidR="00457D1D" w:rsidRPr="00A955AF" w:rsidP="00477A42" w14:paraId="6B055926" w14:textId="6BB6D4AB">
      <w:pPr>
        <w:rPr>
          <w:rFonts w:cstheme="minorHAnsi"/>
          <w:sz w:val="24"/>
          <w:szCs w:val="22"/>
        </w:rPr>
      </w:pPr>
      <w:r w:rsidRPr="00A955AF">
        <w:rPr>
          <w:rFonts w:cstheme="minorHAnsi"/>
          <w:sz w:val="24"/>
          <w:szCs w:val="22"/>
        </w:rPr>
        <w:t>Hlavní přístupy k budoucímu rozvoji ČR, tedy kvalitu života a udržitelnost</w:t>
      </w:r>
      <w:r w:rsidRPr="00A955AF" w:rsidR="00BB5FC1">
        <w:rPr>
          <w:rFonts w:cstheme="minorHAnsi"/>
          <w:sz w:val="24"/>
          <w:szCs w:val="22"/>
        </w:rPr>
        <w:t xml:space="preserve"> reflektující jak</w:t>
      </w:r>
      <w:r w:rsidRPr="00A955AF" w:rsidR="008A1A44">
        <w:rPr>
          <w:rFonts w:cstheme="minorHAnsi"/>
          <w:sz w:val="24"/>
          <w:szCs w:val="22"/>
        </w:rPr>
        <w:t> </w:t>
      </w:r>
      <w:r w:rsidRPr="00A955AF" w:rsidR="00BB5FC1">
        <w:rPr>
          <w:rFonts w:cstheme="minorHAnsi"/>
          <w:sz w:val="24"/>
          <w:szCs w:val="22"/>
        </w:rPr>
        <w:t>potřeby jednotlivce, rodiny a společenství, tak i potřebu ekonomického rozvoje, který je také nezbytnou podmínkou zdravotního zabezpečení obyva</w:t>
      </w:r>
      <w:r w:rsidRPr="00A955AF" w:rsidR="00656F49">
        <w:rPr>
          <w:rFonts w:cstheme="minorHAnsi"/>
          <w:sz w:val="24"/>
          <w:szCs w:val="22"/>
        </w:rPr>
        <w:t>tel na nejvyšší možné úrovni,</w:t>
      </w:r>
      <w:r w:rsidRPr="00A955AF">
        <w:rPr>
          <w:rFonts w:cstheme="minorHAnsi"/>
          <w:sz w:val="24"/>
          <w:szCs w:val="22"/>
        </w:rPr>
        <w:t xml:space="preserve"> formuloval </w:t>
      </w:r>
      <w:r w:rsidRPr="00567661">
        <w:rPr>
          <w:rFonts w:cstheme="minorHAnsi"/>
          <w:sz w:val="24"/>
          <w:szCs w:val="22"/>
        </w:rPr>
        <w:t>Strategický rámec Česká republika 2030</w:t>
      </w:r>
      <w:r w:rsidRPr="00A955AF">
        <w:rPr>
          <w:rFonts w:cstheme="minorHAnsi"/>
          <w:sz w:val="24"/>
          <w:szCs w:val="22"/>
        </w:rPr>
        <w:t xml:space="preserve">, který přijala </w:t>
      </w:r>
      <w:r w:rsidRPr="00A955AF" w:rsidR="00ED291A">
        <w:rPr>
          <w:rFonts w:cstheme="minorHAnsi"/>
          <w:sz w:val="24"/>
          <w:szCs w:val="22"/>
        </w:rPr>
        <w:t xml:space="preserve">vláda </w:t>
      </w:r>
      <w:r w:rsidRPr="00A955AF">
        <w:rPr>
          <w:rFonts w:cstheme="minorHAnsi"/>
          <w:sz w:val="24"/>
          <w:szCs w:val="22"/>
        </w:rPr>
        <w:t>ČR dne 19</w:t>
      </w:r>
      <w:r w:rsidRPr="00A955AF" w:rsidR="00B6419C">
        <w:rPr>
          <w:rFonts w:cstheme="minorHAnsi"/>
          <w:sz w:val="24"/>
          <w:szCs w:val="22"/>
        </w:rPr>
        <w:t>. </w:t>
      </w:r>
      <w:r w:rsidRPr="00A955AF">
        <w:rPr>
          <w:rFonts w:cstheme="minorHAnsi"/>
          <w:sz w:val="24"/>
          <w:szCs w:val="22"/>
        </w:rPr>
        <w:t>dubna 2017 usnesení</w:t>
      </w:r>
      <w:r w:rsidRPr="00A955AF" w:rsidR="00A77625">
        <w:rPr>
          <w:rFonts w:cstheme="minorHAnsi"/>
          <w:sz w:val="24"/>
          <w:szCs w:val="22"/>
        </w:rPr>
        <w:t>m</w:t>
      </w:r>
      <w:r w:rsidRPr="00A955AF">
        <w:rPr>
          <w:rFonts w:cstheme="minorHAnsi"/>
          <w:sz w:val="24"/>
          <w:szCs w:val="22"/>
        </w:rPr>
        <w:t xml:space="preserve"> č. 292</w:t>
      </w:r>
      <w:r w:rsidR="00F04F30">
        <w:rPr>
          <w:rFonts w:cstheme="minorHAnsi"/>
          <w:sz w:val="24"/>
          <w:szCs w:val="22"/>
        </w:rPr>
        <w:t>,</w:t>
      </w:r>
      <w:r w:rsidRPr="00A955AF">
        <w:rPr>
          <w:rFonts w:cstheme="minorHAnsi"/>
          <w:sz w:val="24"/>
          <w:szCs w:val="22"/>
        </w:rPr>
        <w:t xml:space="preserve"> a který je</w:t>
      </w:r>
      <w:r w:rsidRPr="00A955AF" w:rsidR="00A77625">
        <w:rPr>
          <w:rFonts w:cstheme="minorHAnsi"/>
          <w:sz w:val="24"/>
          <w:szCs w:val="22"/>
        </w:rPr>
        <w:t xml:space="preserve"> také</w:t>
      </w:r>
      <w:r w:rsidRPr="00A955AF">
        <w:rPr>
          <w:rFonts w:cstheme="minorHAnsi"/>
          <w:sz w:val="24"/>
          <w:szCs w:val="22"/>
        </w:rPr>
        <w:t xml:space="preserve"> výchozím dokumentem pro </w:t>
      </w:r>
      <w:r w:rsidRPr="00A955AF" w:rsidR="00BB5FC1">
        <w:rPr>
          <w:rFonts w:cstheme="minorHAnsi"/>
          <w:sz w:val="24"/>
          <w:szCs w:val="22"/>
        </w:rPr>
        <w:t>formulaci</w:t>
      </w:r>
      <w:r w:rsidRPr="00A955AF" w:rsidR="00656F49">
        <w:rPr>
          <w:rFonts w:cstheme="minorHAnsi"/>
          <w:sz w:val="24"/>
          <w:szCs w:val="22"/>
        </w:rPr>
        <w:t xml:space="preserve"> Strategického rámce Zdraví </w:t>
      </w:r>
      <w:r w:rsidRPr="00A955AF" w:rsidR="00853322">
        <w:rPr>
          <w:rFonts w:cstheme="minorHAnsi"/>
          <w:sz w:val="24"/>
          <w:szCs w:val="22"/>
        </w:rPr>
        <w:t>203</w:t>
      </w:r>
      <w:r w:rsidR="00853322">
        <w:rPr>
          <w:rFonts w:cstheme="minorHAnsi"/>
          <w:sz w:val="24"/>
          <w:szCs w:val="22"/>
        </w:rPr>
        <w:t>5</w:t>
      </w:r>
      <w:r w:rsidRPr="00A955AF" w:rsidR="00656F49">
        <w:rPr>
          <w:rFonts w:cstheme="minorHAnsi"/>
          <w:sz w:val="24"/>
          <w:szCs w:val="22"/>
        </w:rPr>
        <w:t>.</w:t>
      </w:r>
    </w:p>
    <w:p w:rsidR="00646F12" w:rsidP="00477A42" w14:paraId="71C7EAE8" w14:textId="77777777">
      <w:pPr>
        <w:rPr>
          <w:rFonts w:cs="Times New Roman"/>
          <w:sz w:val="24"/>
        </w:rPr>
      </w:pPr>
      <w:r w:rsidRPr="00A955AF">
        <w:rPr>
          <w:rFonts w:cstheme="minorHAnsi"/>
          <w:sz w:val="24"/>
          <w:szCs w:val="22"/>
        </w:rPr>
        <w:t>Kvalita života předpokládá investice do lidského potenciálu, který je základem rozvoje. Udržitelný rozvoj je takový, který naplňuje potřeby současných generací</w:t>
      </w:r>
      <w:r>
        <w:rPr>
          <w:rStyle w:val="FootnoteReference"/>
          <w:rFonts w:cstheme="minorHAnsi"/>
          <w:sz w:val="24"/>
          <w:szCs w:val="22"/>
        </w:rPr>
        <w:footnoteReference w:id="7"/>
      </w:r>
      <w:r w:rsidRPr="00A955AF">
        <w:rPr>
          <w:rFonts w:cstheme="minorHAnsi"/>
          <w:sz w:val="24"/>
          <w:szCs w:val="22"/>
        </w:rPr>
        <w:t>, aniž by ohrozil schopnost a možnost naplnit své potřeby i generacím budoucím. Udržitelný rozvoj zároveň předpokládá schopnost dlouhodobého rozhodování a zvažování různých dopadů zvoleného řešení. Takové jednání je otázkou dobrého vládnutí. Pro oblast zdravotní péče, která je v </w:t>
      </w:r>
      <w:r w:rsidRPr="00A955AF" w:rsidR="00A9561F">
        <w:rPr>
          <w:rFonts w:cstheme="minorHAnsi"/>
          <w:sz w:val="24"/>
          <w:szCs w:val="22"/>
        </w:rPr>
        <w:t>ČR</w:t>
      </w:r>
      <w:r w:rsidRPr="00A955AF">
        <w:rPr>
          <w:rFonts w:cstheme="minorHAnsi"/>
          <w:sz w:val="24"/>
          <w:szCs w:val="22"/>
        </w:rPr>
        <w:t xml:space="preserve"> zabezpečována prostřednictvím veřejného zdravotního pojištění a</w:t>
      </w:r>
      <w:r w:rsidRPr="00A955AF" w:rsidR="008A1A44">
        <w:rPr>
          <w:rFonts w:cstheme="minorHAnsi"/>
          <w:sz w:val="24"/>
          <w:szCs w:val="22"/>
        </w:rPr>
        <w:t> </w:t>
      </w:r>
      <w:r w:rsidRPr="00A955AF">
        <w:rPr>
          <w:rFonts w:cstheme="minorHAnsi"/>
          <w:sz w:val="24"/>
          <w:szCs w:val="22"/>
        </w:rPr>
        <w:t xml:space="preserve">regulována státem, je tedy potřeba dobrého vládnutí zvláště důležitá. </w:t>
      </w:r>
      <w:r w:rsidRPr="00A955AF" w:rsidR="0018249B">
        <w:rPr>
          <w:rFonts w:cstheme="minorHAnsi"/>
          <w:sz w:val="24"/>
          <w:szCs w:val="22"/>
        </w:rPr>
        <w:t>Z tohoto důvodu je významná právě oblast str</w:t>
      </w:r>
      <w:r w:rsidRPr="00A955AF" w:rsidR="00DE6EA7">
        <w:rPr>
          <w:rFonts w:cstheme="minorHAnsi"/>
          <w:sz w:val="24"/>
          <w:szCs w:val="22"/>
        </w:rPr>
        <w:t>ategického řízení</w:t>
      </w:r>
      <w:r w:rsidRPr="00A955AF" w:rsidR="0018249B">
        <w:rPr>
          <w:rFonts w:cstheme="minorHAnsi"/>
          <w:sz w:val="24"/>
          <w:szCs w:val="22"/>
        </w:rPr>
        <w:t>, neboť nekoordinovaná opatření prováděná bez</w:t>
      </w:r>
      <w:r w:rsidRPr="00A955AF" w:rsidR="008A1A44">
        <w:rPr>
          <w:rFonts w:cstheme="minorHAnsi"/>
          <w:sz w:val="24"/>
          <w:szCs w:val="22"/>
        </w:rPr>
        <w:t> </w:t>
      </w:r>
      <w:r w:rsidRPr="00A955AF" w:rsidR="0018249B">
        <w:rPr>
          <w:rFonts w:cstheme="minorHAnsi"/>
          <w:sz w:val="24"/>
          <w:szCs w:val="22"/>
        </w:rPr>
        <w:t xml:space="preserve">stanovení konkrétních cílů nemohou zajistit </w:t>
      </w:r>
      <w:r w:rsidRPr="00A955AF" w:rsidR="00DE6EA7">
        <w:rPr>
          <w:rFonts w:cstheme="minorHAnsi"/>
          <w:sz w:val="24"/>
          <w:szCs w:val="22"/>
        </w:rPr>
        <w:t xml:space="preserve">rozvoj </w:t>
      </w:r>
      <w:r w:rsidRPr="00A955AF" w:rsidR="00A9561F">
        <w:rPr>
          <w:rFonts w:cstheme="minorHAnsi"/>
          <w:sz w:val="24"/>
          <w:szCs w:val="22"/>
        </w:rPr>
        <w:t xml:space="preserve">a </w:t>
      </w:r>
      <w:r w:rsidRPr="00A955AF" w:rsidR="00DE6EA7">
        <w:rPr>
          <w:rFonts w:cs="Times New Roman"/>
          <w:sz w:val="24"/>
        </w:rPr>
        <w:t>trvalou udržitelnost systému péče o</w:t>
      </w:r>
      <w:r w:rsidRPr="00A955AF" w:rsidR="008A1A44">
        <w:rPr>
          <w:rFonts w:cs="Times New Roman"/>
          <w:sz w:val="24"/>
        </w:rPr>
        <w:t> </w:t>
      </w:r>
      <w:r w:rsidRPr="00A955AF" w:rsidR="00DE6EA7">
        <w:rPr>
          <w:rFonts w:cs="Times New Roman"/>
          <w:sz w:val="24"/>
        </w:rPr>
        <w:t xml:space="preserve">zdraví. </w:t>
      </w:r>
    </w:p>
    <w:p w:rsidR="00457D1D" w:rsidRPr="00A955AF" w:rsidP="0D4C4CA9" w14:paraId="4739EFEE" w14:textId="353B7F0C">
      <w:pPr>
        <w:rPr>
          <w:sz w:val="24"/>
        </w:rPr>
      </w:pPr>
      <w:r w:rsidRPr="0D4C4CA9">
        <w:rPr>
          <w:sz w:val="24"/>
        </w:rPr>
        <w:t xml:space="preserve">Strategický rámec Zdraví </w:t>
      </w:r>
      <w:r w:rsidRPr="0D4C4CA9" w:rsidR="6C282043">
        <w:rPr>
          <w:sz w:val="24"/>
        </w:rPr>
        <w:t xml:space="preserve">2035 </w:t>
      </w:r>
      <w:r w:rsidRPr="0D4C4CA9" w:rsidR="180B54A1">
        <w:rPr>
          <w:sz w:val="24"/>
        </w:rPr>
        <w:t>představuje prolongaci Strategického rámce rozvoje péče o</w:t>
      </w:r>
      <w:r w:rsidRPr="0D4C4CA9" w:rsidR="70AE4FBD">
        <w:rPr>
          <w:sz w:val="24"/>
        </w:rPr>
        <w:t> </w:t>
      </w:r>
      <w:r w:rsidRPr="0D4C4CA9" w:rsidR="180B54A1">
        <w:rPr>
          <w:sz w:val="24"/>
        </w:rPr>
        <w:t xml:space="preserve">zdraví v České republice do roku 2030, ke které bylo přistoupeno na základě vyhodnocení monitorovací zprávy za </w:t>
      </w:r>
      <w:r w:rsidRPr="0D4C4CA9" w:rsidR="4E09CE48">
        <w:rPr>
          <w:sz w:val="24"/>
        </w:rPr>
        <w:t>období</w:t>
      </w:r>
      <w:r w:rsidRPr="0D4C4CA9" w:rsidR="180B54A1">
        <w:rPr>
          <w:sz w:val="24"/>
        </w:rPr>
        <w:t xml:space="preserve"> 2021-2022. Jak </w:t>
      </w:r>
      <w:r w:rsidRPr="0D4C4CA9" w:rsidR="4E09CE48">
        <w:rPr>
          <w:sz w:val="24"/>
        </w:rPr>
        <w:t>původní</w:t>
      </w:r>
      <w:r w:rsidRPr="0D4C4CA9" w:rsidR="180B54A1">
        <w:rPr>
          <w:sz w:val="24"/>
        </w:rPr>
        <w:t xml:space="preserve"> </w:t>
      </w:r>
      <w:r w:rsidRPr="0D4C4CA9" w:rsidR="4E09CE48">
        <w:rPr>
          <w:sz w:val="24"/>
        </w:rPr>
        <w:t>Strategický</w:t>
      </w:r>
      <w:r w:rsidRPr="0D4C4CA9" w:rsidR="180B54A1">
        <w:rPr>
          <w:sz w:val="24"/>
        </w:rPr>
        <w:t xml:space="preserve"> rámec Zdraví 2030, tak i</w:t>
      </w:r>
      <w:r w:rsidRPr="0D4C4CA9" w:rsidR="70AE4FBD">
        <w:rPr>
          <w:sz w:val="24"/>
        </w:rPr>
        <w:t> </w:t>
      </w:r>
      <w:r w:rsidRPr="0D4C4CA9" w:rsidR="180B54A1">
        <w:rPr>
          <w:sz w:val="24"/>
        </w:rPr>
        <w:t>aktualizovaný Strategický ráme</w:t>
      </w:r>
      <w:r w:rsidRPr="0D4C4CA9" w:rsidR="70AE4FBD">
        <w:rPr>
          <w:sz w:val="24"/>
        </w:rPr>
        <w:t>c</w:t>
      </w:r>
      <w:r w:rsidRPr="0D4C4CA9" w:rsidR="180B54A1">
        <w:rPr>
          <w:sz w:val="24"/>
        </w:rPr>
        <w:t xml:space="preserve"> Zdraví 2035 navazuje </w:t>
      </w:r>
      <w:r w:rsidRPr="0D4C4CA9" w:rsidR="70AE4FBD">
        <w:rPr>
          <w:sz w:val="24"/>
        </w:rPr>
        <w:t>na Zdraví</w:t>
      </w:r>
      <w:r w:rsidRPr="0D4C4CA9" w:rsidR="0FFC2AAF">
        <w:rPr>
          <w:sz w:val="24"/>
        </w:rPr>
        <w:t xml:space="preserve"> 2020</w:t>
      </w:r>
      <w:r w:rsidRPr="0D4C4CA9" w:rsidR="22EA4CCA">
        <w:rPr>
          <w:sz w:val="24"/>
        </w:rPr>
        <w:t xml:space="preserve"> ‒</w:t>
      </w:r>
      <w:r w:rsidRPr="0D4C4CA9" w:rsidR="0FFC2AAF">
        <w:rPr>
          <w:sz w:val="24"/>
        </w:rPr>
        <w:t xml:space="preserve"> </w:t>
      </w:r>
      <w:r w:rsidRPr="0D4C4CA9">
        <w:rPr>
          <w:sz w:val="24"/>
        </w:rPr>
        <w:t xml:space="preserve">Národní strategii </w:t>
      </w:r>
      <w:r w:rsidRPr="0D4C4CA9">
        <w:rPr>
          <w:sz w:val="24"/>
        </w:rPr>
        <w:t>ochrany a</w:t>
      </w:r>
      <w:r w:rsidRPr="0D4C4CA9" w:rsidR="2477F336">
        <w:rPr>
          <w:sz w:val="24"/>
        </w:rPr>
        <w:t> </w:t>
      </w:r>
      <w:r w:rsidRPr="0D4C4CA9">
        <w:rPr>
          <w:sz w:val="24"/>
        </w:rPr>
        <w:t xml:space="preserve">podpory zdraví </w:t>
      </w:r>
      <w:r w:rsidRPr="0D4C4CA9" w:rsidR="0FFC2AAF">
        <w:rPr>
          <w:sz w:val="24"/>
        </w:rPr>
        <w:t>a </w:t>
      </w:r>
      <w:r w:rsidRPr="0D4C4CA9">
        <w:rPr>
          <w:sz w:val="24"/>
        </w:rPr>
        <w:t>prevence nemocí, což byl první souhrnný strategický dokument přijatý v </w:t>
      </w:r>
      <w:r w:rsidRPr="0D4C4CA9" w:rsidR="42D76787">
        <w:rPr>
          <w:sz w:val="24"/>
        </w:rPr>
        <w:t xml:space="preserve">resortu zdravotnictví. Strategický rámec Zdraví </w:t>
      </w:r>
      <w:r w:rsidRPr="0D4C4CA9" w:rsidR="6C282043">
        <w:rPr>
          <w:sz w:val="24"/>
        </w:rPr>
        <w:t xml:space="preserve">2035 </w:t>
      </w:r>
      <w:r w:rsidRPr="0D4C4CA9">
        <w:rPr>
          <w:sz w:val="24"/>
        </w:rPr>
        <w:t xml:space="preserve">si klade za cíl </w:t>
      </w:r>
      <w:r w:rsidRPr="0D4C4CA9" w:rsidR="69A2815B">
        <w:rPr>
          <w:sz w:val="24"/>
        </w:rPr>
        <w:t xml:space="preserve">využít zkušenosti z realizace </w:t>
      </w:r>
      <w:r w:rsidRPr="0D4C4CA9" w:rsidR="0B1F10C1">
        <w:rPr>
          <w:sz w:val="24"/>
        </w:rPr>
        <w:t>Zdraví </w:t>
      </w:r>
      <w:r w:rsidRPr="0D4C4CA9" w:rsidR="42D76787">
        <w:rPr>
          <w:sz w:val="24"/>
        </w:rPr>
        <w:t>2020</w:t>
      </w:r>
      <w:r w:rsidRPr="0D4C4CA9" w:rsidR="69A2815B">
        <w:rPr>
          <w:sz w:val="24"/>
        </w:rPr>
        <w:t xml:space="preserve"> v podobě </w:t>
      </w:r>
      <w:r w:rsidRPr="0D4C4CA9" w:rsidR="2CBB04A7">
        <w:rPr>
          <w:sz w:val="24"/>
        </w:rPr>
        <w:t xml:space="preserve">nastavení </w:t>
      </w:r>
      <w:r w:rsidRPr="0D4C4CA9" w:rsidR="69A2815B">
        <w:rPr>
          <w:sz w:val="24"/>
        </w:rPr>
        <w:t>jednoduššího systému implementace</w:t>
      </w:r>
      <w:r w:rsidRPr="0D4C4CA9" w:rsidR="6639BE3F">
        <w:rPr>
          <w:sz w:val="24"/>
        </w:rPr>
        <w:t xml:space="preserve">. </w:t>
      </w:r>
    </w:p>
    <w:p w:rsidR="00766EA1" w:rsidP="0D4C4CA9" w14:paraId="14B6514F" w14:textId="61DC7BD3">
      <w:pPr>
        <w:rPr>
          <w:sz w:val="24"/>
        </w:rPr>
      </w:pPr>
      <w:r w:rsidRPr="0D4C4CA9">
        <w:rPr>
          <w:sz w:val="24"/>
        </w:rPr>
        <w:t xml:space="preserve">Přijetím Strategického rámce Česká republika 2030 určila </w:t>
      </w:r>
      <w:r w:rsidRPr="0D4C4CA9" w:rsidR="6A9B6563">
        <w:rPr>
          <w:sz w:val="24"/>
        </w:rPr>
        <w:t xml:space="preserve">vláda </w:t>
      </w:r>
      <w:r w:rsidRPr="0D4C4CA9">
        <w:rPr>
          <w:sz w:val="24"/>
        </w:rPr>
        <w:t>ČR základní zastřešující cíl pro</w:t>
      </w:r>
      <w:r w:rsidRPr="0D4C4CA9" w:rsidR="6EAA5568">
        <w:rPr>
          <w:sz w:val="24"/>
        </w:rPr>
        <w:t> </w:t>
      </w:r>
      <w:r w:rsidRPr="0D4C4CA9">
        <w:rPr>
          <w:sz w:val="24"/>
        </w:rPr>
        <w:t>oblast</w:t>
      </w:r>
      <w:r w:rsidRPr="0D4C4CA9" w:rsidR="0C4C2D0D">
        <w:rPr>
          <w:sz w:val="24"/>
        </w:rPr>
        <w:t xml:space="preserve"> </w:t>
      </w:r>
      <w:r w:rsidRPr="0D4C4CA9">
        <w:rPr>
          <w:sz w:val="24"/>
        </w:rPr>
        <w:t>zdravotnictví, kterým je „</w:t>
      </w:r>
      <w:r w:rsidRPr="0D4C4CA9" w:rsidR="122FE5AF">
        <w:rPr>
          <w:i/>
          <w:iCs/>
          <w:sz w:val="24"/>
        </w:rPr>
        <w:t xml:space="preserve">Zdraví </w:t>
      </w:r>
      <w:r w:rsidRPr="0D4C4CA9" w:rsidR="176FA0F0">
        <w:rPr>
          <w:i/>
          <w:iCs/>
          <w:sz w:val="24"/>
        </w:rPr>
        <w:t>v</w:t>
      </w:r>
      <w:r w:rsidRPr="0D4C4CA9" w:rsidR="122FE5AF">
        <w:rPr>
          <w:i/>
          <w:iCs/>
          <w:sz w:val="24"/>
        </w:rPr>
        <w:t>šech skupin obyvatel se zlepšuje</w:t>
      </w:r>
      <w:r w:rsidRPr="0D4C4CA9">
        <w:rPr>
          <w:sz w:val="24"/>
        </w:rPr>
        <w:t>“.</w:t>
      </w:r>
      <w:r w:rsidR="004433F0">
        <w:rPr>
          <w:sz w:val="24"/>
        </w:rPr>
        <w:t xml:space="preserve"> T</w:t>
      </w:r>
      <w:r w:rsidRPr="0D4C4CA9" w:rsidR="611415E2">
        <w:rPr>
          <w:sz w:val="24"/>
        </w:rPr>
        <w:t>ohoto</w:t>
      </w:r>
      <w:r w:rsidRPr="0D4C4CA9" w:rsidR="6EAA5568">
        <w:rPr>
          <w:sz w:val="24"/>
        </w:rPr>
        <w:t> </w:t>
      </w:r>
      <w:r w:rsidRPr="0D4C4CA9">
        <w:rPr>
          <w:sz w:val="24"/>
        </w:rPr>
        <w:t>zastřešující</w:t>
      </w:r>
      <w:r w:rsidRPr="0D4C4CA9" w:rsidR="611415E2">
        <w:rPr>
          <w:sz w:val="24"/>
        </w:rPr>
        <w:t>ho</w:t>
      </w:r>
      <w:r w:rsidRPr="0D4C4CA9">
        <w:rPr>
          <w:sz w:val="24"/>
        </w:rPr>
        <w:t xml:space="preserve"> cíl</w:t>
      </w:r>
      <w:r w:rsidRPr="0D4C4CA9" w:rsidR="611415E2">
        <w:rPr>
          <w:sz w:val="24"/>
        </w:rPr>
        <w:t>e</w:t>
      </w:r>
      <w:r w:rsidRPr="0D4C4CA9">
        <w:rPr>
          <w:sz w:val="24"/>
        </w:rPr>
        <w:t xml:space="preserve"> má být dosažen</w:t>
      </w:r>
      <w:r w:rsidRPr="0D4C4CA9" w:rsidR="22EA4CCA">
        <w:rPr>
          <w:sz w:val="24"/>
        </w:rPr>
        <w:t>o</w:t>
      </w:r>
      <w:r w:rsidRPr="0D4C4CA9">
        <w:rPr>
          <w:sz w:val="24"/>
        </w:rPr>
        <w:t xml:space="preserve"> prostřednictvím naplnění definovaných </w:t>
      </w:r>
      <w:r w:rsidR="004433F0">
        <w:rPr>
          <w:sz w:val="24"/>
        </w:rPr>
        <w:t>s</w:t>
      </w:r>
      <w:r w:rsidRPr="0D4C4CA9" w:rsidR="24AAD665">
        <w:rPr>
          <w:sz w:val="24"/>
        </w:rPr>
        <w:t xml:space="preserve">pecifických </w:t>
      </w:r>
      <w:r w:rsidRPr="0D4C4CA9">
        <w:rPr>
          <w:sz w:val="24"/>
        </w:rPr>
        <w:t>cílů:</w:t>
      </w:r>
    </w:p>
    <w:p w:rsidR="004433F0" w:rsidRPr="004433F0" w:rsidP="004433F0" w14:paraId="3E14609E" w14:textId="2ECB56C1">
      <w:pPr>
        <w:pStyle w:val="Caption"/>
      </w:pPr>
      <w:bookmarkStart w:id="432" w:name="_Toc256000075"/>
      <w:r w:rsidRPr="004433F0">
        <w:t xml:space="preserve">Graf </w:t>
      </w:r>
      <w:r w:rsidRPr="004433F0">
        <w:fldChar w:fldCharType="begin"/>
      </w:r>
      <w:r w:rsidRPr="004433F0">
        <w:instrText xml:space="preserve"> SEQ Graf \* ARABIC </w:instrText>
      </w:r>
      <w:r w:rsidRPr="004433F0">
        <w:fldChar w:fldCharType="separate"/>
      </w:r>
      <w:r w:rsidRPr="004433F0">
        <w:t>1</w:t>
      </w:r>
      <w:r w:rsidRPr="004433F0">
        <w:fldChar w:fldCharType="end"/>
      </w:r>
      <w:r w:rsidRPr="004433F0">
        <w:t xml:space="preserve">  Specifické cíle Strategického rámce Česká republika 2030</w:t>
      </w:r>
      <w:bookmarkEnd w:id="432"/>
    </w:p>
    <w:tbl>
      <w:tblPr>
        <w:tblStyle w:val="TableGrid"/>
        <w:tblW w:w="9072" w:type="dxa"/>
        <w:tblInd w:w="-5" w:type="dxa"/>
        <w:tblLook w:val="04A0"/>
      </w:tblPr>
      <w:tblGrid>
        <w:gridCol w:w="480"/>
        <w:gridCol w:w="8592"/>
      </w:tblGrid>
      <w:tr w14:paraId="1C2E420B" w14:textId="77777777" w:rsidTr="004433F0">
        <w:tblPrEx>
          <w:tblW w:w="9072" w:type="dxa"/>
          <w:tblInd w:w="-5" w:type="dxa"/>
          <w:tblLook w:val="04A0"/>
        </w:tblPrEx>
        <w:trPr>
          <w:trHeight w:val="421"/>
        </w:trPr>
        <w:tc>
          <w:tcPr>
            <w:tcW w:w="480" w:type="dxa"/>
          </w:tcPr>
          <w:p w:rsidR="00457D1D" w:rsidRPr="004433F0" w:rsidP="00477A42" w14:paraId="64E4DA13" w14:textId="1F6351C9">
            <w:pPr>
              <w:spacing w:after="120"/>
              <w:rPr>
                <w:rFonts w:cstheme="minorHAnsi"/>
                <w:sz w:val="24"/>
              </w:rPr>
            </w:pPr>
            <w:r w:rsidRPr="004433F0">
              <w:rPr>
                <w:rFonts w:cstheme="minorHAnsi"/>
                <w:sz w:val="24"/>
                <w:szCs w:val="24"/>
              </w:rPr>
              <w:t>1</w:t>
            </w:r>
          </w:p>
        </w:tc>
        <w:tc>
          <w:tcPr>
            <w:tcW w:w="8592" w:type="dxa"/>
          </w:tcPr>
          <w:p w:rsidR="00457D1D" w:rsidRPr="00A955AF" w14:paraId="3A8F07E2" w14:textId="167691AF">
            <w:pPr>
              <w:spacing w:after="120"/>
              <w:rPr>
                <w:rFonts w:cstheme="minorHAnsi"/>
                <w:sz w:val="24"/>
              </w:rPr>
            </w:pPr>
            <w:r w:rsidRPr="00A955AF">
              <w:rPr>
                <w:rFonts w:cstheme="minorHAnsi"/>
                <w:bCs/>
                <w:sz w:val="24"/>
                <w:szCs w:val="24"/>
              </w:rPr>
              <w:t xml:space="preserve">Zvyšuje se délka života ve zdraví u všech skupin obyvatel </w:t>
            </w:r>
            <w:r w:rsidRPr="00A955AF" w:rsidR="00A9561F">
              <w:rPr>
                <w:rFonts w:cstheme="minorHAnsi"/>
                <w:bCs/>
                <w:sz w:val="24"/>
                <w:szCs w:val="24"/>
              </w:rPr>
              <w:t>ČR</w:t>
            </w:r>
            <w:r w:rsidRPr="00A955AF">
              <w:rPr>
                <w:rFonts w:cstheme="minorHAnsi"/>
                <w:bCs/>
                <w:sz w:val="24"/>
                <w:szCs w:val="24"/>
              </w:rPr>
              <w:t>.</w:t>
            </w:r>
          </w:p>
        </w:tc>
      </w:tr>
      <w:tr w14:paraId="58700FDF" w14:textId="77777777" w:rsidTr="004433F0">
        <w:tblPrEx>
          <w:tblW w:w="9072" w:type="dxa"/>
          <w:tblInd w:w="-5" w:type="dxa"/>
          <w:tblLook w:val="04A0"/>
        </w:tblPrEx>
        <w:tc>
          <w:tcPr>
            <w:tcW w:w="480" w:type="dxa"/>
          </w:tcPr>
          <w:p w:rsidR="00457D1D" w:rsidRPr="00A955AF" w:rsidP="00477A42" w14:paraId="35A86AC7" w14:textId="77777777">
            <w:pPr>
              <w:spacing w:after="120"/>
              <w:rPr>
                <w:rFonts w:cstheme="minorHAnsi"/>
                <w:sz w:val="24"/>
              </w:rPr>
            </w:pPr>
            <w:r w:rsidRPr="00A955AF">
              <w:rPr>
                <w:rFonts w:cstheme="minorHAnsi"/>
                <w:sz w:val="24"/>
                <w:szCs w:val="24"/>
              </w:rPr>
              <w:t>2</w:t>
            </w:r>
          </w:p>
        </w:tc>
        <w:tc>
          <w:tcPr>
            <w:tcW w:w="8592" w:type="dxa"/>
          </w:tcPr>
          <w:p w:rsidR="00457D1D" w:rsidRPr="00A955AF" w:rsidP="00477A42" w14:paraId="19151269" w14:textId="77777777">
            <w:pPr>
              <w:pStyle w:val="Bntext"/>
              <w:spacing w:after="120" w:line="240" w:lineRule="auto"/>
              <w:ind w:firstLine="0"/>
              <w:rPr>
                <w:rFonts w:asciiTheme="minorHAnsi" w:hAnsiTheme="minorHAnsi" w:cstheme="minorHAnsi"/>
                <w:bCs/>
                <w:sz w:val="24"/>
                <w:lang w:val="cs-CZ"/>
              </w:rPr>
            </w:pPr>
            <w:r w:rsidRPr="00A955AF">
              <w:rPr>
                <w:rFonts w:asciiTheme="minorHAnsi" w:hAnsiTheme="minorHAnsi" w:cstheme="minorHAnsi"/>
                <w:bCs/>
                <w:sz w:val="24"/>
                <w:szCs w:val="24"/>
                <w:lang w:val="cs-CZ"/>
              </w:rPr>
              <w:t>Snižují se vlivy způsobující nerovnosti v oblasti zdraví.</w:t>
            </w:r>
          </w:p>
        </w:tc>
      </w:tr>
      <w:tr w14:paraId="10F75FEE" w14:textId="77777777" w:rsidTr="004433F0">
        <w:tblPrEx>
          <w:tblW w:w="9072" w:type="dxa"/>
          <w:tblInd w:w="-5" w:type="dxa"/>
          <w:tblLook w:val="04A0"/>
        </w:tblPrEx>
        <w:tc>
          <w:tcPr>
            <w:tcW w:w="480" w:type="dxa"/>
          </w:tcPr>
          <w:p w:rsidR="00457D1D" w:rsidRPr="00A955AF" w:rsidP="00477A42" w14:paraId="5E1DD406" w14:textId="77777777">
            <w:pPr>
              <w:spacing w:after="120"/>
              <w:rPr>
                <w:rFonts w:cstheme="minorHAnsi"/>
                <w:sz w:val="24"/>
              </w:rPr>
            </w:pPr>
            <w:r w:rsidRPr="00A955AF">
              <w:rPr>
                <w:rFonts w:cstheme="minorHAnsi"/>
                <w:sz w:val="24"/>
                <w:szCs w:val="24"/>
              </w:rPr>
              <w:t>3</w:t>
            </w:r>
          </w:p>
        </w:tc>
        <w:tc>
          <w:tcPr>
            <w:tcW w:w="8592" w:type="dxa"/>
          </w:tcPr>
          <w:p w:rsidR="00457D1D" w:rsidRPr="00A955AF" w:rsidP="00BA23A4" w14:paraId="395BC73E" w14:textId="77777777">
            <w:pPr>
              <w:pStyle w:val="Bntext"/>
              <w:spacing w:after="120" w:line="240" w:lineRule="auto"/>
              <w:ind w:firstLine="0"/>
              <w:rPr>
                <w:rFonts w:asciiTheme="minorHAnsi" w:hAnsiTheme="minorHAnsi" w:cstheme="minorHAnsi"/>
                <w:bCs/>
                <w:sz w:val="24"/>
                <w:lang w:val="cs-CZ"/>
              </w:rPr>
            </w:pPr>
            <w:r w:rsidRPr="00A955AF">
              <w:rPr>
                <w:rFonts w:asciiTheme="minorHAnsi" w:hAnsiTheme="minorHAnsi" w:cstheme="minorHAnsi"/>
                <w:bCs/>
                <w:sz w:val="24"/>
                <w:szCs w:val="24"/>
                <w:lang w:val="cs-CZ"/>
              </w:rPr>
              <w:t>Systém veřejného zdravotnictví je stabilní a současně se rozvíjí odpovídající profesní struktura. Věkový průměr lékařského personálu se</w:t>
            </w:r>
            <w:r w:rsidRPr="00A955AF" w:rsidR="00BA23A4">
              <w:rPr>
                <w:rFonts w:asciiTheme="minorHAnsi" w:hAnsiTheme="minorHAnsi" w:cstheme="minorHAnsi"/>
                <w:bCs/>
                <w:sz w:val="24"/>
                <w:szCs w:val="24"/>
                <w:lang w:val="cs-CZ"/>
              </w:rPr>
              <w:t> </w:t>
            </w:r>
            <w:r w:rsidRPr="00A955AF">
              <w:rPr>
                <w:rFonts w:asciiTheme="minorHAnsi" w:hAnsiTheme="minorHAnsi" w:cstheme="minorHAnsi"/>
                <w:bCs/>
                <w:sz w:val="24"/>
                <w:szCs w:val="24"/>
                <w:lang w:val="cs-CZ"/>
              </w:rPr>
              <w:t>snižuje a zlepšuje se ohodnocení všech pracovníků ve zdravotnictví.</w:t>
            </w:r>
          </w:p>
        </w:tc>
      </w:tr>
      <w:tr w14:paraId="784186B8" w14:textId="77777777" w:rsidTr="004433F0">
        <w:tblPrEx>
          <w:tblW w:w="9072" w:type="dxa"/>
          <w:tblInd w:w="-5" w:type="dxa"/>
          <w:tblLook w:val="04A0"/>
        </w:tblPrEx>
        <w:tc>
          <w:tcPr>
            <w:tcW w:w="480" w:type="dxa"/>
          </w:tcPr>
          <w:p w:rsidR="00457D1D" w:rsidRPr="00A955AF" w:rsidP="00477A42" w14:paraId="7D27EF18" w14:textId="77777777">
            <w:pPr>
              <w:spacing w:after="120"/>
              <w:rPr>
                <w:rFonts w:cstheme="minorHAnsi"/>
                <w:sz w:val="24"/>
              </w:rPr>
            </w:pPr>
            <w:r w:rsidRPr="00A955AF">
              <w:rPr>
                <w:rFonts w:cstheme="minorHAnsi"/>
                <w:sz w:val="24"/>
                <w:szCs w:val="24"/>
              </w:rPr>
              <w:t>4</w:t>
            </w:r>
          </w:p>
        </w:tc>
        <w:tc>
          <w:tcPr>
            <w:tcW w:w="8592" w:type="dxa"/>
          </w:tcPr>
          <w:p w:rsidR="00457D1D" w:rsidRPr="00A955AF" w:rsidP="00BA23A4" w14:paraId="000C706C" w14:textId="77777777">
            <w:pPr>
              <w:pStyle w:val="Bntext"/>
              <w:spacing w:after="120" w:line="240" w:lineRule="auto"/>
              <w:ind w:firstLine="0"/>
              <w:rPr>
                <w:rFonts w:asciiTheme="minorHAnsi" w:hAnsiTheme="minorHAnsi" w:cstheme="minorHAnsi"/>
                <w:bCs/>
                <w:sz w:val="24"/>
                <w:lang w:val="cs-CZ"/>
              </w:rPr>
            </w:pPr>
            <w:r w:rsidRPr="00A955AF">
              <w:rPr>
                <w:rFonts w:asciiTheme="minorHAnsi" w:hAnsiTheme="minorHAnsi" w:cstheme="minorHAnsi"/>
                <w:bCs/>
                <w:sz w:val="24"/>
                <w:szCs w:val="24"/>
                <w:lang w:val="cs-CZ"/>
              </w:rPr>
              <w:t>Zdravý životní styl je podporován prostřednictvím vyšších veřejných výdajů s důrazem na primární prevenci nemocí a podporu zdraví v</w:t>
            </w:r>
            <w:r w:rsidRPr="00A955AF" w:rsidR="00BA23A4">
              <w:rPr>
                <w:rFonts w:asciiTheme="minorHAnsi" w:hAnsiTheme="minorHAnsi" w:cstheme="minorHAnsi"/>
                <w:bCs/>
                <w:sz w:val="24"/>
                <w:szCs w:val="24"/>
                <w:lang w:val="cs-CZ"/>
              </w:rPr>
              <w:t> </w:t>
            </w:r>
            <w:r w:rsidRPr="00A955AF">
              <w:rPr>
                <w:rFonts w:asciiTheme="minorHAnsi" w:hAnsiTheme="minorHAnsi" w:cstheme="minorHAnsi"/>
                <w:bCs/>
                <w:sz w:val="24"/>
                <w:szCs w:val="24"/>
                <w:lang w:val="cs-CZ"/>
              </w:rPr>
              <w:t>průběhu celého života.</w:t>
            </w:r>
          </w:p>
        </w:tc>
      </w:tr>
      <w:tr w14:paraId="507410EA" w14:textId="77777777" w:rsidTr="004433F0">
        <w:tblPrEx>
          <w:tblW w:w="9072" w:type="dxa"/>
          <w:tblInd w:w="-5" w:type="dxa"/>
          <w:tblLook w:val="04A0"/>
        </w:tblPrEx>
        <w:tc>
          <w:tcPr>
            <w:tcW w:w="480" w:type="dxa"/>
          </w:tcPr>
          <w:p w:rsidR="00457D1D" w:rsidRPr="00A955AF" w:rsidP="00477A42" w14:paraId="04DA367D" w14:textId="77777777">
            <w:pPr>
              <w:spacing w:after="120"/>
              <w:rPr>
                <w:rFonts w:cstheme="minorHAnsi"/>
                <w:sz w:val="24"/>
              </w:rPr>
            </w:pPr>
            <w:r w:rsidRPr="00A955AF">
              <w:rPr>
                <w:rFonts w:cstheme="minorHAnsi"/>
                <w:sz w:val="24"/>
                <w:szCs w:val="24"/>
              </w:rPr>
              <w:t>5</w:t>
            </w:r>
          </w:p>
        </w:tc>
        <w:tc>
          <w:tcPr>
            <w:tcW w:w="8592" w:type="dxa"/>
          </w:tcPr>
          <w:p w:rsidR="00457D1D" w:rsidRPr="00A955AF" w:rsidP="00477A42" w14:paraId="4268FB0E" w14:textId="77777777">
            <w:pPr>
              <w:pStyle w:val="Bntext"/>
              <w:spacing w:after="120" w:line="240" w:lineRule="auto"/>
              <w:ind w:firstLine="0"/>
              <w:rPr>
                <w:rFonts w:asciiTheme="minorHAnsi" w:hAnsiTheme="minorHAnsi" w:cstheme="minorHAnsi"/>
                <w:bCs/>
                <w:sz w:val="24"/>
                <w:lang w:val="cs-CZ"/>
              </w:rPr>
            </w:pPr>
            <w:r w:rsidRPr="00A955AF">
              <w:rPr>
                <w:rFonts w:asciiTheme="minorHAnsi" w:hAnsiTheme="minorHAnsi" w:cstheme="minorHAnsi"/>
                <w:bCs/>
                <w:sz w:val="24"/>
                <w:szCs w:val="24"/>
                <w:lang w:val="cs-CZ"/>
              </w:rPr>
              <w:t>Snižuje se konzumace návykových látek i zátěž obyvatel zdravotně rizikovými látkami a hlukem prostřednictvím lepší kvality životního prostředí. Příslušné limity škodlivých látek a hluku nejsou překračovány.</w:t>
            </w:r>
          </w:p>
        </w:tc>
      </w:tr>
    </w:tbl>
    <w:p w:rsidR="004433F0" w:rsidP="00477A42" w14:paraId="31C0A4D3" w14:textId="77777777">
      <w:pPr>
        <w:rPr>
          <w:sz w:val="20"/>
          <w:szCs w:val="20"/>
        </w:rPr>
      </w:pPr>
      <w:r w:rsidRPr="008729A1">
        <w:rPr>
          <w:sz w:val="20"/>
          <w:szCs w:val="20"/>
        </w:rPr>
        <w:t xml:space="preserve">Zdroj: vlastní zpracování </w:t>
      </w:r>
    </w:p>
    <w:p w:rsidR="004B7078" w:rsidP="00477A42" w14:paraId="38B216BD" w14:textId="28CC1F53">
      <w:pPr>
        <w:rPr>
          <w:rFonts w:cstheme="minorHAnsi"/>
          <w:sz w:val="24"/>
          <w:szCs w:val="22"/>
        </w:rPr>
      </w:pPr>
      <w:r w:rsidRPr="00A955AF">
        <w:rPr>
          <w:rFonts w:cstheme="minorHAnsi"/>
          <w:sz w:val="24"/>
          <w:szCs w:val="22"/>
        </w:rPr>
        <w:t>„</w:t>
      </w:r>
      <w:r w:rsidRPr="00A955AF" w:rsidR="00A77625">
        <w:rPr>
          <w:rFonts w:cstheme="minorHAnsi"/>
          <w:i/>
          <w:sz w:val="24"/>
          <w:szCs w:val="22"/>
        </w:rPr>
        <w:t>Zdraví všech skupin obyvatel se zlepšuje</w:t>
      </w:r>
      <w:r w:rsidRPr="00A955AF">
        <w:rPr>
          <w:rFonts w:cstheme="minorHAnsi"/>
          <w:sz w:val="24"/>
          <w:szCs w:val="22"/>
        </w:rPr>
        <w:t>“ je ambiciózní cíl</w:t>
      </w:r>
      <w:r w:rsidRPr="00A955AF" w:rsidR="00A77625">
        <w:rPr>
          <w:rFonts w:cstheme="minorHAnsi"/>
          <w:sz w:val="24"/>
          <w:szCs w:val="22"/>
        </w:rPr>
        <w:t>,</w:t>
      </w:r>
      <w:r w:rsidRPr="00A955AF">
        <w:rPr>
          <w:rFonts w:cstheme="minorHAnsi"/>
          <w:sz w:val="24"/>
          <w:szCs w:val="22"/>
        </w:rPr>
        <w:t xml:space="preserve"> a to nejen s ohledem na</w:t>
      </w:r>
      <w:r w:rsidRPr="00A955AF" w:rsidR="008A1A44">
        <w:rPr>
          <w:rFonts w:cstheme="minorHAnsi"/>
          <w:sz w:val="24"/>
          <w:szCs w:val="22"/>
        </w:rPr>
        <w:t> </w:t>
      </w:r>
      <w:r w:rsidRPr="00A955AF">
        <w:rPr>
          <w:rFonts w:cstheme="minorHAnsi"/>
          <w:sz w:val="24"/>
          <w:szCs w:val="22"/>
        </w:rPr>
        <w:t xml:space="preserve">skutečnost, že v ČR sice roste střední délka života, ale její růst je rychlejší než </w:t>
      </w:r>
      <w:r w:rsidRPr="00A955AF" w:rsidR="00DC7634">
        <w:rPr>
          <w:rFonts w:cstheme="minorHAnsi"/>
          <w:sz w:val="24"/>
          <w:szCs w:val="22"/>
        </w:rPr>
        <w:t xml:space="preserve">růst </w:t>
      </w:r>
      <w:r w:rsidRPr="00A955AF">
        <w:rPr>
          <w:rFonts w:cstheme="minorHAnsi"/>
          <w:sz w:val="24"/>
          <w:szCs w:val="22"/>
        </w:rPr>
        <w:t>ukazatel</w:t>
      </w:r>
      <w:r w:rsidRPr="00A955AF" w:rsidR="00DC7634">
        <w:rPr>
          <w:rFonts w:cstheme="minorHAnsi"/>
          <w:sz w:val="24"/>
          <w:szCs w:val="22"/>
        </w:rPr>
        <w:t>e</w:t>
      </w:r>
      <w:r w:rsidRPr="00A955AF">
        <w:rPr>
          <w:rFonts w:cstheme="minorHAnsi"/>
          <w:sz w:val="24"/>
          <w:szCs w:val="22"/>
        </w:rPr>
        <w:t xml:space="preserve"> délky života ve zdraví</w:t>
      </w:r>
      <w:r w:rsidRPr="00A955AF" w:rsidR="0069133D">
        <w:rPr>
          <w:rFonts w:cstheme="minorHAnsi"/>
          <w:sz w:val="24"/>
          <w:szCs w:val="22"/>
        </w:rPr>
        <w:t xml:space="preserve">, což znamená prodloužení </w:t>
      </w:r>
      <w:r w:rsidRPr="00A955AF">
        <w:rPr>
          <w:rFonts w:cstheme="minorHAnsi"/>
          <w:sz w:val="24"/>
          <w:szCs w:val="22"/>
        </w:rPr>
        <w:t>dob</w:t>
      </w:r>
      <w:r w:rsidRPr="00A955AF" w:rsidR="0069133D">
        <w:rPr>
          <w:rFonts w:cstheme="minorHAnsi"/>
          <w:sz w:val="24"/>
          <w:szCs w:val="22"/>
        </w:rPr>
        <w:t>y</w:t>
      </w:r>
      <w:r w:rsidRPr="00A955AF">
        <w:rPr>
          <w:rFonts w:cstheme="minorHAnsi"/>
          <w:sz w:val="24"/>
          <w:szCs w:val="22"/>
        </w:rPr>
        <w:t xml:space="preserve"> života se zdravotním omezením. </w:t>
      </w:r>
    </w:p>
    <w:p w:rsidR="004433F0" w:rsidP="00C53CE3" w14:paraId="6A33D6A4" w14:textId="77777777">
      <w:pPr>
        <w:pStyle w:val="Caption"/>
      </w:pPr>
    </w:p>
    <w:p w:rsidR="00C53CE3" w:rsidRPr="00BB7C6B" w:rsidP="00C53CE3" w14:paraId="6F4FB736" w14:textId="36976CC0">
      <w:pPr>
        <w:pStyle w:val="Caption"/>
        <w:rPr>
          <w:rFonts w:cstheme="minorHAnsi"/>
          <w:sz w:val="24"/>
          <w:szCs w:val="22"/>
        </w:rPr>
      </w:pPr>
      <w:bookmarkStart w:id="433" w:name="_Toc256000076"/>
      <w:r w:rsidRPr="00BB7C6B">
        <w:t xml:space="preserve">Graf </w:t>
      </w:r>
      <w:r w:rsidRPr="008729A1">
        <w:fldChar w:fldCharType="begin"/>
      </w:r>
      <w:r w:rsidRPr="008729A1">
        <w:instrText xml:space="preserve"> SEQ Graf \* ARABIC </w:instrText>
      </w:r>
      <w:r w:rsidRPr="008729A1">
        <w:fldChar w:fldCharType="separate"/>
      </w:r>
      <w:r w:rsidRPr="008729A1">
        <w:t>2</w:t>
      </w:r>
      <w:r w:rsidRPr="008729A1">
        <w:fldChar w:fldCharType="end"/>
      </w:r>
      <w:r w:rsidRPr="008729A1">
        <w:t xml:space="preserve"> Obyvatelstvo ČR podle pohlaví a věku</w:t>
      </w:r>
      <w:bookmarkEnd w:id="433"/>
    </w:p>
    <w:p w:rsidR="004B7078" w:rsidRPr="00A955AF" w:rsidP="0501A75A" w14:paraId="231F2D0D" w14:textId="0E463622">
      <w:pPr>
        <w:rPr>
          <w:sz w:val="24"/>
        </w:rPr>
      </w:pPr>
      <w:r>
        <w:rPr>
          <w:rFonts w:cstheme="minorHAnsi"/>
          <w:noProof/>
          <w:sz w:val="24"/>
          <w:szCs w:val="22"/>
          <w:lang w:eastAsia="cs-CZ"/>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32pt;height:260.25pt" o:oleicon="f" o:ole="">
            <v:imagedata r:id="rId12" o:title=""/>
          </v:shape>
          <o:OLEObject Type="Embed" ProgID="PowerPoint.Slide.12" ShapeID="_x0000_i1025" DrawAspect="Content" ObjectID="_1819383506" r:id="rId13"/>
        </w:object>
      </w:r>
    </w:p>
    <w:p w:rsidR="004B7078" w:rsidRPr="00CD43C4" w:rsidP="004B7078" w14:paraId="15A4B879" w14:textId="6C9F3D69">
      <w:pPr>
        <w:rPr>
          <w:rFonts w:cstheme="minorHAnsi"/>
          <w:sz w:val="20"/>
          <w:szCs w:val="22"/>
        </w:rPr>
      </w:pPr>
      <w:r w:rsidRPr="00BB7C6B">
        <w:rPr>
          <w:rFonts w:cstheme="minorHAnsi"/>
          <w:sz w:val="20"/>
          <w:szCs w:val="22"/>
        </w:rPr>
        <w:t xml:space="preserve">Zdroj: ČSÚ </w:t>
      </w:r>
    </w:p>
    <w:p w:rsidR="00F46FB2" w:rsidRPr="00A955AF" w:rsidP="00F46FB2" w14:paraId="2B3215A8" w14:textId="4C62CFC5">
      <w:pPr>
        <w:pStyle w:val="Bntext"/>
        <w:spacing w:line="240" w:lineRule="auto"/>
        <w:ind w:firstLine="0"/>
        <w:rPr>
          <w:rFonts w:cstheme="minorHAnsi"/>
          <w:sz w:val="24"/>
          <w:szCs w:val="22"/>
          <w:lang w:val="cs-CZ"/>
        </w:rPr>
      </w:pPr>
      <w:r w:rsidRPr="00A955AF">
        <w:rPr>
          <w:rFonts w:cstheme="minorHAnsi"/>
          <w:sz w:val="24"/>
          <w:szCs w:val="22"/>
          <w:lang w:val="cs-CZ"/>
        </w:rPr>
        <w:t>Ambiciózní je</w:t>
      </w:r>
      <w:r w:rsidRPr="00A955AF" w:rsidR="00DD596F">
        <w:rPr>
          <w:rFonts w:cstheme="minorHAnsi"/>
          <w:sz w:val="24"/>
          <w:szCs w:val="22"/>
          <w:lang w:val="cs-CZ"/>
        </w:rPr>
        <w:t xml:space="preserve"> tento cíl</w:t>
      </w:r>
      <w:r w:rsidRPr="00A955AF">
        <w:rPr>
          <w:rFonts w:cstheme="minorHAnsi"/>
          <w:sz w:val="24"/>
          <w:szCs w:val="22"/>
          <w:lang w:val="cs-CZ"/>
        </w:rPr>
        <w:t xml:space="preserve"> zejména proto, že zdravotní stav obyvatelstva </w:t>
      </w:r>
      <w:r w:rsidRPr="00A955AF" w:rsidR="00B4135D">
        <w:rPr>
          <w:rFonts w:cstheme="minorHAnsi"/>
          <w:sz w:val="24"/>
          <w:szCs w:val="22"/>
          <w:lang w:val="cs-CZ"/>
        </w:rPr>
        <w:t>je</w:t>
      </w:r>
      <w:r w:rsidRPr="00A955AF" w:rsidR="00CA2AA9">
        <w:rPr>
          <w:rFonts w:cstheme="minorHAnsi"/>
          <w:sz w:val="24"/>
          <w:szCs w:val="22"/>
          <w:lang w:val="cs-CZ"/>
        </w:rPr>
        <w:t xml:space="preserve"> ve</w:t>
      </w:r>
      <w:r w:rsidRPr="00A955AF" w:rsidR="00B4135D">
        <w:rPr>
          <w:rFonts w:cstheme="minorHAnsi"/>
          <w:sz w:val="24"/>
          <w:szCs w:val="22"/>
          <w:lang w:val="cs-CZ"/>
        </w:rPr>
        <w:t xml:space="preserve"> velké míře ovlivněn nejen samotným zdravotnictvím či v širším pojetí systémem péče o zdraví, ale</w:t>
      </w:r>
      <w:r w:rsidRPr="00A955AF" w:rsidR="00BA23A4">
        <w:rPr>
          <w:rFonts w:cstheme="minorHAnsi"/>
          <w:sz w:val="24"/>
          <w:szCs w:val="22"/>
          <w:lang w:val="cs-CZ"/>
        </w:rPr>
        <w:t> </w:t>
      </w:r>
      <w:r w:rsidRPr="00A955AF" w:rsidR="00B4135D">
        <w:rPr>
          <w:rFonts w:cstheme="minorHAnsi"/>
          <w:sz w:val="24"/>
          <w:szCs w:val="22"/>
          <w:lang w:val="cs-CZ"/>
        </w:rPr>
        <w:t>i</w:t>
      </w:r>
      <w:r w:rsidRPr="00A955AF" w:rsidR="00BA23A4">
        <w:rPr>
          <w:rFonts w:cstheme="minorHAnsi"/>
          <w:sz w:val="24"/>
          <w:szCs w:val="22"/>
          <w:lang w:val="cs-CZ"/>
        </w:rPr>
        <w:t> </w:t>
      </w:r>
      <w:r w:rsidRPr="00A955AF" w:rsidR="00B4135D">
        <w:rPr>
          <w:rFonts w:cstheme="minorHAnsi"/>
          <w:sz w:val="24"/>
          <w:szCs w:val="22"/>
          <w:lang w:val="cs-CZ"/>
        </w:rPr>
        <w:t>dalšími oblastmi – průmyslem, dopravou, zeměd</w:t>
      </w:r>
      <w:r w:rsidRPr="00A955AF" w:rsidR="00BA23A4">
        <w:rPr>
          <w:rFonts w:cstheme="minorHAnsi"/>
          <w:sz w:val="24"/>
          <w:szCs w:val="22"/>
          <w:lang w:val="cs-CZ"/>
        </w:rPr>
        <w:t>ělstvím, životním prostředím či </w:t>
      </w:r>
      <w:r w:rsidRPr="00A955AF" w:rsidR="00B4135D">
        <w:rPr>
          <w:rFonts w:cstheme="minorHAnsi"/>
          <w:sz w:val="24"/>
          <w:szCs w:val="22"/>
          <w:lang w:val="cs-CZ"/>
        </w:rPr>
        <w:t xml:space="preserve">školstvím. </w:t>
      </w:r>
      <w:r w:rsidRPr="00A955AF">
        <w:rPr>
          <w:rFonts w:cstheme="minorHAnsi"/>
          <w:sz w:val="24"/>
          <w:szCs w:val="22"/>
          <w:lang w:val="cs-CZ"/>
        </w:rPr>
        <w:t xml:space="preserve">Zdravotní výsledky jsou ovlivněny souborem faktorů, </w:t>
      </w:r>
      <w:r w:rsidR="005973B7">
        <w:rPr>
          <w:rFonts w:cstheme="minorHAnsi"/>
          <w:sz w:val="24"/>
          <w:szCs w:val="22"/>
          <w:lang w:val="cs-CZ"/>
        </w:rPr>
        <w:t>od</w:t>
      </w:r>
      <w:r w:rsidRPr="00A955AF" w:rsidR="005973B7">
        <w:rPr>
          <w:rFonts w:cstheme="minorHAnsi"/>
          <w:sz w:val="24"/>
          <w:szCs w:val="22"/>
          <w:lang w:val="cs-CZ"/>
        </w:rPr>
        <w:t xml:space="preserve"> </w:t>
      </w:r>
      <w:r w:rsidRPr="00A955AF">
        <w:rPr>
          <w:rFonts w:cstheme="minorHAnsi"/>
          <w:sz w:val="24"/>
          <w:szCs w:val="22"/>
          <w:lang w:val="cs-CZ"/>
        </w:rPr>
        <w:t>dostupností a </w:t>
      </w:r>
      <w:r w:rsidRPr="00A955AF" w:rsidR="005973B7">
        <w:rPr>
          <w:rFonts w:cstheme="minorHAnsi"/>
          <w:sz w:val="24"/>
          <w:szCs w:val="22"/>
          <w:lang w:val="cs-CZ"/>
        </w:rPr>
        <w:t>kvalit</w:t>
      </w:r>
      <w:r w:rsidR="005973B7">
        <w:rPr>
          <w:rFonts w:cstheme="minorHAnsi"/>
          <w:sz w:val="24"/>
          <w:szCs w:val="22"/>
          <w:lang w:val="cs-CZ"/>
        </w:rPr>
        <w:t>y</w:t>
      </w:r>
      <w:r w:rsidRPr="00A955AF" w:rsidR="005973B7">
        <w:rPr>
          <w:rFonts w:cstheme="minorHAnsi"/>
          <w:sz w:val="24"/>
          <w:szCs w:val="22"/>
          <w:lang w:val="cs-CZ"/>
        </w:rPr>
        <w:t xml:space="preserve"> </w:t>
      </w:r>
      <w:r w:rsidRPr="00A955AF">
        <w:rPr>
          <w:rFonts w:cstheme="minorHAnsi"/>
          <w:sz w:val="24"/>
          <w:szCs w:val="22"/>
          <w:lang w:val="cs-CZ"/>
        </w:rPr>
        <w:t>péče až po životní podmínky či volbu životního stylu obyvatel. Dodnes platná tzv.</w:t>
      </w:r>
      <w:r w:rsidRPr="00A955AF" w:rsidR="00BA23A4">
        <w:rPr>
          <w:rFonts w:cstheme="minorHAnsi"/>
          <w:sz w:val="24"/>
          <w:szCs w:val="22"/>
          <w:lang w:val="cs-CZ"/>
        </w:rPr>
        <w:t> </w:t>
      </w:r>
      <w:r w:rsidRPr="00A955AF">
        <w:rPr>
          <w:rFonts w:cstheme="minorHAnsi"/>
          <w:sz w:val="24"/>
          <w:szCs w:val="22"/>
          <w:lang w:val="cs-CZ"/>
        </w:rPr>
        <w:t>Lalondova zpráv</w:t>
      </w:r>
      <w:r w:rsidRPr="00A955AF" w:rsidR="004B7078">
        <w:rPr>
          <w:rFonts w:cstheme="minorHAnsi"/>
          <w:sz w:val="24"/>
          <w:szCs w:val="22"/>
          <w:lang w:val="cs-CZ"/>
        </w:rPr>
        <w:t>a</w:t>
      </w:r>
      <w:r>
        <w:rPr>
          <w:rStyle w:val="FootnoteReference"/>
          <w:rFonts w:cstheme="minorHAnsi"/>
          <w:sz w:val="24"/>
          <w:szCs w:val="22"/>
          <w:lang w:val="cs-CZ"/>
        </w:rPr>
        <w:footnoteReference w:id="8"/>
      </w:r>
      <w:r w:rsidRPr="00A955AF">
        <w:rPr>
          <w:rFonts w:cstheme="minorHAnsi"/>
          <w:sz w:val="24"/>
          <w:szCs w:val="22"/>
          <w:lang w:val="cs-CZ"/>
        </w:rPr>
        <w:t xml:space="preserve"> udává podíl jednotlivých determinantů zdravotního stavu</w:t>
      </w:r>
      <w:r w:rsidRPr="00A955AF" w:rsidR="00553BF7">
        <w:rPr>
          <w:rFonts w:cstheme="minorHAnsi"/>
          <w:sz w:val="24"/>
          <w:szCs w:val="22"/>
          <w:lang w:val="cs-CZ"/>
        </w:rPr>
        <w:t xml:space="preserve"> následujícím způsobem: </w:t>
      </w:r>
      <w:r w:rsidRPr="00A955AF" w:rsidR="00BA23A4">
        <w:rPr>
          <w:rFonts w:cstheme="minorHAnsi"/>
          <w:sz w:val="24"/>
          <w:szCs w:val="22"/>
          <w:lang w:val="cs-CZ"/>
        </w:rPr>
        <w:t xml:space="preserve">faktory životního stylu </w:t>
      </w:r>
      <w:r w:rsidR="005973B7">
        <w:rPr>
          <w:rFonts w:cs="Calibri"/>
          <w:sz w:val="24"/>
          <w:szCs w:val="22"/>
          <w:lang w:val="cs-CZ"/>
        </w:rPr>
        <w:t>‒</w:t>
      </w:r>
      <w:r w:rsidRPr="00A955AF" w:rsidR="00BA23A4">
        <w:rPr>
          <w:rFonts w:cstheme="minorHAnsi"/>
          <w:sz w:val="24"/>
          <w:szCs w:val="22"/>
          <w:lang w:val="cs-CZ"/>
        </w:rPr>
        <w:t xml:space="preserve"> 50 %, genetické faktory </w:t>
      </w:r>
      <w:r w:rsidR="005973B7">
        <w:rPr>
          <w:rFonts w:cs="Calibri"/>
          <w:sz w:val="24"/>
          <w:szCs w:val="22"/>
          <w:lang w:val="cs-CZ"/>
        </w:rPr>
        <w:t>‒</w:t>
      </w:r>
      <w:r w:rsidRPr="00A955AF" w:rsidR="00BA23A4">
        <w:rPr>
          <w:rFonts w:cstheme="minorHAnsi"/>
          <w:sz w:val="24"/>
          <w:szCs w:val="22"/>
          <w:lang w:val="cs-CZ"/>
        </w:rPr>
        <w:t xml:space="preserve"> 20 %, faktory životního prostředí </w:t>
      </w:r>
      <w:r w:rsidR="005973B7">
        <w:rPr>
          <w:rFonts w:cs="Calibri"/>
          <w:sz w:val="24"/>
          <w:szCs w:val="22"/>
          <w:lang w:val="cs-CZ"/>
        </w:rPr>
        <w:t>‒</w:t>
      </w:r>
      <w:r w:rsidRPr="00A955AF" w:rsidR="00BA23A4">
        <w:rPr>
          <w:rFonts w:cstheme="minorHAnsi"/>
          <w:sz w:val="24"/>
          <w:szCs w:val="22"/>
          <w:lang w:val="cs-CZ"/>
        </w:rPr>
        <w:t xml:space="preserve"> 15 %</w:t>
      </w:r>
      <w:r w:rsidRPr="00A955AF">
        <w:rPr>
          <w:rFonts w:cstheme="minorHAnsi"/>
          <w:sz w:val="24"/>
          <w:szCs w:val="22"/>
          <w:lang w:val="cs-CZ"/>
        </w:rPr>
        <w:t xml:space="preserve"> a faktory odrážející fung</w:t>
      </w:r>
      <w:r w:rsidRPr="00A955AF" w:rsidR="00BA23A4">
        <w:rPr>
          <w:rFonts w:cstheme="minorHAnsi"/>
          <w:sz w:val="24"/>
          <w:szCs w:val="22"/>
          <w:lang w:val="cs-CZ"/>
        </w:rPr>
        <w:t xml:space="preserve">ování zdravotního systému </w:t>
      </w:r>
      <w:r w:rsidR="005973B7">
        <w:rPr>
          <w:rFonts w:cs="Calibri"/>
          <w:sz w:val="24"/>
          <w:szCs w:val="22"/>
          <w:lang w:val="cs-CZ"/>
        </w:rPr>
        <w:t>‒</w:t>
      </w:r>
      <w:r w:rsidRPr="00A955AF" w:rsidR="00BA23A4">
        <w:rPr>
          <w:rFonts w:cstheme="minorHAnsi"/>
          <w:sz w:val="24"/>
          <w:szCs w:val="22"/>
          <w:lang w:val="cs-CZ"/>
        </w:rPr>
        <w:t xml:space="preserve"> 15 %</w:t>
      </w:r>
      <w:r w:rsidRPr="00A955AF">
        <w:rPr>
          <w:rFonts w:cstheme="minorHAnsi"/>
          <w:sz w:val="24"/>
          <w:szCs w:val="22"/>
          <w:lang w:val="cs-CZ"/>
        </w:rPr>
        <w:t xml:space="preserve">. </w:t>
      </w:r>
    </w:p>
    <w:p w:rsidR="00B4135D" w:rsidRPr="00A955AF" w:rsidP="00477A42" w14:paraId="3B758554" w14:textId="317588F6">
      <w:pPr>
        <w:rPr>
          <w:rFonts w:cstheme="minorHAnsi"/>
          <w:sz w:val="24"/>
          <w:szCs w:val="22"/>
        </w:rPr>
      </w:pPr>
      <w:r w:rsidRPr="00A955AF">
        <w:rPr>
          <w:rFonts w:cstheme="minorHAnsi"/>
          <w:sz w:val="24"/>
          <w:szCs w:val="22"/>
        </w:rPr>
        <w:t>Na druhé straně se pak zdravotní stav obyvatelstva projevuje v míře zaměstnanosti či</w:t>
      </w:r>
      <w:r w:rsidRPr="00A955AF" w:rsidR="00BA23A4">
        <w:rPr>
          <w:rFonts w:cstheme="minorHAnsi"/>
          <w:sz w:val="24"/>
          <w:szCs w:val="22"/>
        </w:rPr>
        <w:t> </w:t>
      </w:r>
      <w:r w:rsidRPr="00A955AF">
        <w:rPr>
          <w:rFonts w:cstheme="minorHAnsi"/>
          <w:sz w:val="24"/>
          <w:szCs w:val="22"/>
        </w:rPr>
        <w:t>zatížení zdravotního a sociálního systému</w:t>
      </w:r>
      <w:r w:rsidR="005973B7">
        <w:rPr>
          <w:rFonts w:cstheme="minorHAnsi"/>
          <w:sz w:val="24"/>
          <w:szCs w:val="22"/>
        </w:rPr>
        <w:t>,</w:t>
      </w:r>
      <w:r w:rsidRPr="00A955AF">
        <w:rPr>
          <w:rFonts w:cstheme="minorHAnsi"/>
          <w:sz w:val="24"/>
          <w:szCs w:val="22"/>
        </w:rPr>
        <w:t xml:space="preserve"> a je tedy významným determinantem národní ekonomiky. Z tohoto důvodu mus</w:t>
      </w:r>
      <w:r w:rsidR="005973B7">
        <w:rPr>
          <w:rFonts w:cstheme="minorHAnsi"/>
          <w:sz w:val="24"/>
          <w:szCs w:val="22"/>
        </w:rPr>
        <w:t>ej</w:t>
      </w:r>
      <w:r w:rsidRPr="00A955AF">
        <w:rPr>
          <w:rFonts w:cstheme="minorHAnsi"/>
          <w:sz w:val="24"/>
          <w:szCs w:val="22"/>
        </w:rPr>
        <w:t>í být meziresortní systémová opatření</w:t>
      </w:r>
      <w:r w:rsidRPr="00A955AF" w:rsidR="00553BF7">
        <w:rPr>
          <w:rFonts w:cstheme="minorHAnsi"/>
          <w:sz w:val="24"/>
          <w:szCs w:val="22"/>
        </w:rPr>
        <w:t xml:space="preserve"> prováděna</w:t>
      </w:r>
      <w:r w:rsidRPr="00A955AF">
        <w:rPr>
          <w:rFonts w:cstheme="minorHAnsi"/>
          <w:sz w:val="24"/>
          <w:szCs w:val="22"/>
        </w:rPr>
        <w:t xml:space="preserve"> právě v rámci </w:t>
      </w:r>
      <w:r w:rsidRPr="00A955AF" w:rsidR="00553BF7">
        <w:rPr>
          <w:rFonts w:cstheme="minorHAnsi"/>
          <w:sz w:val="24"/>
          <w:szCs w:val="22"/>
        </w:rPr>
        <w:t xml:space="preserve">realizace </w:t>
      </w:r>
      <w:r w:rsidRPr="00A955AF">
        <w:rPr>
          <w:rFonts w:cstheme="minorHAnsi"/>
          <w:sz w:val="24"/>
          <w:szCs w:val="22"/>
        </w:rPr>
        <w:t>Implementačního plánu ke Strategickému rámci Česká republika 2030</w:t>
      </w:r>
      <w:r>
        <w:rPr>
          <w:rStyle w:val="FootnoteReference"/>
          <w:rFonts w:cstheme="minorHAnsi"/>
          <w:sz w:val="24"/>
          <w:szCs w:val="22"/>
        </w:rPr>
        <w:footnoteReference w:id="9"/>
      </w:r>
      <w:r w:rsidRPr="00A955AF">
        <w:rPr>
          <w:rFonts w:cstheme="minorHAnsi"/>
          <w:sz w:val="24"/>
          <w:szCs w:val="22"/>
        </w:rPr>
        <w:t xml:space="preserve">. </w:t>
      </w:r>
    </w:p>
    <w:p w:rsidR="00995E76" w:rsidRPr="00A955AF" w:rsidP="00477A42" w14:paraId="4B1AEE37" w14:textId="75B79B45">
      <w:pPr>
        <w:rPr>
          <w:rFonts w:cstheme="minorHAnsi"/>
          <w:sz w:val="24"/>
          <w:szCs w:val="22"/>
        </w:rPr>
      </w:pPr>
      <w:r w:rsidRPr="00A955AF">
        <w:rPr>
          <w:rFonts w:cs="Times New Roman"/>
          <w:color w:val="auto"/>
          <w:sz w:val="24"/>
        </w:rPr>
        <w:t>„</w:t>
      </w:r>
      <w:r w:rsidRPr="00A955AF">
        <w:rPr>
          <w:rFonts w:cs="Times New Roman"/>
          <w:i/>
          <w:color w:val="auto"/>
          <w:sz w:val="24"/>
        </w:rPr>
        <w:t>Nestačí zaměřit se na systém zdravotní péče, je třeba vytvořit podmínky pro zdravý život a</w:t>
      </w:r>
      <w:r w:rsidRPr="00A955AF" w:rsidR="0016591F">
        <w:rPr>
          <w:rFonts w:cs="Times New Roman"/>
          <w:i/>
          <w:color w:val="auto"/>
          <w:sz w:val="24"/>
        </w:rPr>
        <w:t> </w:t>
      </w:r>
      <w:r w:rsidRPr="00A955AF">
        <w:rPr>
          <w:rFonts w:cs="Times New Roman"/>
          <w:i/>
          <w:color w:val="auto"/>
          <w:sz w:val="24"/>
        </w:rPr>
        <w:t>stimulovat občany k volbě ve prospěch zdraví. Je nutné posílit nadresortní spolupráci klíčových hráčů, tedy zúčastněných stran z odvětví, jako je zdravotnictví, školství, sociální péče, územní plánování, doprava a výstavba. Je nutné si uvědomit, že zdraví je silně ovlivněno sociálně ekonomickými podmínkami života, které jsou dány úrovní vzdělání, sociálním postavením, pracovními podmínkami, příjmem, vlivem životního prostředí, individuálními preferencemi občanů apod</w:t>
      </w:r>
      <w:r w:rsidRPr="00A955AF">
        <w:rPr>
          <w:rFonts w:cs="Times New Roman"/>
          <w:color w:val="auto"/>
          <w:sz w:val="24"/>
        </w:rPr>
        <w:t>.“</w:t>
      </w:r>
      <w:r>
        <w:rPr>
          <w:rStyle w:val="FootnoteReference"/>
          <w:rFonts w:cs="Times New Roman"/>
          <w:color w:val="auto"/>
          <w:sz w:val="24"/>
        </w:rPr>
        <w:footnoteReference w:id="10"/>
      </w:r>
    </w:p>
    <w:p w:rsidR="009F01A6" w:rsidRPr="00A955AF" w:rsidP="00477A42" w14:paraId="2688C34E" w14:textId="1794DEE3">
      <w:pPr>
        <w:rPr>
          <w:rFonts w:cstheme="minorHAnsi"/>
          <w:sz w:val="24"/>
          <w:szCs w:val="22"/>
        </w:rPr>
      </w:pPr>
      <w:r w:rsidRPr="00A955AF">
        <w:rPr>
          <w:rFonts w:cstheme="minorHAnsi"/>
          <w:sz w:val="24"/>
          <w:szCs w:val="22"/>
        </w:rPr>
        <w:t xml:space="preserve">Strategický rámec Zdraví </w:t>
      </w:r>
      <w:r w:rsidRPr="00A955AF" w:rsidR="00853322">
        <w:rPr>
          <w:rFonts w:cstheme="minorHAnsi"/>
          <w:sz w:val="24"/>
          <w:szCs w:val="22"/>
        </w:rPr>
        <w:t>203</w:t>
      </w:r>
      <w:r w:rsidR="00853322">
        <w:rPr>
          <w:rFonts w:cstheme="minorHAnsi"/>
          <w:sz w:val="24"/>
          <w:szCs w:val="22"/>
        </w:rPr>
        <w:t>5</w:t>
      </w:r>
      <w:r w:rsidRPr="00A955AF" w:rsidR="00853322">
        <w:rPr>
          <w:rFonts w:cstheme="minorHAnsi"/>
          <w:sz w:val="24"/>
          <w:szCs w:val="22"/>
        </w:rPr>
        <w:t xml:space="preserve"> </w:t>
      </w:r>
      <w:r w:rsidRPr="00A955AF">
        <w:rPr>
          <w:rFonts w:cstheme="minorHAnsi"/>
          <w:sz w:val="24"/>
          <w:szCs w:val="22"/>
        </w:rPr>
        <w:t>si klade za cíl být základním resortním koncepčním materiálem s meziresortním přesahem a udávat směr rozvoje péče o zdraví obyvatel ČR pro</w:t>
      </w:r>
      <w:r w:rsidRPr="00A955AF" w:rsidR="008A1A44">
        <w:rPr>
          <w:rFonts w:cstheme="minorHAnsi"/>
          <w:sz w:val="24"/>
          <w:szCs w:val="22"/>
        </w:rPr>
        <w:t> </w:t>
      </w:r>
      <w:r w:rsidRPr="00A955AF">
        <w:rPr>
          <w:rFonts w:cstheme="minorHAnsi"/>
          <w:sz w:val="24"/>
          <w:szCs w:val="22"/>
        </w:rPr>
        <w:t xml:space="preserve">příští desetiletí. Hlavní vizí Strategického rámce Zdraví </w:t>
      </w:r>
      <w:r w:rsidRPr="00A955AF" w:rsidR="00853322">
        <w:rPr>
          <w:rFonts w:cstheme="minorHAnsi"/>
          <w:sz w:val="24"/>
          <w:szCs w:val="22"/>
        </w:rPr>
        <w:t>203</w:t>
      </w:r>
      <w:r w:rsidR="00853322">
        <w:rPr>
          <w:rFonts w:cstheme="minorHAnsi"/>
          <w:sz w:val="24"/>
          <w:szCs w:val="22"/>
        </w:rPr>
        <w:t>5</w:t>
      </w:r>
      <w:r w:rsidRPr="00A955AF" w:rsidR="00853322">
        <w:rPr>
          <w:rFonts w:cstheme="minorHAnsi"/>
          <w:sz w:val="24"/>
          <w:szCs w:val="22"/>
        </w:rPr>
        <w:t xml:space="preserve"> </w:t>
      </w:r>
      <w:r w:rsidRPr="00A955AF">
        <w:rPr>
          <w:rFonts w:cstheme="minorHAnsi"/>
          <w:sz w:val="24"/>
          <w:szCs w:val="22"/>
        </w:rPr>
        <w:t>je zajistit dostupnou zdravotní péči všem občanům ČR bez ohledu na jejich sociální a geografické prostředí a</w:t>
      </w:r>
      <w:r w:rsidRPr="00A955AF" w:rsidR="008A1A44">
        <w:rPr>
          <w:rFonts w:cstheme="minorHAnsi"/>
          <w:sz w:val="24"/>
          <w:szCs w:val="22"/>
        </w:rPr>
        <w:t> </w:t>
      </w:r>
      <w:r w:rsidRPr="00A955AF">
        <w:rPr>
          <w:rFonts w:cstheme="minorHAnsi"/>
          <w:sz w:val="24"/>
          <w:szCs w:val="22"/>
        </w:rPr>
        <w:t xml:space="preserve">současně zajistit, aby občané sami více dbali o svůj zdravotní stav. </w:t>
      </w:r>
    </w:p>
    <w:p w:rsidR="007B50FF" w:rsidRPr="00A955AF" w:rsidP="00675E13" w14:paraId="67B94E5E" w14:textId="77D69E26">
      <w:pPr>
        <w:rPr>
          <w:rFonts w:cstheme="minorHAnsi"/>
          <w:sz w:val="24"/>
          <w:szCs w:val="22"/>
        </w:rPr>
      </w:pPr>
      <w:r w:rsidRPr="00A955AF">
        <w:rPr>
          <w:rFonts w:cstheme="minorHAnsi"/>
          <w:sz w:val="24"/>
          <w:szCs w:val="22"/>
        </w:rPr>
        <w:t>T</w:t>
      </w:r>
      <w:r w:rsidRPr="00A955AF" w:rsidR="009F01A6">
        <w:rPr>
          <w:rFonts w:cstheme="minorHAnsi"/>
          <w:sz w:val="24"/>
          <w:szCs w:val="22"/>
        </w:rPr>
        <w:t xml:space="preserve">ato vize </w:t>
      </w:r>
      <w:r w:rsidRPr="00A955AF">
        <w:rPr>
          <w:rFonts w:cstheme="minorHAnsi"/>
          <w:sz w:val="24"/>
          <w:szCs w:val="22"/>
        </w:rPr>
        <w:t>a zároveň výzva pro český zdravotn</w:t>
      </w:r>
      <w:r w:rsidRPr="00A955AF" w:rsidR="008603FE">
        <w:rPr>
          <w:rFonts w:cstheme="minorHAnsi"/>
          <w:sz w:val="24"/>
          <w:szCs w:val="22"/>
        </w:rPr>
        <w:t>ický</w:t>
      </w:r>
      <w:r w:rsidRPr="00A955AF">
        <w:rPr>
          <w:rFonts w:cstheme="minorHAnsi"/>
          <w:sz w:val="24"/>
          <w:szCs w:val="22"/>
        </w:rPr>
        <w:t xml:space="preserve"> systém je významně ovlivněn</w:t>
      </w:r>
      <w:r w:rsidRPr="00A955AF" w:rsidR="009F01A6">
        <w:rPr>
          <w:rFonts w:cstheme="minorHAnsi"/>
          <w:sz w:val="24"/>
          <w:szCs w:val="22"/>
        </w:rPr>
        <w:t>a</w:t>
      </w:r>
      <w:r w:rsidRPr="00A955AF">
        <w:rPr>
          <w:rFonts w:cstheme="minorHAnsi"/>
          <w:sz w:val="24"/>
          <w:szCs w:val="22"/>
        </w:rPr>
        <w:t xml:space="preserve"> řadou faktorů. Jedná se především o demografický vývoj, kdy bude česká populace stále více stárnout. </w:t>
      </w:r>
      <w:r w:rsidRPr="00A955AF" w:rsidR="00432493">
        <w:rPr>
          <w:rFonts w:cstheme="minorHAnsi"/>
          <w:sz w:val="24"/>
          <w:szCs w:val="22"/>
        </w:rPr>
        <w:t>To </w:t>
      </w:r>
      <w:r w:rsidRPr="00A955AF">
        <w:rPr>
          <w:rFonts w:cstheme="minorHAnsi"/>
          <w:sz w:val="24"/>
          <w:szCs w:val="22"/>
        </w:rPr>
        <w:t xml:space="preserve">povede nejen k úbytku produktivní složky obyvatelstva, ale </w:t>
      </w:r>
      <w:r w:rsidRPr="00A955AF" w:rsidR="007D07FF">
        <w:rPr>
          <w:rFonts w:cstheme="minorHAnsi"/>
          <w:sz w:val="24"/>
          <w:szCs w:val="22"/>
        </w:rPr>
        <w:t xml:space="preserve">bude to také znamenat vyšší poptávku po zdravotních a sociálních </w:t>
      </w:r>
      <w:r w:rsidRPr="00A955AF">
        <w:rPr>
          <w:rFonts w:cstheme="minorHAnsi"/>
          <w:sz w:val="24"/>
          <w:szCs w:val="22"/>
        </w:rPr>
        <w:t xml:space="preserve">službách a pečovatelství obecně </w:t>
      </w:r>
      <w:r w:rsidRPr="00A955AF" w:rsidR="007D07FF">
        <w:rPr>
          <w:rFonts w:cstheme="minorHAnsi"/>
          <w:sz w:val="24"/>
          <w:szCs w:val="22"/>
        </w:rPr>
        <w:t>(</w:t>
      </w:r>
      <w:r w:rsidRPr="00A955AF">
        <w:rPr>
          <w:rFonts w:cstheme="minorHAnsi"/>
          <w:sz w:val="24"/>
          <w:szCs w:val="22"/>
        </w:rPr>
        <w:t>tzv.</w:t>
      </w:r>
      <w:r w:rsidRPr="00A955AF" w:rsidR="008A1A44">
        <w:rPr>
          <w:rFonts w:cstheme="minorHAnsi"/>
          <w:sz w:val="24"/>
          <w:szCs w:val="22"/>
        </w:rPr>
        <w:t> </w:t>
      </w:r>
      <w:r w:rsidRPr="00A955AF">
        <w:rPr>
          <w:rFonts w:cstheme="minorHAnsi"/>
          <w:sz w:val="24"/>
          <w:szCs w:val="22"/>
        </w:rPr>
        <w:t xml:space="preserve">stříbrná ekonomika). </w:t>
      </w:r>
      <w:r w:rsidRPr="008729A1" w:rsidR="00C53CE3">
        <w:rPr>
          <w:rFonts w:cstheme="minorHAnsi"/>
          <w:sz w:val="24"/>
          <w:szCs w:val="22"/>
        </w:rPr>
        <w:t xml:space="preserve">Zpráva o České republice 2020 uvádí, </w:t>
      </w:r>
      <w:r w:rsidRPr="00722F15" w:rsidR="00C53CE3">
        <w:rPr>
          <w:rFonts w:cstheme="minorHAnsi"/>
          <w:i/>
          <w:iCs/>
          <w:sz w:val="24"/>
          <w:szCs w:val="22"/>
        </w:rPr>
        <w:t>„že náklady související se stárnutím obyvatelstva vzrostou v letech 2016 až 2070 celkem o 6,2 p. b. (z toho 2,8 p. b. výdaje na důchody, 1,1 p. b. výdaje na zdravotní péči a 1,6 p. b. výdaje na dlouhodobou péči), což u ukazatele rizika dlouhodobé fiskální udržitelnosti (S2) představuje střední riziko. Hlavním rizikem pro dlouhodobou udržitelnost je zvyšování výdajů na důchody. U zákonem stanoveného věku odchodu do důchodu byla pro muže i pro ženy zavedena hranice 65 let a systém automaticky nezohledňuje předpokládané prodlužování střední délky života.“</w:t>
      </w:r>
      <w:r w:rsidR="00C53CE3">
        <w:rPr>
          <w:rFonts w:cstheme="minorHAnsi"/>
          <w:i/>
          <w:iCs/>
          <w:sz w:val="24"/>
          <w:szCs w:val="22"/>
        </w:rPr>
        <w:t xml:space="preserve"> </w:t>
      </w:r>
      <w:r w:rsidRPr="00A955AF">
        <w:rPr>
          <w:rFonts w:cstheme="minorHAnsi"/>
          <w:sz w:val="24"/>
          <w:szCs w:val="22"/>
        </w:rPr>
        <w:t xml:space="preserve">Se stárnutím obyvatelstva je spojen předpokládaný nárůst veřejných výdajů </w:t>
      </w:r>
      <w:r w:rsidRPr="00A955AF" w:rsidR="00432493">
        <w:rPr>
          <w:rFonts w:cstheme="minorHAnsi"/>
          <w:sz w:val="24"/>
          <w:szCs w:val="22"/>
        </w:rPr>
        <w:t>na </w:t>
      </w:r>
      <w:r w:rsidRPr="00A955AF">
        <w:rPr>
          <w:rFonts w:cstheme="minorHAnsi"/>
          <w:sz w:val="24"/>
          <w:szCs w:val="22"/>
        </w:rPr>
        <w:t>zdravotní péči, což v dlouhodobém horizontu představuje riziko pro</w:t>
      </w:r>
      <w:r w:rsidRPr="00A955AF" w:rsidR="008A1A44">
        <w:rPr>
          <w:rFonts w:cstheme="minorHAnsi"/>
          <w:sz w:val="24"/>
          <w:szCs w:val="22"/>
        </w:rPr>
        <w:t> </w:t>
      </w:r>
      <w:r w:rsidRPr="00A955AF">
        <w:rPr>
          <w:rFonts w:cstheme="minorHAnsi"/>
          <w:sz w:val="24"/>
          <w:szCs w:val="22"/>
        </w:rPr>
        <w:t>veřejné rozpočty. Jak</w:t>
      </w:r>
      <w:r w:rsidR="008365B5">
        <w:rPr>
          <w:rFonts w:cstheme="minorHAnsi"/>
          <w:sz w:val="24"/>
          <w:szCs w:val="22"/>
        </w:rPr>
        <w:t>koli</w:t>
      </w:r>
      <w:r w:rsidRPr="00A955AF">
        <w:rPr>
          <w:rFonts w:cstheme="minorHAnsi"/>
          <w:sz w:val="24"/>
          <w:szCs w:val="22"/>
        </w:rPr>
        <w:t xml:space="preserve"> je fiskální udržitelnost veřejných financí v krátkodobém horizontu dobrá, současný hospodářský růst přináší neocenitelnou příležitost k uskutečnění zásadních (strukturálních) reforem</w:t>
      </w:r>
      <w:r w:rsidR="00C53CE3">
        <w:rPr>
          <w:rFonts w:cstheme="minorHAnsi"/>
          <w:sz w:val="24"/>
          <w:szCs w:val="22"/>
        </w:rPr>
        <w:t>,</w:t>
      </w:r>
      <w:r w:rsidRPr="00BB7C6B" w:rsidR="00C53CE3">
        <w:rPr>
          <w:rFonts w:cstheme="minorHAnsi"/>
          <w:sz w:val="24"/>
          <w:szCs w:val="22"/>
        </w:rPr>
        <w:t xml:space="preserve"> zejména </w:t>
      </w:r>
      <w:r w:rsidRPr="00BB7C6B" w:rsidR="00C53CE3">
        <w:rPr>
          <w:rFonts w:cstheme="minorHAnsi"/>
          <w:sz w:val="24"/>
          <w:szCs w:val="22"/>
        </w:rPr>
        <w:t>v</w:t>
      </w:r>
      <w:r w:rsidRPr="008729A1" w:rsidR="00C53CE3">
        <w:rPr>
          <w:rFonts w:cstheme="minorHAnsi"/>
          <w:sz w:val="24"/>
          <w:szCs w:val="22"/>
        </w:rPr>
        <w:t> oblasti zlepšení nákladové efektivnosti poskytování zdravotnických a pečovatelských služeb,</w:t>
      </w:r>
      <w:r w:rsidRPr="00A955AF">
        <w:rPr>
          <w:rFonts w:cstheme="minorHAnsi"/>
          <w:sz w:val="24"/>
          <w:szCs w:val="22"/>
        </w:rPr>
        <w:t xml:space="preserve"> umožňujících připravit </w:t>
      </w:r>
      <w:r w:rsidRPr="00A955AF" w:rsidR="004B7078">
        <w:rPr>
          <w:rFonts w:cstheme="minorHAnsi"/>
          <w:sz w:val="24"/>
          <w:szCs w:val="22"/>
        </w:rPr>
        <w:t xml:space="preserve">se </w:t>
      </w:r>
      <w:r w:rsidRPr="00A955AF">
        <w:rPr>
          <w:rFonts w:cstheme="minorHAnsi"/>
          <w:sz w:val="24"/>
          <w:szCs w:val="22"/>
        </w:rPr>
        <w:t>na budoucí výzvy.</w:t>
      </w:r>
      <w:r w:rsidRPr="00C53CE3" w:rsidR="00C53CE3">
        <w:rPr>
          <w:rStyle w:val="FootnoteReference"/>
          <w:rFonts w:cstheme="minorHAnsi"/>
          <w:sz w:val="24"/>
          <w:szCs w:val="22"/>
        </w:rPr>
        <w:t xml:space="preserve"> </w:t>
      </w:r>
      <w:r>
        <w:rPr>
          <w:rStyle w:val="FootnoteReference"/>
          <w:rFonts w:cstheme="minorHAnsi"/>
          <w:sz w:val="24"/>
          <w:szCs w:val="22"/>
        </w:rPr>
        <w:footnoteReference w:id="11"/>
      </w:r>
      <w:r w:rsidRPr="00A955AF">
        <w:rPr>
          <w:rFonts w:cstheme="minorHAnsi"/>
          <w:sz w:val="24"/>
          <w:szCs w:val="22"/>
        </w:rPr>
        <w:t xml:space="preserve"> </w:t>
      </w:r>
    </w:p>
    <w:p w:rsidR="00457D1D" w:rsidP="00675E13" w14:paraId="4B004D7B" w14:textId="12363D7D">
      <w:pPr>
        <w:rPr>
          <w:rFonts w:cstheme="minorHAnsi"/>
          <w:sz w:val="24"/>
          <w:szCs w:val="22"/>
        </w:rPr>
      </w:pPr>
      <w:r w:rsidRPr="00A955AF">
        <w:rPr>
          <w:rFonts w:cstheme="minorHAnsi"/>
          <w:sz w:val="24"/>
          <w:szCs w:val="22"/>
        </w:rPr>
        <w:t>Stárnutí populace není problémem jen na straně poptávky, ale i nabídky, neboť stárnutí zdravotnického personálu s</w:t>
      </w:r>
      <w:r w:rsidRPr="00A955AF" w:rsidR="006243A9">
        <w:rPr>
          <w:rFonts w:cstheme="minorHAnsi"/>
          <w:sz w:val="24"/>
          <w:szCs w:val="22"/>
        </w:rPr>
        <w:t xml:space="preserve"> sebou </w:t>
      </w:r>
      <w:r w:rsidRPr="00A955AF">
        <w:rPr>
          <w:rFonts w:cstheme="minorHAnsi"/>
          <w:sz w:val="24"/>
          <w:szCs w:val="22"/>
        </w:rPr>
        <w:t>přináší rostoucí riziko budoucího nedostatku zdravotnických pracovníků v určitých specializacích a v </w:t>
      </w:r>
      <w:r w:rsidRPr="00A955AF" w:rsidR="002F2B01">
        <w:rPr>
          <w:rFonts w:cstheme="minorHAnsi"/>
          <w:sz w:val="24"/>
          <w:szCs w:val="22"/>
        </w:rPr>
        <w:t>určitých</w:t>
      </w:r>
      <w:r w:rsidRPr="00A955AF">
        <w:rPr>
          <w:rFonts w:cstheme="minorHAnsi"/>
          <w:sz w:val="24"/>
          <w:szCs w:val="22"/>
        </w:rPr>
        <w:t xml:space="preserve"> regionech. </w:t>
      </w:r>
      <w:r w:rsidRPr="00A955AF" w:rsidR="009361B8">
        <w:rPr>
          <w:rFonts w:cstheme="minorHAnsi"/>
          <w:sz w:val="24"/>
          <w:szCs w:val="22"/>
        </w:rPr>
        <w:t>S ohledem na</w:t>
      </w:r>
      <w:r w:rsidRPr="00A955AF" w:rsidR="008A1A44">
        <w:rPr>
          <w:rFonts w:cstheme="minorHAnsi"/>
          <w:sz w:val="24"/>
          <w:szCs w:val="22"/>
        </w:rPr>
        <w:t> </w:t>
      </w:r>
      <w:r w:rsidRPr="00A955AF" w:rsidR="009361B8">
        <w:rPr>
          <w:rFonts w:cstheme="minorHAnsi"/>
          <w:sz w:val="24"/>
          <w:szCs w:val="22"/>
        </w:rPr>
        <w:t>zajištění udržitelnosti financování zdravotní péče také vzrůstá potřeba zaměřit rozvoj na</w:t>
      </w:r>
      <w:r w:rsidRPr="00A955AF" w:rsidR="008A1A44">
        <w:rPr>
          <w:rFonts w:cstheme="minorHAnsi"/>
          <w:sz w:val="24"/>
          <w:szCs w:val="22"/>
        </w:rPr>
        <w:t> </w:t>
      </w:r>
      <w:r w:rsidRPr="00A955AF" w:rsidR="009361B8">
        <w:rPr>
          <w:rFonts w:cstheme="minorHAnsi"/>
          <w:sz w:val="24"/>
          <w:szCs w:val="22"/>
        </w:rPr>
        <w:t xml:space="preserve">dlouhodobou péči a péči komunitní. </w:t>
      </w:r>
    </w:p>
    <w:p w:rsidR="00C53CE3" w:rsidRPr="008729A1" w:rsidP="00C53CE3" w14:paraId="5457FC8C" w14:textId="5C2C24A6">
      <w:pPr>
        <w:rPr>
          <w:rFonts w:cstheme="minorHAnsi"/>
          <w:sz w:val="24"/>
          <w:szCs w:val="22"/>
        </w:rPr>
      </w:pPr>
      <w:r w:rsidRPr="008729A1">
        <w:rPr>
          <w:rFonts w:cstheme="minorHAnsi"/>
          <w:sz w:val="24"/>
          <w:szCs w:val="22"/>
        </w:rPr>
        <w:t xml:space="preserve">Veřejné výdaje na zdravotní péči by se měly do roku 2070 zvýšit o 1,1 p. b. HDP, což k nákladům na stárnutí obyvatelstva přidá další zátěž. K zajištění stability úhrad by měl přispět projekt úhrad zdravotní péče podle DRG (pilotní projekt </w:t>
      </w:r>
      <w:r>
        <w:rPr>
          <w:rFonts w:cstheme="minorHAnsi"/>
          <w:sz w:val="24"/>
          <w:szCs w:val="22"/>
        </w:rPr>
        <w:t xml:space="preserve">byl </w:t>
      </w:r>
      <w:r w:rsidRPr="008729A1">
        <w:rPr>
          <w:rFonts w:cstheme="minorHAnsi"/>
          <w:sz w:val="24"/>
          <w:szCs w:val="22"/>
        </w:rPr>
        <w:t xml:space="preserve">nasazen </w:t>
      </w:r>
      <w:r>
        <w:rPr>
          <w:rFonts w:cstheme="minorHAnsi"/>
          <w:sz w:val="24"/>
          <w:szCs w:val="22"/>
        </w:rPr>
        <w:t xml:space="preserve">již v roce </w:t>
      </w:r>
      <w:r w:rsidRPr="008729A1">
        <w:rPr>
          <w:rFonts w:cstheme="minorHAnsi"/>
          <w:sz w:val="24"/>
          <w:szCs w:val="22"/>
        </w:rPr>
        <w:t>2020), dále posílení ambulantní péče v rámci urgentních příjmů v nemocnicích s cílem omezit zbytečné hospitalizace. Počet lůžek akutní péče i průměrná délka hospitalizace se v posledním desetiletí snížily, jsou však stále nad průměrem EU. Nízká obsazenost lůžek (70 % oproti 77 % v EU v roce 2017) spolu s poměrně vysokým počtem hospitalizací (198 na 1 000 osob oproti 174 v EU v</w:t>
      </w:r>
      <w:r w:rsidR="004433F0">
        <w:rPr>
          <w:rFonts w:cstheme="minorHAnsi"/>
          <w:sz w:val="24"/>
          <w:szCs w:val="22"/>
        </w:rPr>
        <w:t> </w:t>
      </w:r>
      <w:r w:rsidRPr="008729A1">
        <w:rPr>
          <w:rFonts w:cstheme="minorHAnsi"/>
          <w:sz w:val="24"/>
          <w:szCs w:val="22"/>
        </w:rPr>
        <w:t>roce 2017) naznačují existenci nadměrné kapacity. To je částečně způsobeno finančními pobídkami a neexistencí politického konsensu v otázkách transformace nemocniční sítě.</w:t>
      </w:r>
    </w:p>
    <w:p w:rsidR="00C53CE3" w:rsidRPr="008729A1" w:rsidP="00C53CE3" w14:paraId="4E806FFC" w14:textId="62ECCF9F">
      <w:pPr>
        <w:rPr>
          <w:rFonts w:cstheme="minorHAnsi"/>
          <w:sz w:val="24"/>
          <w:szCs w:val="22"/>
        </w:rPr>
      </w:pPr>
      <w:r w:rsidRPr="008729A1">
        <w:rPr>
          <w:rFonts w:cstheme="minorHAnsi"/>
          <w:sz w:val="24"/>
          <w:szCs w:val="22"/>
        </w:rPr>
        <w:t>V systému stále často dochází k nadměrné spotřebě a neefektivnímu využívání ambulantní péče. Finanční prostředky na ambulantní péči jsou sice vysoké, avšak počet hospitalizací z</w:t>
      </w:r>
      <w:r w:rsidR="004433F0">
        <w:rPr>
          <w:rFonts w:cstheme="minorHAnsi"/>
          <w:sz w:val="24"/>
          <w:szCs w:val="22"/>
        </w:rPr>
        <w:t> </w:t>
      </w:r>
      <w:r w:rsidRPr="008729A1">
        <w:rPr>
          <w:rFonts w:cstheme="minorHAnsi"/>
          <w:sz w:val="24"/>
          <w:szCs w:val="22"/>
        </w:rPr>
        <w:t xml:space="preserve">důvodu některých běžných onemocnění (např. cukrovka a městnavé srdeční selhání), které nejsou nezbytné, je vyšší než průměr EU. To poukazuje na nedostatky v prevenci rizikových faktorů a zvládání chronických onemocnění a na nedostatečnou integraci zdravotnických služeb. Navzdory některým iniciativám praktičtí lékaři stále neplní roli regulace pohybu pacienta v systému zdravotní péče („gatekeeping“). Pacienti mohou navštívit odborného lékaře bez doporučení a bez poplatku, čímž se částečně vysvětluje relativně vysoký počet ambulantních konzultací (8,0 návštěv na osobu oproti průměru EU ve výši 6,2). </w:t>
      </w:r>
    </w:p>
    <w:p w:rsidR="00C53CE3" w:rsidRPr="008729A1" w:rsidP="00C53CE3" w14:paraId="3054EA51" w14:textId="5CC3BE5D">
      <w:pPr>
        <w:rPr>
          <w:rFonts w:cstheme="minorHAnsi"/>
          <w:sz w:val="24"/>
          <w:szCs w:val="22"/>
        </w:rPr>
      </w:pPr>
      <w:r w:rsidRPr="008729A1">
        <w:rPr>
          <w:rFonts w:cstheme="minorHAnsi"/>
          <w:sz w:val="24"/>
          <w:szCs w:val="22"/>
        </w:rPr>
        <w:t>Nákladově efektivní využívání léčivých přípravků, zdravotnických prostředků a zařízení v</w:t>
      </w:r>
      <w:r w:rsidR="004433F0">
        <w:rPr>
          <w:rFonts w:cstheme="minorHAnsi"/>
          <w:sz w:val="24"/>
          <w:szCs w:val="22"/>
        </w:rPr>
        <w:t> </w:t>
      </w:r>
      <w:r w:rsidRPr="008729A1">
        <w:rPr>
          <w:rFonts w:cstheme="minorHAnsi"/>
          <w:sz w:val="24"/>
          <w:szCs w:val="22"/>
        </w:rPr>
        <w:t>nemocniční i ambulantní péči není optimální. P</w:t>
      </w:r>
      <w:r>
        <w:rPr>
          <w:rFonts w:cstheme="minorHAnsi"/>
          <w:sz w:val="24"/>
          <w:szCs w:val="22"/>
        </w:rPr>
        <w:t>ovinné používání</w:t>
      </w:r>
      <w:r w:rsidRPr="008729A1">
        <w:rPr>
          <w:rFonts w:cstheme="minorHAnsi"/>
          <w:sz w:val="24"/>
          <w:szCs w:val="22"/>
        </w:rPr>
        <w:t xml:space="preserve"> eReceptu </w:t>
      </w:r>
      <w:r>
        <w:rPr>
          <w:rFonts w:cstheme="minorHAnsi"/>
          <w:sz w:val="24"/>
          <w:szCs w:val="22"/>
        </w:rPr>
        <w:t>od</w:t>
      </w:r>
      <w:r w:rsidRPr="008729A1">
        <w:rPr>
          <w:rFonts w:cstheme="minorHAnsi"/>
          <w:sz w:val="24"/>
          <w:szCs w:val="22"/>
        </w:rPr>
        <w:t xml:space="preserve"> ro</w:t>
      </w:r>
      <w:r>
        <w:rPr>
          <w:rFonts w:cstheme="minorHAnsi"/>
          <w:sz w:val="24"/>
          <w:szCs w:val="22"/>
        </w:rPr>
        <w:t>ku</w:t>
      </w:r>
      <w:r w:rsidRPr="008729A1">
        <w:rPr>
          <w:rFonts w:cstheme="minorHAnsi"/>
          <w:sz w:val="24"/>
          <w:szCs w:val="22"/>
        </w:rPr>
        <w:t xml:space="preserve"> 2019 má</w:t>
      </w:r>
      <w:r>
        <w:rPr>
          <w:rFonts w:cstheme="minorHAnsi"/>
          <w:sz w:val="24"/>
          <w:szCs w:val="22"/>
        </w:rPr>
        <w:t xml:space="preserve"> díky dostupnosti informací v Lékovém záznamu</w:t>
      </w:r>
      <w:r w:rsidRPr="008729A1">
        <w:rPr>
          <w:rFonts w:cstheme="minorHAnsi"/>
          <w:sz w:val="24"/>
          <w:szCs w:val="22"/>
        </w:rPr>
        <w:t xml:space="preserve"> potenciál zlepšit </w:t>
      </w:r>
      <w:r>
        <w:rPr>
          <w:rFonts w:cstheme="minorHAnsi"/>
          <w:sz w:val="24"/>
          <w:szCs w:val="22"/>
        </w:rPr>
        <w:t>efektivitu předepisování a</w:t>
      </w:r>
      <w:r w:rsidR="004433F0">
        <w:rPr>
          <w:rFonts w:cstheme="minorHAnsi"/>
          <w:sz w:val="24"/>
          <w:szCs w:val="22"/>
        </w:rPr>
        <w:t> </w:t>
      </w:r>
      <w:r w:rsidRPr="008729A1">
        <w:rPr>
          <w:rFonts w:cstheme="minorHAnsi"/>
          <w:sz w:val="24"/>
          <w:szCs w:val="22"/>
        </w:rPr>
        <w:t xml:space="preserve">užívání </w:t>
      </w:r>
      <w:r>
        <w:rPr>
          <w:rFonts w:cstheme="minorHAnsi"/>
          <w:sz w:val="24"/>
          <w:szCs w:val="22"/>
        </w:rPr>
        <w:t>léčivých přípravků</w:t>
      </w:r>
      <w:r w:rsidRPr="008729A1">
        <w:rPr>
          <w:rFonts w:cstheme="minorHAnsi"/>
          <w:sz w:val="24"/>
          <w:szCs w:val="22"/>
        </w:rPr>
        <w:t xml:space="preserve"> a související výdaje. Další rozvoj a realizace hodnocení zdravotnických technologií spolu s centralizovanými postupy zadávání zakázek na </w:t>
      </w:r>
      <w:r>
        <w:rPr>
          <w:rFonts w:cstheme="minorHAnsi"/>
          <w:sz w:val="24"/>
          <w:szCs w:val="22"/>
        </w:rPr>
        <w:t>léčivé přípravky,</w:t>
      </w:r>
      <w:r w:rsidRPr="008729A1">
        <w:rPr>
          <w:rFonts w:cstheme="minorHAnsi"/>
          <w:sz w:val="24"/>
          <w:szCs w:val="22"/>
        </w:rPr>
        <w:t xml:space="preserve"> zdravotnické prostředky </w:t>
      </w:r>
      <w:r>
        <w:rPr>
          <w:rFonts w:cstheme="minorHAnsi"/>
          <w:sz w:val="24"/>
          <w:szCs w:val="22"/>
        </w:rPr>
        <w:t xml:space="preserve">a další technické nástroje </w:t>
      </w:r>
      <w:r w:rsidRPr="008729A1">
        <w:rPr>
          <w:rFonts w:cstheme="minorHAnsi"/>
          <w:sz w:val="24"/>
          <w:szCs w:val="22"/>
        </w:rPr>
        <w:t>může přinést úspory plátcům a</w:t>
      </w:r>
      <w:r w:rsidR="004433F0">
        <w:rPr>
          <w:rFonts w:cstheme="minorHAnsi"/>
          <w:sz w:val="24"/>
          <w:szCs w:val="22"/>
        </w:rPr>
        <w:t> </w:t>
      </w:r>
      <w:r w:rsidRPr="008729A1">
        <w:rPr>
          <w:rFonts w:cstheme="minorHAnsi"/>
          <w:sz w:val="24"/>
          <w:szCs w:val="22"/>
        </w:rPr>
        <w:t xml:space="preserve">zároveň zajistit přístup k vysoce kvalitním produktům ve zdravotnictví. </w:t>
      </w:r>
    </w:p>
    <w:p w:rsidR="00C53CE3" w:rsidP="00675E13" w14:paraId="47219906" w14:textId="78ADC417">
      <w:pPr>
        <w:rPr>
          <w:rFonts w:cstheme="minorHAnsi"/>
          <w:sz w:val="24"/>
          <w:szCs w:val="22"/>
        </w:rPr>
      </w:pPr>
      <w:r w:rsidRPr="008729A1">
        <w:rPr>
          <w:rFonts w:cstheme="minorHAnsi"/>
          <w:sz w:val="24"/>
          <w:szCs w:val="22"/>
        </w:rPr>
        <w:t>Odpovídajícímu a účinnému poskytování služeb dlouhodobé péče brání roztříštěné struktury jejich řízení a financování. Stále existují finanční pobídky pro prodlužování nemocniční léčby pacientů, kteří potřebují dlouhodobou péči (viz oddíl 3.3). Plánovaná transformace lůžek akutní péče na lůžka dlouhodobé nemocniční péče by měla posílit transparentnost a snížit náklady. Zvýšení sazeb úhrady služeb domácí péče o 40 % může délku pobytů v nemocnici zkrátit, avšak pouze za předpokladu, že nabídka těchto služeb bude dostatečná.</w:t>
      </w:r>
    </w:p>
    <w:p w:rsidR="00356508" w:rsidRPr="00A955AF" w:rsidP="06339645" w14:paraId="45E1957D" w14:textId="7CE0633B">
      <w:pPr>
        <w:rPr>
          <w:sz w:val="24"/>
        </w:rPr>
      </w:pPr>
      <w:r w:rsidRPr="06339645">
        <w:rPr>
          <w:sz w:val="24"/>
        </w:rPr>
        <w:t xml:space="preserve">Zdravotnictví musí být zároveň připraveno flexibilně reagovat na nově se objevující hrozby, jako </w:t>
      </w:r>
      <w:r w:rsidRPr="06339645" w:rsidR="00902133">
        <w:rPr>
          <w:sz w:val="24"/>
        </w:rPr>
        <w:t>byla</w:t>
      </w:r>
      <w:r w:rsidRPr="06339645">
        <w:rPr>
          <w:sz w:val="24"/>
        </w:rPr>
        <w:t xml:space="preserve"> například epidemie C</w:t>
      </w:r>
      <w:r w:rsidR="007B4D90">
        <w:rPr>
          <w:sz w:val="24"/>
        </w:rPr>
        <w:t>ovid</w:t>
      </w:r>
      <w:r w:rsidRPr="06339645">
        <w:rPr>
          <w:sz w:val="24"/>
        </w:rPr>
        <w:t xml:space="preserve">-19 nebo obdobná infekční onemocnění s pandemickým </w:t>
      </w:r>
      <w:r w:rsidRPr="06339645">
        <w:rPr>
          <w:sz w:val="24"/>
        </w:rPr>
        <w:t>potenciálem</w:t>
      </w:r>
      <w:r w:rsidRPr="06339645" w:rsidR="00902133">
        <w:rPr>
          <w:sz w:val="24"/>
        </w:rPr>
        <w:t xml:space="preserve"> či dalších formy hrozeb (chemické, fyzikální atp.), a to na mezinárodní a národní úrovni, ale zejména na lokální a regionální úrovni</w:t>
      </w:r>
      <w:r w:rsidRPr="06339645">
        <w:rPr>
          <w:sz w:val="24"/>
        </w:rPr>
        <w:t xml:space="preserve">. Kromě vlastní odborné a kapacitní připravenosti zdravotnického systému je nezbytná i připravenost datová, kdy včasné získání informací o průběhu epidemie a aktuálně dostupných kapacitách se ukazuje jako klíčové pro zvládání situace a přijímání </w:t>
      </w:r>
      <w:r w:rsidRPr="06339645" w:rsidR="082545A6">
        <w:rPr>
          <w:sz w:val="24"/>
        </w:rPr>
        <w:t xml:space="preserve">účinných </w:t>
      </w:r>
      <w:r w:rsidRPr="06339645">
        <w:rPr>
          <w:sz w:val="24"/>
        </w:rPr>
        <w:t>opatření k jejímu řešení.</w:t>
      </w:r>
    </w:p>
    <w:p w:rsidR="00A97483" w:rsidP="0D4C4CA9" w14:paraId="65A93FA6" w14:textId="6FB9122E">
      <w:pPr>
        <w:rPr>
          <w:sz w:val="24"/>
        </w:rPr>
      </w:pPr>
      <w:r w:rsidRPr="0D4C4CA9">
        <w:rPr>
          <w:sz w:val="24"/>
        </w:rPr>
        <w:t xml:space="preserve">Výzvou je i snížení nerovností v oblasti zdraví. </w:t>
      </w:r>
      <w:r w:rsidRPr="0D4C4CA9" w:rsidR="0C4C2D0D">
        <w:rPr>
          <w:sz w:val="24"/>
        </w:rPr>
        <w:t xml:space="preserve">Ač </w:t>
      </w:r>
      <w:r w:rsidRPr="0D4C4CA9">
        <w:rPr>
          <w:sz w:val="24"/>
        </w:rPr>
        <w:t>zůstává příjmová nerovnost v ČR celkově</w:t>
      </w:r>
      <w:r w:rsidRPr="0D4C4CA9" w:rsidR="3B2880C3">
        <w:rPr>
          <w:sz w:val="24"/>
        </w:rPr>
        <w:t xml:space="preserve"> </w:t>
      </w:r>
      <w:r w:rsidRPr="0D4C4CA9" w:rsidR="0C4C2D0D">
        <w:rPr>
          <w:sz w:val="24"/>
        </w:rPr>
        <w:t>na </w:t>
      </w:r>
      <w:r w:rsidRPr="0D4C4CA9">
        <w:rPr>
          <w:sz w:val="24"/>
        </w:rPr>
        <w:t>nízké úrovni</w:t>
      </w:r>
      <w:r>
        <w:rPr>
          <w:sz w:val="24"/>
          <w:vertAlign w:val="superscript"/>
        </w:rPr>
        <w:footnoteReference w:id="12"/>
      </w:r>
      <w:r w:rsidRPr="0D4C4CA9">
        <w:rPr>
          <w:sz w:val="24"/>
        </w:rPr>
        <w:t>, ve zdravotním stavu obyvatel ČR existují značné nerovnosti. Na</w:t>
      </w:r>
      <w:r w:rsidRPr="0D4C4CA9" w:rsidR="2477F336">
        <w:rPr>
          <w:sz w:val="24"/>
        </w:rPr>
        <w:t> </w:t>
      </w:r>
      <w:r w:rsidRPr="0D4C4CA9">
        <w:rPr>
          <w:sz w:val="24"/>
        </w:rPr>
        <w:t>zdraví obyvatel má výrazný vliv</w:t>
      </w:r>
      <w:r w:rsidRPr="0D4C4CA9" w:rsidR="53AE59B5">
        <w:rPr>
          <w:sz w:val="24"/>
        </w:rPr>
        <w:t xml:space="preserve"> </w:t>
      </w:r>
      <w:r w:rsidRPr="0D4C4CA9">
        <w:rPr>
          <w:sz w:val="24"/>
        </w:rPr>
        <w:t xml:space="preserve">sociální prostředí a postavení, ve kterém se daný jedinec pohybuje. Znevýhodnění osob se během jejich života zpravidla nemění nebo se jejich zranitelnost ještě prohlubuje. </w:t>
      </w:r>
      <w:r w:rsidRPr="00BB7C6B" w:rsidR="00C53CE3">
        <w:rPr>
          <w:sz w:val="24"/>
        </w:rPr>
        <w:t xml:space="preserve">Zpráva o České republice 2020 </w:t>
      </w:r>
      <w:r w:rsidRPr="008729A1" w:rsidR="00C53CE3">
        <w:rPr>
          <w:sz w:val="24"/>
        </w:rPr>
        <w:t xml:space="preserve">upozorňuje na fakt, že starší osoby, nezaměstnaní, rodiče samoživitelé a osoby se zdravotním postižením čelí vyššímu riziku chudoby nebo sociálního vyloučení. K chudobě a nerovnosti přispívají faktory, jako je nadměrné zadlužení, bezdomovectví i rostoucí počet sociálně vyloučených lokalit. </w:t>
      </w:r>
      <w:r w:rsidRPr="0D4C4CA9">
        <w:rPr>
          <w:sz w:val="24"/>
        </w:rPr>
        <w:t xml:space="preserve">Znevýhodněné postavení často vede z hlediska zdraví k rizikovému chování, </w:t>
      </w:r>
      <w:r w:rsidRPr="0D4C4CA9" w:rsidR="199D6B47">
        <w:rPr>
          <w:sz w:val="24"/>
        </w:rPr>
        <w:t>jako </w:t>
      </w:r>
      <w:r w:rsidRPr="0D4C4CA9">
        <w:rPr>
          <w:sz w:val="24"/>
        </w:rPr>
        <w:t xml:space="preserve">je </w:t>
      </w:r>
      <w:r w:rsidRPr="0D4C4CA9" w:rsidR="0A29B058">
        <w:rPr>
          <w:sz w:val="24"/>
        </w:rPr>
        <w:t>užívání tabáku</w:t>
      </w:r>
      <w:r w:rsidRPr="0D4C4CA9">
        <w:rPr>
          <w:sz w:val="24"/>
        </w:rPr>
        <w:t>, užívání alkoholu, špatné stravovací návyky, nedostatečná pohybová aktivita atd. Snižování vlivu sociálních determinantů zdraví</w:t>
      </w:r>
      <w:r w:rsidRPr="0D4C4CA9" w:rsidR="76C0A1FD">
        <w:rPr>
          <w:sz w:val="24"/>
        </w:rPr>
        <w:t>,</w:t>
      </w:r>
      <w:r w:rsidRPr="0D4C4CA9">
        <w:rPr>
          <w:sz w:val="24"/>
        </w:rPr>
        <w:t xml:space="preserve"> jakými jsou </w:t>
      </w:r>
      <w:r w:rsidRPr="0D4C4CA9" w:rsidR="13C2855F">
        <w:rPr>
          <w:sz w:val="24"/>
        </w:rPr>
        <w:t xml:space="preserve">gender, </w:t>
      </w:r>
      <w:r w:rsidRPr="0D4C4CA9">
        <w:rPr>
          <w:sz w:val="24"/>
        </w:rPr>
        <w:t>sociální postavení, vzdělání, životní či pracovní prostředí, je důležitým faktorem pro</w:t>
      </w:r>
      <w:r w:rsidRPr="0D4C4CA9" w:rsidR="2477F336">
        <w:rPr>
          <w:sz w:val="24"/>
        </w:rPr>
        <w:t> </w:t>
      </w:r>
      <w:r w:rsidRPr="0D4C4CA9">
        <w:rPr>
          <w:sz w:val="24"/>
        </w:rPr>
        <w:t xml:space="preserve">snižování nerovnosti v oblasti zdravotního stavu různých skupin obyvatel. </w:t>
      </w:r>
      <w:r w:rsidRPr="0D4C4CA9" w:rsidR="2477F336">
        <w:rPr>
          <w:sz w:val="24"/>
        </w:rPr>
        <w:t>Sociální a </w:t>
      </w:r>
      <w:r w:rsidRPr="0D4C4CA9">
        <w:rPr>
          <w:sz w:val="24"/>
        </w:rPr>
        <w:t>ekonomická situace jednotlivých regionů se pak projevuje i ve značných regionálních disparitách, které mohou být ilustrovány např. rozdílem v</w:t>
      </w:r>
      <w:r w:rsidRPr="0D4C4CA9" w:rsidR="3B4F58DC">
        <w:rPr>
          <w:sz w:val="24"/>
        </w:rPr>
        <w:t xml:space="preserve"> délce života při narození </w:t>
      </w:r>
      <w:r w:rsidRPr="0D4C4CA9" w:rsidR="44440250">
        <w:rPr>
          <w:sz w:val="24"/>
        </w:rPr>
        <w:t>mezi</w:t>
      </w:r>
      <w:r w:rsidRPr="0D4C4CA9" w:rsidR="6EAA5568">
        <w:rPr>
          <w:sz w:val="24"/>
        </w:rPr>
        <w:t> </w:t>
      </w:r>
      <w:r w:rsidRPr="0D4C4CA9" w:rsidR="44440250">
        <w:rPr>
          <w:sz w:val="24"/>
        </w:rPr>
        <w:t>jednotlivými</w:t>
      </w:r>
      <w:r w:rsidRPr="0D4C4CA9" w:rsidR="057F03AA">
        <w:rPr>
          <w:sz w:val="24"/>
        </w:rPr>
        <w:t xml:space="preserve"> </w:t>
      </w:r>
      <w:r w:rsidRPr="0D4C4CA9" w:rsidR="03D56ABC">
        <w:rPr>
          <w:sz w:val="24"/>
        </w:rPr>
        <w:t>okresy</w:t>
      </w:r>
      <w:r w:rsidRPr="0D4C4CA9" w:rsidR="07BB2EA9">
        <w:rPr>
          <w:sz w:val="24"/>
        </w:rPr>
        <w:t xml:space="preserve">. </w:t>
      </w:r>
      <w:r w:rsidRPr="008729A1" w:rsidR="00C53CE3">
        <w:rPr>
          <w:sz w:val="24"/>
        </w:rPr>
        <w:t>Zdravotní a sociální služby dlouhodobé péče kromě toho nejsou zcela připraveny na stále rychlejší stárnutí obyvatelstva</w:t>
      </w:r>
      <w:r w:rsidR="00C53CE3">
        <w:rPr>
          <w:sz w:val="24"/>
        </w:rPr>
        <w:t>.</w:t>
      </w:r>
    </w:p>
    <w:p w:rsidR="004433F0" w:rsidP="004433F0" w14:paraId="5D953D47" w14:textId="77777777">
      <w:pPr>
        <w:pStyle w:val="Caption"/>
      </w:pPr>
      <w:bookmarkStart w:id="434" w:name="_Toc256000077"/>
      <w:r w:rsidRPr="008729A1">
        <w:t xml:space="preserve">Graf </w:t>
      </w:r>
      <w:r w:rsidRPr="004433F0">
        <w:fldChar w:fldCharType="begin"/>
      </w:r>
      <w:r w:rsidRPr="008729A1">
        <w:instrText xml:space="preserve"> SEQ Graf \* ARABIC </w:instrText>
      </w:r>
      <w:r w:rsidRPr="004433F0">
        <w:fldChar w:fldCharType="separate"/>
      </w:r>
      <w:r w:rsidRPr="008729A1">
        <w:t>3</w:t>
      </w:r>
      <w:r w:rsidRPr="004433F0">
        <w:fldChar w:fldCharType="end"/>
      </w:r>
      <w:r w:rsidRPr="008729A1">
        <w:t xml:space="preserve"> Délka života při narození – muži</w:t>
      </w:r>
      <w:bookmarkEnd w:id="434"/>
      <w:r>
        <w:t xml:space="preserve"> </w:t>
      </w:r>
    </w:p>
    <w:p w:rsidR="009331E6" w:rsidRPr="00A955AF" w:rsidP="008E0E34" w14:paraId="6697D2EF" w14:textId="19E1ACFE">
      <w:pPr>
        <w:rPr>
          <w:rFonts w:cstheme="minorHAnsi"/>
          <w:sz w:val="24"/>
          <w:szCs w:val="22"/>
        </w:rPr>
      </w:pPr>
      <w:r>
        <w:rPr>
          <w:rFonts w:cstheme="minorHAnsi"/>
          <w:sz w:val="24"/>
          <w:szCs w:val="22"/>
        </w:rPr>
        <w:object>
          <v:shape id="_x0000_i1026" type="#_x0000_t75" style="width:470.89pt;height:266.25pt" o:oleicon="f" o:ole="">
            <v:imagedata r:id="rId14" o:title=""/>
          </v:shape>
          <o:OLEObject Type="Embed" ProgID="PowerPoint.Slide.12" ShapeID="_x0000_i1026" DrawAspect="Content" ObjectID="_1819383507" r:id="rId15"/>
        </w:object>
      </w:r>
    </w:p>
    <w:p w:rsidR="00C53CE3" w:rsidP="00C41DA5" w14:paraId="53621445" w14:textId="77777777">
      <w:pPr>
        <w:rPr>
          <w:rFonts w:cstheme="minorHAnsi"/>
          <w:sz w:val="20"/>
          <w:szCs w:val="22"/>
          <w:lang w:eastAsia="cs-CZ"/>
        </w:rPr>
      </w:pPr>
      <w:r w:rsidRPr="00BB7C6B">
        <w:rPr>
          <w:rFonts w:cstheme="minorHAnsi"/>
          <w:sz w:val="20"/>
          <w:szCs w:val="22"/>
          <w:lang w:eastAsia="cs-CZ"/>
        </w:rPr>
        <w:t xml:space="preserve">Zdroj: ČSÚ </w:t>
      </w:r>
    </w:p>
    <w:p w:rsidR="00C53CE3" w:rsidP="00C41DA5" w14:paraId="33253B90" w14:textId="77777777">
      <w:pPr>
        <w:rPr>
          <w:rFonts w:cstheme="minorHAnsi"/>
          <w:sz w:val="20"/>
          <w:szCs w:val="22"/>
          <w:lang w:eastAsia="cs-CZ"/>
        </w:rPr>
      </w:pPr>
    </w:p>
    <w:p w:rsidR="00C53CE3" w:rsidRPr="00BB7C6B" w:rsidP="00C53CE3" w14:paraId="366AD369" w14:textId="77777777">
      <w:pPr>
        <w:pStyle w:val="Caption"/>
        <w:rPr>
          <w:rFonts w:cstheme="minorHAnsi"/>
          <w:sz w:val="20"/>
          <w:szCs w:val="22"/>
        </w:rPr>
      </w:pPr>
      <w:bookmarkStart w:id="435" w:name="_Toc256000078"/>
      <w:r w:rsidRPr="008729A1">
        <w:t xml:space="preserve">Graf </w:t>
      </w:r>
      <w:r w:rsidRPr="008729A1">
        <w:fldChar w:fldCharType="begin"/>
      </w:r>
      <w:r w:rsidRPr="008729A1">
        <w:instrText xml:space="preserve"> SEQ Graf \* ARABIC </w:instrText>
      </w:r>
      <w:r w:rsidRPr="008729A1">
        <w:fldChar w:fldCharType="separate"/>
      </w:r>
      <w:r w:rsidRPr="008729A1">
        <w:t>4</w:t>
      </w:r>
      <w:r w:rsidRPr="008729A1">
        <w:fldChar w:fldCharType="end"/>
      </w:r>
      <w:r w:rsidRPr="008729A1">
        <w:t xml:space="preserve"> Délka života při narození – ženy</w:t>
      </w:r>
      <w:bookmarkEnd w:id="435"/>
    </w:p>
    <w:p w:rsidR="00CB6F5C" w:rsidP="00C41DA5" w14:paraId="69A49D63" w14:textId="77777777">
      <w:pPr>
        <w:rPr>
          <w:rFonts w:cstheme="minorHAnsi"/>
          <w:sz w:val="20"/>
          <w:szCs w:val="22"/>
        </w:rPr>
      </w:pPr>
    </w:p>
    <w:p w:rsidR="00CB6F5C" w:rsidP="00C41DA5" w14:paraId="04206993" w14:textId="1EECACB4">
      <w:pPr>
        <w:rPr>
          <w:rFonts w:cstheme="minorHAnsi"/>
          <w:sz w:val="20"/>
          <w:szCs w:val="22"/>
        </w:rPr>
      </w:pPr>
      <w:r>
        <w:rPr>
          <w:rFonts w:cstheme="minorHAnsi"/>
          <w:sz w:val="20"/>
          <w:szCs w:val="22"/>
        </w:rPr>
        <w:object>
          <v:shape id="_x0000_i1027" type="#_x0000_t75" style="width:478.5pt;height:270pt" o:oleicon="f" o:ole="">
            <v:imagedata r:id="rId16" o:title=""/>
          </v:shape>
          <o:OLEObject Type="Embed" ProgID="PowerPoint.Slide.12" ShapeID="_x0000_i1027" DrawAspect="Content" ObjectID="_1819383508" r:id="rId17"/>
        </w:object>
      </w:r>
    </w:p>
    <w:p w:rsidR="00CF38AE" w:rsidP="00477A42" w14:paraId="04AA5E27" w14:textId="67313C50">
      <w:pPr>
        <w:rPr>
          <w:rFonts w:cstheme="minorHAnsi"/>
          <w:sz w:val="24"/>
          <w:szCs w:val="22"/>
        </w:rPr>
      </w:pPr>
      <w:r w:rsidRPr="00BB7C6B">
        <w:rPr>
          <w:rFonts w:cstheme="minorHAnsi"/>
          <w:sz w:val="20"/>
          <w:szCs w:val="22"/>
        </w:rPr>
        <w:t xml:space="preserve">Zdroj: ČSÚ </w:t>
      </w:r>
      <w:r w:rsidRPr="00A955AF" w:rsidR="005F3AD2">
        <w:rPr>
          <w:rFonts w:cstheme="minorHAnsi"/>
          <w:sz w:val="24"/>
          <w:szCs w:val="22"/>
        </w:rPr>
        <w:t>Zárove</w:t>
      </w:r>
      <w:r w:rsidRPr="00A955AF" w:rsidR="00DE6EA7">
        <w:rPr>
          <w:rFonts w:cstheme="minorHAnsi"/>
          <w:sz w:val="24"/>
          <w:szCs w:val="22"/>
        </w:rPr>
        <w:t xml:space="preserve">ň se </w:t>
      </w:r>
      <w:r w:rsidRPr="00A955AF" w:rsidR="00271C24">
        <w:rPr>
          <w:rFonts w:cstheme="minorHAnsi"/>
          <w:sz w:val="24"/>
          <w:szCs w:val="22"/>
        </w:rPr>
        <w:t xml:space="preserve">ve zdravotnictví </w:t>
      </w:r>
      <w:r w:rsidRPr="00A955AF" w:rsidR="00DE6EA7">
        <w:rPr>
          <w:rFonts w:cstheme="minorHAnsi"/>
          <w:sz w:val="24"/>
          <w:szCs w:val="22"/>
        </w:rPr>
        <w:t>prosazuje</w:t>
      </w:r>
      <w:r w:rsidRPr="00A955AF" w:rsidR="005F3AD2">
        <w:rPr>
          <w:rFonts w:cstheme="minorHAnsi"/>
          <w:sz w:val="24"/>
          <w:szCs w:val="22"/>
        </w:rPr>
        <w:t xml:space="preserve"> pojetí, že </w:t>
      </w:r>
      <w:r w:rsidRPr="00A955AF">
        <w:rPr>
          <w:rFonts w:cstheme="minorHAnsi"/>
          <w:sz w:val="24"/>
          <w:szCs w:val="22"/>
        </w:rPr>
        <w:t>nemocem by se mělo především v nejvyšší možné míře předcházet. Podpora zdraví během celého života, tedy pravidelný, dlouhodobý a</w:t>
      </w:r>
      <w:r w:rsidRPr="00A955AF" w:rsidR="008A1A44">
        <w:rPr>
          <w:rFonts w:cstheme="minorHAnsi"/>
          <w:sz w:val="24"/>
          <w:szCs w:val="22"/>
        </w:rPr>
        <w:t> </w:t>
      </w:r>
      <w:r w:rsidRPr="00A955AF">
        <w:rPr>
          <w:rFonts w:cstheme="minorHAnsi"/>
          <w:sz w:val="24"/>
          <w:szCs w:val="22"/>
        </w:rPr>
        <w:t>systematický přístup k ochraně a podpoře zdraví má být základem zdravotní politiky ČR. Zdravotnictví by nemělo fungovat pouze jako záchytná síť pro již nemocné, mělo by také plnit funkci preventivní, a to například intenzivnějším využíváním preventivních prohlídek</w:t>
      </w:r>
      <w:r w:rsidRPr="00A955AF" w:rsidR="00123507">
        <w:rPr>
          <w:rFonts w:cstheme="minorHAnsi"/>
          <w:sz w:val="24"/>
          <w:szCs w:val="22"/>
        </w:rPr>
        <w:t xml:space="preserve"> a</w:t>
      </w:r>
      <w:r w:rsidRPr="00A955AF" w:rsidR="00BA23A4">
        <w:rPr>
          <w:rFonts w:cstheme="minorHAnsi"/>
          <w:sz w:val="24"/>
          <w:szCs w:val="22"/>
        </w:rPr>
        <w:t> </w:t>
      </w:r>
      <w:r w:rsidRPr="00A955AF">
        <w:rPr>
          <w:rFonts w:cstheme="minorHAnsi"/>
          <w:sz w:val="24"/>
          <w:szCs w:val="22"/>
        </w:rPr>
        <w:t xml:space="preserve">screeningových vyšetření. Neméně důležitý je rozvoj tzv. zdravotní gramotnosti obyvatel, tedy </w:t>
      </w:r>
      <w:r w:rsidRPr="00A955AF" w:rsidR="00BE3C63">
        <w:rPr>
          <w:rFonts w:cstheme="minorHAnsi"/>
          <w:sz w:val="24"/>
          <w:szCs w:val="22"/>
        </w:rPr>
        <w:t xml:space="preserve">znalostí </w:t>
      </w:r>
      <w:r w:rsidRPr="00A955AF">
        <w:rPr>
          <w:rFonts w:cstheme="minorHAnsi"/>
          <w:sz w:val="24"/>
          <w:szCs w:val="22"/>
        </w:rPr>
        <w:t xml:space="preserve">a </w:t>
      </w:r>
      <w:r w:rsidRPr="00A955AF" w:rsidR="00BE3C63">
        <w:rPr>
          <w:rFonts w:cstheme="minorHAnsi"/>
          <w:sz w:val="24"/>
          <w:szCs w:val="22"/>
        </w:rPr>
        <w:t xml:space="preserve">dovedností </w:t>
      </w:r>
      <w:r w:rsidRPr="00A955AF">
        <w:rPr>
          <w:rFonts w:cstheme="minorHAnsi"/>
          <w:sz w:val="24"/>
          <w:szCs w:val="22"/>
        </w:rPr>
        <w:t xml:space="preserve">lidí, díky kterým </w:t>
      </w:r>
      <w:r w:rsidR="00AC56E6">
        <w:rPr>
          <w:rFonts w:cstheme="minorHAnsi"/>
          <w:sz w:val="24"/>
          <w:szCs w:val="22"/>
        </w:rPr>
        <w:t>dokážou</w:t>
      </w:r>
      <w:r w:rsidRPr="00A955AF">
        <w:rPr>
          <w:rFonts w:cstheme="minorHAnsi"/>
          <w:sz w:val="24"/>
          <w:szCs w:val="22"/>
        </w:rPr>
        <w:t xml:space="preserve"> jednat ve prospěch vlastního zdraví. Nezanedbatelným aspektem prevence je také zdůrazňování odpovědnosti jedince za</w:t>
      </w:r>
      <w:r w:rsidRPr="00A955AF" w:rsidR="008A1A44">
        <w:rPr>
          <w:rFonts w:cstheme="minorHAnsi"/>
          <w:sz w:val="24"/>
          <w:szCs w:val="22"/>
        </w:rPr>
        <w:t> </w:t>
      </w:r>
      <w:r w:rsidRPr="00A955AF">
        <w:rPr>
          <w:rFonts w:cstheme="minorHAnsi"/>
          <w:sz w:val="24"/>
          <w:szCs w:val="22"/>
        </w:rPr>
        <w:t>jeho zdravotní stav do míry, kterou může ovlivnit svým jednáním.</w:t>
      </w:r>
    </w:p>
    <w:p w:rsidR="005420AF" w:rsidRPr="00A955AF" w:rsidP="00477A42" w14:paraId="16EAAEE0" w14:textId="4B8D623C">
      <w:pPr>
        <w:pStyle w:val="Bntext"/>
        <w:spacing w:line="240" w:lineRule="auto"/>
        <w:ind w:firstLine="0"/>
        <w:rPr>
          <w:rFonts w:asciiTheme="minorHAnsi" w:eastAsiaTheme="minorEastAsia" w:hAnsiTheme="minorHAnsi" w:cstheme="minorHAnsi"/>
          <w:sz w:val="24"/>
          <w:szCs w:val="22"/>
          <w:lang w:val="cs-CZ" w:eastAsia="en-US"/>
        </w:rPr>
      </w:pPr>
      <w:r w:rsidRPr="00A955AF">
        <w:rPr>
          <w:rFonts w:asciiTheme="minorHAnsi" w:eastAsiaTheme="minorEastAsia" w:hAnsiTheme="minorHAnsi" w:cstheme="minorHAnsi"/>
          <w:sz w:val="24"/>
          <w:szCs w:val="22"/>
          <w:lang w:val="cs-CZ" w:eastAsia="en-US"/>
        </w:rPr>
        <w:t xml:space="preserve">České zdravotnictví je na velmi dobré úrovni. Její udržení a další zlepšování zásadně souvisí s podporou a uplatněním výzkumu jak základního, tak aplikovaného. Věda a výzkum přispívají k objasňování vzniku a </w:t>
      </w:r>
      <w:r w:rsidR="007D2155">
        <w:rPr>
          <w:rFonts w:asciiTheme="minorHAnsi" w:eastAsiaTheme="minorEastAsia" w:hAnsiTheme="minorHAnsi" w:cstheme="minorHAnsi"/>
          <w:sz w:val="24"/>
          <w:szCs w:val="22"/>
          <w:lang w:val="cs-CZ" w:eastAsia="en-US"/>
        </w:rPr>
        <w:t>vý</w:t>
      </w:r>
      <w:r w:rsidRPr="00A955AF" w:rsidR="007D2155">
        <w:rPr>
          <w:rFonts w:asciiTheme="minorHAnsi" w:eastAsiaTheme="minorEastAsia" w:hAnsiTheme="minorHAnsi" w:cstheme="minorHAnsi"/>
          <w:sz w:val="24"/>
          <w:szCs w:val="22"/>
          <w:lang w:val="cs-CZ" w:eastAsia="en-US"/>
        </w:rPr>
        <w:t xml:space="preserve">voje </w:t>
      </w:r>
      <w:r w:rsidRPr="00A955AF">
        <w:rPr>
          <w:rFonts w:asciiTheme="minorHAnsi" w:eastAsiaTheme="minorEastAsia" w:hAnsiTheme="minorHAnsi" w:cstheme="minorHAnsi"/>
          <w:sz w:val="24"/>
          <w:szCs w:val="22"/>
          <w:lang w:val="cs-CZ" w:eastAsia="en-US"/>
        </w:rPr>
        <w:t xml:space="preserve">chorob, přinášejí nové diagnostické a terapeutické metody </w:t>
      </w:r>
      <w:r w:rsidRPr="00A955AF" w:rsidR="00432493">
        <w:rPr>
          <w:rFonts w:asciiTheme="minorHAnsi" w:eastAsiaTheme="minorEastAsia" w:hAnsiTheme="minorHAnsi" w:cstheme="minorHAnsi"/>
          <w:sz w:val="24"/>
          <w:szCs w:val="22"/>
          <w:lang w:val="cs-CZ" w:eastAsia="en-US"/>
        </w:rPr>
        <w:t>a </w:t>
      </w:r>
      <w:r w:rsidRPr="00A955AF">
        <w:rPr>
          <w:rFonts w:asciiTheme="minorHAnsi" w:eastAsiaTheme="minorEastAsia" w:hAnsiTheme="minorHAnsi" w:cstheme="minorHAnsi"/>
          <w:sz w:val="24"/>
          <w:szCs w:val="22"/>
          <w:lang w:val="cs-CZ" w:eastAsia="en-US"/>
        </w:rPr>
        <w:t>vedou k prevenci nejzávažnějších chorob či přispívají k předcházení epidemií</w:t>
      </w:r>
      <w:r w:rsidRPr="00A955AF" w:rsidR="00283AA2">
        <w:rPr>
          <w:rFonts w:asciiTheme="minorHAnsi" w:eastAsiaTheme="minorEastAsia" w:hAnsiTheme="minorHAnsi" w:cstheme="minorHAnsi"/>
          <w:sz w:val="24"/>
          <w:szCs w:val="22"/>
          <w:lang w:val="cs-CZ" w:eastAsia="en-US"/>
        </w:rPr>
        <w:t>m</w:t>
      </w:r>
      <w:r w:rsidRPr="00A955AF">
        <w:rPr>
          <w:rFonts w:asciiTheme="minorHAnsi" w:eastAsiaTheme="minorEastAsia" w:hAnsiTheme="minorHAnsi" w:cstheme="minorHAnsi"/>
          <w:sz w:val="24"/>
          <w:szCs w:val="22"/>
          <w:lang w:val="cs-CZ" w:eastAsia="en-US"/>
        </w:rPr>
        <w:t>. Využití výsledků výzkumu vede k zavádění inovativních metod a postupů ve zdravotnictví a</w:t>
      </w:r>
      <w:r w:rsidRPr="00A955AF" w:rsidR="008A1A44">
        <w:rPr>
          <w:rFonts w:asciiTheme="minorHAnsi" w:eastAsiaTheme="minorEastAsia" w:hAnsiTheme="minorHAnsi" w:cstheme="minorHAnsi"/>
          <w:sz w:val="24"/>
          <w:szCs w:val="22"/>
          <w:lang w:val="cs-CZ" w:eastAsia="en-US"/>
        </w:rPr>
        <w:t> </w:t>
      </w:r>
      <w:r w:rsidRPr="00A955AF">
        <w:rPr>
          <w:rFonts w:asciiTheme="minorHAnsi" w:eastAsiaTheme="minorEastAsia" w:hAnsiTheme="minorHAnsi" w:cstheme="minorHAnsi"/>
          <w:sz w:val="24"/>
          <w:szCs w:val="22"/>
          <w:lang w:val="cs-CZ" w:eastAsia="en-US"/>
        </w:rPr>
        <w:t xml:space="preserve">přispívá dále ke zlepšování zdravotního stavu obyvatelstva. </w:t>
      </w:r>
    </w:p>
    <w:p w:rsidR="00B70CFF" w:rsidRPr="00A955AF" w:rsidP="00477A42" w14:paraId="44437D66" w14:textId="1A7EB264">
      <w:pPr>
        <w:rPr>
          <w:rFonts w:cstheme="minorHAnsi"/>
          <w:sz w:val="24"/>
          <w:szCs w:val="22"/>
        </w:rPr>
      </w:pPr>
      <w:r w:rsidRPr="00A955AF">
        <w:rPr>
          <w:rFonts w:cstheme="minorHAnsi"/>
          <w:sz w:val="24"/>
          <w:szCs w:val="22"/>
        </w:rPr>
        <w:t xml:space="preserve">S ohledem na tyto výzvy a současné trendy, zastřešující cíl Strategického rámce </w:t>
      </w:r>
      <w:r w:rsidRPr="00A955AF" w:rsidR="00432493">
        <w:rPr>
          <w:rFonts w:cstheme="minorHAnsi"/>
          <w:sz w:val="24"/>
          <w:szCs w:val="22"/>
        </w:rPr>
        <w:t>ČR</w:t>
      </w:r>
      <w:r w:rsidRPr="00A955AF">
        <w:rPr>
          <w:rFonts w:cstheme="minorHAnsi"/>
          <w:sz w:val="24"/>
          <w:szCs w:val="22"/>
        </w:rPr>
        <w:t xml:space="preserve"> 2030, konzultac</w:t>
      </w:r>
      <w:r w:rsidRPr="00A955AF" w:rsidR="00271C24">
        <w:rPr>
          <w:rFonts w:cstheme="minorHAnsi"/>
          <w:sz w:val="24"/>
          <w:szCs w:val="22"/>
        </w:rPr>
        <w:t>e</w:t>
      </w:r>
      <w:r w:rsidRPr="00A955AF">
        <w:rPr>
          <w:rFonts w:cstheme="minorHAnsi"/>
          <w:sz w:val="24"/>
          <w:szCs w:val="22"/>
        </w:rPr>
        <w:t xml:space="preserve"> s odbornou veřejností a analýz</w:t>
      </w:r>
      <w:r w:rsidRPr="00A955AF" w:rsidR="00271C24">
        <w:rPr>
          <w:rFonts w:cstheme="minorHAnsi"/>
          <w:sz w:val="24"/>
          <w:szCs w:val="22"/>
        </w:rPr>
        <w:t>u</w:t>
      </w:r>
      <w:r w:rsidRPr="00A955AF">
        <w:rPr>
          <w:rFonts w:cstheme="minorHAnsi"/>
          <w:sz w:val="24"/>
          <w:szCs w:val="22"/>
        </w:rPr>
        <w:t xml:space="preserve"> současného stavu a potřeb českého zdravotnictví byly formulovány následující strategické cíle: </w:t>
      </w:r>
    </w:p>
    <w:p w:rsidR="005A311B" w:rsidRPr="00CA1EA9" w:rsidP="0D4C4CA9" w14:paraId="6C2E8A78" w14:textId="76D527C1">
      <w:pPr>
        <w:pStyle w:val="ListParagraph"/>
        <w:autoSpaceDE/>
        <w:autoSpaceDN/>
        <w:adjustRightInd/>
        <w:contextualSpacing/>
        <w:rPr>
          <w:rFonts w:cs="Arial"/>
          <w:b/>
          <w:sz w:val="24"/>
          <w:szCs w:val="24"/>
          <w:u w:val="single"/>
        </w:rPr>
      </w:pPr>
      <w:bookmarkStart w:id="436" w:name="_Hlk201526762"/>
      <w:r w:rsidRPr="0D4C4CA9">
        <w:rPr>
          <w:rFonts w:cs="Arial"/>
          <w:b/>
          <w:sz w:val="24"/>
          <w:szCs w:val="24"/>
          <w:u w:val="single"/>
        </w:rPr>
        <w:t>Ochrana a zlepšení zdravotního stavu populace</w:t>
      </w:r>
    </w:p>
    <w:p w:rsidR="00C82C48" w:rsidRPr="00CB6F5C" w:rsidP="00CB6F5C" w14:paraId="50830452" w14:textId="69DC6197">
      <w:pPr>
        <w:pStyle w:val="ListParagraph"/>
        <w:numPr>
          <w:ilvl w:val="0"/>
          <w:numId w:val="0"/>
        </w:numPr>
        <w:autoSpaceDE/>
        <w:autoSpaceDN/>
        <w:adjustRightInd/>
        <w:ind w:left="720"/>
        <w:contextualSpacing/>
        <w:rPr>
          <w:rFonts w:cstheme="minorHAnsi"/>
          <w:color w:val="auto"/>
          <w:sz w:val="24"/>
        </w:rPr>
      </w:pPr>
      <w:r w:rsidRPr="00E364AF">
        <w:rPr>
          <w:rFonts w:cs="Arial"/>
          <w:color w:val="auto"/>
          <w:sz w:val="24"/>
          <w:szCs w:val="24"/>
        </w:rPr>
        <w:t xml:space="preserve">Zdravotní stav populace je významným ukazatelem kvality života v ČR. </w:t>
      </w:r>
      <w:r w:rsidRPr="00CB6F5C" w:rsidR="001C3EDF">
        <w:rPr>
          <w:rFonts w:cstheme="minorHAnsi"/>
          <w:color w:val="auto"/>
          <w:sz w:val="24"/>
        </w:rPr>
        <w:t xml:space="preserve">Je třeba se zaměřit </w:t>
      </w:r>
      <w:r w:rsidRPr="00CB6F5C" w:rsidR="001C3EDF">
        <w:rPr>
          <w:rFonts w:cs="Arial"/>
          <w:color w:val="auto"/>
          <w:sz w:val="24"/>
          <w:szCs w:val="24"/>
        </w:rPr>
        <w:t xml:space="preserve">na </w:t>
      </w:r>
      <w:r w:rsidRPr="00CB6F5C" w:rsidR="001C671F">
        <w:rPr>
          <w:rFonts w:cs="Arial"/>
          <w:color w:val="auto"/>
          <w:sz w:val="24"/>
          <w:szCs w:val="24"/>
        </w:rPr>
        <w:t>zájem občanů o vlastní zdraví prostřednictvím aktivit ke zvyšování zdravotní gramotnosti</w:t>
      </w:r>
      <w:r w:rsidRPr="00CB6F5C" w:rsidR="008139FF">
        <w:rPr>
          <w:rFonts w:cs="Arial"/>
          <w:color w:val="auto"/>
          <w:sz w:val="24"/>
          <w:szCs w:val="24"/>
        </w:rPr>
        <w:t>,</w:t>
      </w:r>
      <w:r w:rsidRPr="00CB6F5C" w:rsidR="001C671F">
        <w:rPr>
          <w:rFonts w:cs="Arial"/>
          <w:color w:val="auto"/>
          <w:sz w:val="24"/>
          <w:szCs w:val="24"/>
        </w:rPr>
        <w:t xml:space="preserve"> podporovat zdravý životní styl a </w:t>
      </w:r>
      <w:r w:rsidR="00CB6F5C">
        <w:rPr>
          <w:rFonts w:cs="Arial"/>
          <w:color w:val="auto"/>
          <w:sz w:val="24"/>
          <w:szCs w:val="24"/>
        </w:rPr>
        <w:t>podporu</w:t>
      </w:r>
      <w:r w:rsidRPr="00CB6F5C" w:rsidR="00CB6F5C">
        <w:rPr>
          <w:rFonts w:cs="Arial"/>
          <w:color w:val="auto"/>
          <w:sz w:val="24"/>
          <w:szCs w:val="24"/>
        </w:rPr>
        <w:t xml:space="preserve"> primární, sekundární i terciální</w:t>
      </w:r>
      <w:r w:rsidRPr="00CB6F5C" w:rsidR="008A7231">
        <w:rPr>
          <w:rFonts w:cs="Arial"/>
          <w:color w:val="auto"/>
          <w:sz w:val="24"/>
          <w:szCs w:val="24"/>
        </w:rPr>
        <w:t xml:space="preserve"> prevence</w:t>
      </w:r>
      <w:r w:rsidR="00CB6F5C">
        <w:rPr>
          <w:rFonts w:cs="Arial"/>
          <w:color w:val="auto"/>
          <w:sz w:val="24"/>
          <w:szCs w:val="24"/>
        </w:rPr>
        <w:t xml:space="preserve">. Součástí tohoto cíle je i ochrana veřejného zdraví, např. v oblasti boje </w:t>
      </w:r>
      <w:r w:rsidR="00CB6F5C">
        <w:rPr>
          <w:rFonts w:cs="Arial"/>
          <w:color w:val="auto"/>
          <w:sz w:val="24"/>
          <w:szCs w:val="24"/>
        </w:rPr>
        <w:t>s antimikrobiální rezistencí, infekčními nemocemi, reakce na environmentální determinanty zdraví či snaha o optimalizaci lékové polit</w:t>
      </w:r>
      <w:r w:rsidR="00893A02">
        <w:rPr>
          <w:rFonts w:cs="Arial"/>
          <w:color w:val="auto"/>
          <w:sz w:val="24"/>
          <w:szCs w:val="24"/>
        </w:rPr>
        <w:t>i</w:t>
      </w:r>
      <w:r w:rsidR="00CB6F5C">
        <w:rPr>
          <w:rFonts w:cs="Arial"/>
          <w:color w:val="auto"/>
          <w:sz w:val="24"/>
          <w:szCs w:val="24"/>
        </w:rPr>
        <w:t xml:space="preserve">ky ČR. </w:t>
      </w:r>
    </w:p>
    <w:p w:rsidR="001C671F" w:rsidRPr="00A955AF" w:rsidP="00477A42" w14:paraId="4D4998D4" w14:textId="77777777">
      <w:pPr>
        <w:pStyle w:val="ListParagraph"/>
        <w:numPr>
          <w:ilvl w:val="0"/>
          <w:numId w:val="0"/>
        </w:numPr>
        <w:autoSpaceDE/>
        <w:autoSpaceDN/>
        <w:adjustRightInd/>
        <w:ind w:left="720"/>
        <w:contextualSpacing/>
        <w:rPr>
          <w:rFonts w:cs="Arial"/>
          <w:sz w:val="24"/>
          <w:szCs w:val="24"/>
        </w:rPr>
      </w:pPr>
    </w:p>
    <w:p w:rsidR="7257C512" w:rsidP="0D4C4CA9" w14:paraId="058DEDEA" w14:textId="60DF8B06">
      <w:pPr>
        <w:pStyle w:val="ListParagraph"/>
        <w:rPr>
          <w:rFonts w:cs="Arial"/>
          <w:b/>
          <w:u w:val="single"/>
        </w:rPr>
      </w:pPr>
      <w:r w:rsidRPr="0D4C4CA9">
        <w:rPr>
          <w:rFonts w:cs="Arial"/>
          <w:b/>
          <w:sz w:val="24"/>
          <w:szCs w:val="24"/>
          <w:u w:val="single"/>
        </w:rPr>
        <w:t>Optimalizace zdravotnického systému</w:t>
      </w:r>
    </w:p>
    <w:p w:rsidR="00C82C48" w:rsidRPr="00A955AF" w:rsidP="00477A42" w14:paraId="0414158A" w14:textId="77E40F4D">
      <w:pPr>
        <w:pStyle w:val="ListParagraph"/>
        <w:numPr>
          <w:ilvl w:val="0"/>
          <w:numId w:val="0"/>
        </w:numPr>
        <w:autoSpaceDE/>
        <w:autoSpaceDN/>
        <w:adjustRightInd/>
        <w:ind w:left="720"/>
        <w:contextualSpacing/>
        <w:rPr>
          <w:rFonts w:cs="Helvetica"/>
          <w:sz w:val="24"/>
          <w:szCs w:val="24"/>
          <w:shd w:val="clear" w:color="auto" w:fill="FFFFFF"/>
        </w:rPr>
      </w:pPr>
      <w:r w:rsidRPr="00A955AF">
        <w:rPr>
          <w:rFonts w:cs="Helvetica"/>
          <w:sz w:val="24"/>
          <w:szCs w:val="24"/>
          <w:shd w:val="clear" w:color="auto" w:fill="FFFFFF"/>
        </w:rPr>
        <w:t>Nedostatečný rozvoj</w:t>
      </w:r>
      <w:r w:rsidRPr="00A955AF">
        <w:rPr>
          <w:rFonts w:cs="Helvetica"/>
          <w:sz w:val="24"/>
          <w:szCs w:val="24"/>
          <w:shd w:val="clear" w:color="auto" w:fill="FFFFFF"/>
        </w:rPr>
        <w:t xml:space="preserve"> zdravotnického systému </w:t>
      </w:r>
      <w:r w:rsidRPr="00A955AF" w:rsidR="00B70CFF">
        <w:rPr>
          <w:rFonts w:cs="Helvetica"/>
          <w:sz w:val="24"/>
          <w:szCs w:val="24"/>
          <w:shd w:val="clear" w:color="auto" w:fill="FFFFFF"/>
        </w:rPr>
        <w:t xml:space="preserve">a jeho nepřizpůsobení se aktuálním trendům by </w:t>
      </w:r>
      <w:r w:rsidRPr="00A955AF" w:rsidR="00477FBE">
        <w:rPr>
          <w:rFonts w:cs="Helvetica"/>
          <w:sz w:val="24"/>
          <w:szCs w:val="24"/>
          <w:shd w:val="clear" w:color="auto" w:fill="FFFFFF"/>
        </w:rPr>
        <w:t xml:space="preserve">mělo dopad </w:t>
      </w:r>
      <w:r w:rsidRPr="00A955AF">
        <w:rPr>
          <w:rFonts w:cs="Helvetica"/>
          <w:sz w:val="24"/>
          <w:szCs w:val="24"/>
          <w:shd w:val="clear" w:color="auto" w:fill="FFFFFF"/>
        </w:rPr>
        <w:t xml:space="preserve">nejen na zdraví občanů, ale i na celkové výdaje </w:t>
      </w:r>
      <w:r w:rsidRPr="00A955AF" w:rsidR="00477FBE">
        <w:rPr>
          <w:rFonts w:cs="Helvetica"/>
          <w:sz w:val="24"/>
          <w:szCs w:val="24"/>
          <w:shd w:val="clear" w:color="auto" w:fill="FFFFFF"/>
        </w:rPr>
        <w:t>na </w:t>
      </w:r>
      <w:r w:rsidRPr="00A955AF">
        <w:rPr>
          <w:rFonts w:cs="Helvetica"/>
          <w:sz w:val="24"/>
          <w:szCs w:val="24"/>
          <w:shd w:val="clear" w:color="auto" w:fill="FFFFFF"/>
        </w:rPr>
        <w:t xml:space="preserve">zdravotnictví a ekonomiku. </w:t>
      </w:r>
      <w:r w:rsidRPr="00A955AF" w:rsidR="00B70CFF">
        <w:rPr>
          <w:rFonts w:cs="Helvetica"/>
          <w:sz w:val="24"/>
          <w:szCs w:val="24"/>
          <w:shd w:val="clear" w:color="auto" w:fill="FFFFFF"/>
        </w:rPr>
        <w:t xml:space="preserve">Cílem je tedy zvýšit </w:t>
      </w:r>
      <w:r w:rsidRPr="00A955AF" w:rsidR="00B70CFF">
        <w:rPr>
          <w:rFonts w:cs="Times New Roman"/>
          <w:sz w:val="24"/>
        </w:rPr>
        <w:t>účinnost, hospodárnost i trvalou udržitelnost systému</w:t>
      </w:r>
      <w:r w:rsidRPr="00A955AF" w:rsidR="00283AA2">
        <w:rPr>
          <w:rFonts w:cs="Times New Roman"/>
          <w:sz w:val="24"/>
        </w:rPr>
        <w:t>,</w:t>
      </w:r>
      <w:r w:rsidRPr="00A955AF" w:rsidR="00B70CFF">
        <w:rPr>
          <w:rFonts w:cs="Times New Roman"/>
          <w:sz w:val="24"/>
        </w:rPr>
        <w:t xml:space="preserve"> zejména pomocí </w:t>
      </w:r>
      <w:r w:rsidRPr="00A955AF">
        <w:rPr>
          <w:rFonts w:cs="Helvetica"/>
          <w:sz w:val="24"/>
          <w:szCs w:val="24"/>
          <w:shd w:val="clear" w:color="auto" w:fill="FFFFFF"/>
        </w:rPr>
        <w:t xml:space="preserve">stabilizace zdravotnického personálu </w:t>
      </w:r>
      <w:r w:rsidRPr="00A955AF" w:rsidR="00477FBE">
        <w:rPr>
          <w:rFonts w:cs="Helvetica"/>
          <w:sz w:val="24"/>
          <w:szCs w:val="24"/>
          <w:shd w:val="clear" w:color="auto" w:fill="FFFFFF"/>
        </w:rPr>
        <w:t>a </w:t>
      </w:r>
      <w:r w:rsidRPr="00A955AF">
        <w:rPr>
          <w:rFonts w:cs="Helvetica"/>
          <w:sz w:val="24"/>
          <w:szCs w:val="24"/>
          <w:shd w:val="clear" w:color="auto" w:fill="FFFFFF"/>
        </w:rPr>
        <w:t xml:space="preserve">vyrovnání jeho lokálních </w:t>
      </w:r>
      <w:r w:rsidRPr="00A955AF" w:rsidR="00B70CFF">
        <w:rPr>
          <w:rFonts w:cs="Helvetica"/>
          <w:sz w:val="24"/>
          <w:szCs w:val="24"/>
          <w:shd w:val="clear" w:color="auto" w:fill="FFFFFF"/>
        </w:rPr>
        <w:t xml:space="preserve">a regionálních </w:t>
      </w:r>
      <w:r w:rsidRPr="00A955AF">
        <w:rPr>
          <w:rFonts w:cs="Helvetica"/>
          <w:sz w:val="24"/>
          <w:szCs w:val="24"/>
          <w:shd w:val="clear" w:color="auto" w:fill="FFFFFF"/>
        </w:rPr>
        <w:t>nedostatků, podpor</w:t>
      </w:r>
      <w:r w:rsidRPr="00A955AF" w:rsidR="00B70CFF">
        <w:rPr>
          <w:rFonts w:cs="Helvetica"/>
          <w:sz w:val="24"/>
          <w:szCs w:val="24"/>
          <w:shd w:val="clear" w:color="auto" w:fill="FFFFFF"/>
        </w:rPr>
        <w:t>y</w:t>
      </w:r>
      <w:r w:rsidRPr="00A955AF">
        <w:rPr>
          <w:rFonts w:cs="Helvetica"/>
          <w:sz w:val="24"/>
          <w:szCs w:val="24"/>
          <w:shd w:val="clear" w:color="auto" w:fill="FFFFFF"/>
        </w:rPr>
        <w:t xml:space="preserve"> péče</w:t>
      </w:r>
      <w:r w:rsidR="008A7231">
        <w:rPr>
          <w:rFonts w:cs="Helvetica"/>
          <w:sz w:val="24"/>
          <w:szCs w:val="24"/>
          <w:shd w:val="clear" w:color="auto" w:fill="FFFFFF"/>
        </w:rPr>
        <w:t xml:space="preserve"> na sociálně zdravotním </w:t>
      </w:r>
      <w:r w:rsidR="007D5468">
        <w:rPr>
          <w:rFonts w:cs="Helvetica"/>
          <w:sz w:val="24"/>
          <w:szCs w:val="24"/>
          <w:shd w:val="clear" w:color="auto" w:fill="FFFFFF"/>
        </w:rPr>
        <w:t xml:space="preserve">pomezí, </w:t>
      </w:r>
      <w:r w:rsidRPr="00A955AF" w:rsidR="007D5468">
        <w:rPr>
          <w:rFonts w:cs="Helvetica"/>
          <w:sz w:val="24"/>
          <w:szCs w:val="24"/>
          <w:shd w:val="clear" w:color="auto" w:fill="FFFFFF"/>
        </w:rPr>
        <w:t>pokračování</w:t>
      </w:r>
      <w:r w:rsidRPr="00A955AF" w:rsidR="00B70CFF">
        <w:rPr>
          <w:rFonts w:cs="Helvetica"/>
          <w:sz w:val="24"/>
          <w:szCs w:val="24"/>
          <w:shd w:val="clear" w:color="auto" w:fill="FFFFFF"/>
        </w:rPr>
        <w:t xml:space="preserve"> reformy </w:t>
      </w:r>
      <w:r w:rsidR="007D5468">
        <w:rPr>
          <w:rFonts w:cs="Helvetica"/>
          <w:sz w:val="24"/>
          <w:szCs w:val="24"/>
          <w:shd w:val="clear" w:color="auto" w:fill="FFFFFF"/>
        </w:rPr>
        <w:t>péče o duševní zdraví</w:t>
      </w:r>
      <w:r w:rsidR="008A7231">
        <w:rPr>
          <w:rFonts w:cs="Helvetica"/>
          <w:sz w:val="24"/>
          <w:szCs w:val="24"/>
          <w:shd w:val="clear" w:color="auto" w:fill="FFFFFF"/>
        </w:rPr>
        <w:t xml:space="preserve">, </w:t>
      </w:r>
      <w:r w:rsidR="007D5468">
        <w:rPr>
          <w:rFonts w:cs="Helvetica"/>
          <w:sz w:val="24"/>
          <w:szCs w:val="24"/>
          <w:shd w:val="clear" w:color="auto" w:fill="FFFFFF"/>
        </w:rPr>
        <w:t xml:space="preserve">rozvoje vybraných typů </w:t>
      </w:r>
      <w:r w:rsidR="008A7231">
        <w:rPr>
          <w:rFonts w:cs="Helvetica"/>
          <w:sz w:val="24"/>
          <w:szCs w:val="24"/>
          <w:shd w:val="clear" w:color="auto" w:fill="FFFFFF"/>
        </w:rPr>
        <w:t>specializované péče</w:t>
      </w:r>
      <w:r w:rsidRPr="00A955AF" w:rsidR="000C3A74">
        <w:rPr>
          <w:rFonts w:cs="Helvetica"/>
          <w:sz w:val="24"/>
          <w:szCs w:val="24"/>
          <w:shd w:val="clear" w:color="auto" w:fill="FFFFFF"/>
        </w:rPr>
        <w:t>,</w:t>
      </w:r>
      <w:r w:rsidRPr="00A955AF">
        <w:rPr>
          <w:rFonts w:cs="Helvetica"/>
          <w:sz w:val="24"/>
          <w:szCs w:val="24"/>
          <w:shd w:val="clear" w:color="auto" w:fill="FFFFFF"/>
        </w:rPr>
        <w:t xml:space="preserve"> </w:t>
      </w:r>
      <w:r w:rsidR="007D5468">
        <w:rPr>
          <w:rFonts w:cs="Helvetica"/>
          <w:sz w:val="24"/>
          <w:szCs w:val="24"/>
          <w:shd w:val="clear" w:color="auto" w:fill="FFFFFF"/>
        </w:rPr>
        <w:t xml:space="preserve">další </w:t>
      </w:r>
      <w:r w:rsidRPr="00A955AF">
        <w:rPr>
          <w:rFonts w:cs="Helvetica"/>
          <w:sz w:val="24"/>
          <w:szCs w:val="24"/>
          <w:shd w:val="clear" w:color="auto" w:fill="FFFFFF"/>
        </w:rPr>
        <w:t>podpor</w:t>
      </w:r>
      <w:r w:rsidRPr="00A955AF" w:rsidR="00123507">
        <w:rPr>
          <w:rFonts w:cs="Helvetica"/>
          <w:sz w:val="24"/>
          <w:szCs w:val="24"/>
          <w:shd w:val="clear" w:color="auto" w:fill="FFFFFF"/>
        </w:rPr>
        <w:t>y</w:t>
      </w:r>
      <w:r w:rsidRPr="00A955AF">
        <w:rPr>
          <w:rFonts w:cs="Helvetica"/>
          <w:sz w:val="24"/>
          <w:szCs w:val="24"/>
          <w:shd w:val="clear" w:color="auto" w:fill="FFFFFF"/>
        </w:rPr>
        <w:t xml:space="preserve"> digitalizace zdravotnictví </w:t>
      </w:r>
      <w:r w:rsidRPr="00A955AF" w:rsidR="00477FBE">
        <w:rPr>
          <w:rFonts w:cs="Helvetica"/>
          <w:sz w:val="24"/>
          <w:szCs w:val="24"/>
          <w:shd w:val="clear" w:color="auto" w:fill="FFFFFF"/>
        </w:rPr>
        <w:t>a </w:t>
      </w:r>
      <w:r w:rsidRPr="00A955AF">
        <w:rPr>
          <w:rFonts w:cs="Helvetica"/>
          <w:sz w:val="24"/>
          <w:szCs w:val="24"/>
          <w:shd w:val="clear" w:color="auto" w:fill="FFFFFF"/>
        </w:rPr>
        <w:t xml:space="preserve">optimalizace systému úhrad ve zdravotnictví. </w:t>
      </w:r>
      <w:r w:rsidRPr="00E364AF" w:rsidR="008A7231">
        <w:rPr>
          <w:rFonts w:cs="Arial"/>
          <w:color w:val="auto"/>
          <w:sz w:val="24"/>
          <w:szCs w:val="24"/>
        </w:rPr>
        <w:t>Součástí snahy o naplnění tohoto cíle bude také reforma stávajícího modelu primární péče, kdy by měla být posílena role</w:t>
      </w:r>
      <w:r w:rsidR="008A7231">
        <w:rPr>
          <w:rFonts w:cs="Arial"/>
          <w:color w:val="auto"/>
          <w:sz w:val="24"/>
          <w:szCs w:val="24"/>
        </w:rPr>
        <w:t> </w:t>
      </w:r>
      <w:r w:rsidRPr="00E364AF" w:rsidR="008A7231">
        <w:rPr>
          <w:rFonts w:cs="Arial"/>
          <w:color w:val="auto"/>
          <w:sz w:val="24"/>
          <w:szCs w:val="24"/>
        </w:rPr>
        <w:t xml:space="preserve">praktických </w:t>
      </w:r>
      <w:r w:rsidRPr="00CA1EA9" w:rsidR="008A7231">
        <w:rPr>
          <w:rFonts w:cs="Arial"/>
          <w:sz w:val="24"/>
          <w:szCs w:val="24"/>
        </w:rPr>
        <w:t>lékařů, což by mělo přispět k zvýšení dostupnosti zdravotní péče.</w:t>
      </w:r>
      <w:r w:rsidR="008A7231">
        <w:rPr>
          <w:rFonts w:cs="Arial"/>
          <w:sz w:val="24"/>
          <w:szCs w:val="24"/>
        </w:rPr>
        <w:t xml:space="preserve"> </w:t>
      </w:r>
      <w:r w:rsidRPr="00A955AF">
        <w:rPr>
          <w:rFonts w:cs="Helvetica"/>
          <w:sz w:val="24"/>
          <w:szCs w:val="24"/>
          <w:shd w:val="clear" w:color="auto" w:fill="FFFFFF"/>
        </w:rPr>
        <w:t xml:space="preserve">Zdroje určené pro zdravotnictví </w:t>
      </w:r>
      <w:r w:rsidRPr="00A955AF" w:rsidR="00477FBE">
        <w:rPr>
          <w:rFonts w:cs="Helvetica"/>
          <w:sz w:val="24"/>
          <w:szCs w:val="24"/>
          <w:shd w:val="clear" w:color="auto" w:fill="FFFFFF"/>
        </w:rPr>
        <w:t>by </w:t>
      </w:r>
      <w:r w:rsidRPr="00A955AF">
        <w:rPr>
          <w:rFonts w:cs="Helvetica"/>
          <w:sz w:val="24"/>
          <w:szCs w:val="24"/>
          <w:shd w:val="clear" w:color="auto" w:fill="FFFFFF"/>
        </w:rPr>
        <w:t>měly postupně dosáhnout na</w:t>
      </w:r>
      <w:r w:rsidRPr="00A955AF" w:rsidR="00BA23A4">
        <w:rPr>
          <w:rFonts w:cs="Helvetica"/>
          <w:sz w:val="24"/>
          <w:szCs w:val="24"/>
          <w:shd w:val="clear" w:color="auto" w:fill="FFFFFF"/>
        </w:rPr>
        <w:t> </w:t>
      </w:r>
      <w:r w:rsidRPr="00A955AF">
        <w:rPr>
          <w:rFonts w:cs="Helvetica"/>
          <w:sz w:val="24"/>
          <w:szCs w:val="24"/>
          <w:shd w:val="clear" w:color="auto" w:fill="FFFFFF"/>
        </w:rPr>
        <w:t>úroveň průměru vyspělých států</w:t>
      </w:r>
      <w:r>
        <w:rPr>
          <w:rStyle w:val="FootnoteReference"/>
          <w:rFonts w:cs="Helvetica"/>
          <w:sz w:val="24"/>
          <w:szCs w:val="24"/>
          <w:shd w:val="clear" w:color="auto" w:fill="FFFFFF"/>
        </w:rPr>
        <w:footnoteReference w:id="13"/>
      </w:r>
      <w:r w:rsidRPr="00A955AF" w:rsidR="00C76990">
        <w:rPr>
          <w:rFonts w:cs="Helvetica"/>
          <w:sz w:val="24"/>
          <w:szCs w:val="24"/>
          <w:shd w:val="clear" w:color="auto" w:fill="FFFFFF"/>
        </w:rPr>
        <w:t>.</w:t>
      </w:r>
      <w:r w:rsidRPr="008A7231" w:rsidR="008A7231">
        <w:rPr>
          <w:rFonts w:cs="Arial"/>
          <w:color w:val="auto"/>
          <w:sz w:val="24"/>
          <w:szCs w:val="24"/>
        </w:rPr>
        <w:t xml:space="preserve"> </w:t>
      </w:r>
    </w:p>
    <w:p w:rsidR="00682708" w:rsidRPr="00A955AF" w:rsidP="00477A42" w14:paraId="118AFCFE" w14:textId="77777777">
      <w:pPr>
        <w:pStyle w:val="ListParagraph"/>
        <w:numPr>
          <w:ilvl w:val="0"/>
          <w:numId w:val="0"/>
        </w:numPr>
        <w:autoSpaceDE/>
        <w:autoSpaceDN/>
        <w:adjustRightInd/>
        <w:ind w:left="720"/>
        <w:contextualSpacing/>
        <w:rPr>
          <w:rFonts w:cs="Arial"/>
          <w:sz w:val="24"/>
          <w:szCs w:val="24"/>
        </w:rPr>
      </w:pPr>
    </w:p>
    <w:p w:rsidR="663DE9A2" w:rsidP="0D4C4CA9" w14:paraId="72D7F85D" w14:textId="04504772">
      <w:pPr>
        <w:pStyle w:val="ListParagraph"/>
        <w:rPr>
          <w:rFonts w:cs="Arial"/>
          <w:b/>
          <w:u w:val="single"/>
        </w:rPr>
      </w:pPr>
      <w:r w:rsidRPr="0D4C4CA9">
        <w:rPr>
          <w:rFonts w:cs="Arial"/>
          <w:b/>
          <w:color w:val="auto"/>
          <w:sz w:val="24"/>
          <w:szCs w:val="24"/>
          <w:u w:val="single"/>
        </w:rPr>
        <w:t>Podpora vědy a v</w:t>
      </w:r>
      <w:r w:rsidR="005D4D73">
        <w:rPr>
          <w:rFonts w:cs="Arial"/>
          <w:b/>
          <w:color w:val="auto"/>
          <w:sz w:val="24"/>
          <w:szCs w:val="24"/>
          <w:u w:val="single"/>
        </w:rPr>
        <w:t>ý</w:t>
      </w:r>
      <w:r w:rsidRPr="0D4C4CA9">
        <w:rPr>
          <w:rFonts w:cs="Arial"/>
          <w:b/>
          <w:color w:val="auto"/>
          <w:sz w:val="24"/>
          <w:szCs w:val="24"/>
          <w:u w:val="single"/>
        </w:rPr>
        <w:t>zkumu</w:t>
      </w:r>
    </w:p>
    <w:p w:rsidR="005A311B" w:rsidRPr="00A955AF" w:rsidP="00477A42" w14:paraId="6CA9BF8E" w14:textId="20D35879">
      <w:pPr>
        <w:pStyle w:val="ListParagraph"/>
        <w:numPr>
          <w:ilvl w:val="0"/>
          <w:numId w:val="0"/>
        </w:numPr>
        <w:autoSpaceDE/>
        <w:autoSpaceDN/>
        <w:adjustRightInd/>
        <w:ind w:left="720"/>
        <w:contextualSpacing/>
        <w:rPr>
          <w:rFonts w:cs="Arial"/>
          <w:sz w:val="24"/>
          <w:szCs w:val="24"/>
        </w:rPr>
      </w:pPr>
      <w:r w:rsidRPr="0D4C4CA9">
        <w:rPr>
          <w:rFonts w:cs="Arial"/>
          <w:sz w:val="24"/>
          <w:szCs w:val="24"/>
        </w:rPr>
        <w:t>Věda a výzkum ve zdravotnictví značnou měrou přispívají k</w:t>
      </w:r>
      <w:r w:rsidRPr="0D4C4CA9" w:rsidR="75B52533">
        <w:rPr>
          <w:rFonts w:cs="Arial"/>
          <w:sz w:val="24"/>
          <w:szCs w:val="24"/>
        </w:rPr>
        <w:t>e</w:t>
      </w:r>
      <w:r w:rsidRPr="0D4C4CA9">
        <w:rPr>
          <w:rFonts w:cs="Arial"/>
          <w:sz w:val="24"/>
          <w:szCs w:val="24"/>
        </w:rPr>
        <w:t> zlepšení zdravotního stavu obyvatel tím, že pomáhají objasnit vznik a příčinu mnohých onemocnění a</w:t>
      </w:r>
      <w:r w:rsidRPr="0D4C4CA9" w:rsidR="2477F336">
        <w:rPr>
          <w:rFonts w:cs="Arial"/>
          <w:sz w:val="24"/>
          <w:szCs w:val="24"/>
        </w:rPr>
        <w:t> </w:t>
      </w:r>
      <w:r w:rsidRPr="0D4C4CA9">
        <w:rPr>
          <w:rFonts w:cs="Arial"/>
          <w:sz w:val="24"/>
          <w:szCs w:val="24"/>
        </w:rPr>
        <w:t>přináš</w:t>
      </w:r>
      <w:r w:rsidRPr="0D4C4CA9" w:rsidR="116A4631">
        <w:rPr>
          <w:rFonts w:cs="Arial"/>
          <w:sz w:val="24"/>
          <w:szCs w:val="24"/>
        </w:rPr>
        <w:t>ej</w:t>
      </w:r>
      <w:r w:rsidRPr="0D4C4CA9">
        <w:rPr>
          <w:rFonts w:cs="Arial"/>
          <w:sz w:val="24"/>
          <w:szCs w:val="24"/>
        </w:rPr>
        <w:t>í nové diagnostické a terapeutické metody a prostředky, které</w:t>
      </w:r>
      <w:r w:rsidRPr="0D4C4CA9" w:rsidR="65B6EDB1">
        <w:rPr>
          <w:rFonts w:cs="Arial"/>
          <w:sz w:val="24"/>
          <w:szCs w:val="24"/>
        </w:rPr>
        <w:t xml:space="preserve"> </w:t>
      </w:r>
      <w:r w:rsidRPr="0D4C4CA9">
        <w:rPr>
          <w:rFonts w:cs="Arial"/>
          <w:sz w:val="24"/>
          <w:szCs w:val="24"/>
        </w:rPr>
        <w:t>pomohou pacientům s diagnostikou, zvládáním či léčbou různých onemocnění. Hlavním cílem je zde zajistit srovnatelnou úroveň zdravotnického výzkumu, jako mají vyspělé státy EU</w:t>
      </w:r>
      <w:r w:rsidRPr="0D4C4CA9" w:rsidR="49761DE3">
        <w:rPr>
          <w:rFonts w:cs="Arial"/>
          <w:sz w:val="24"/>
          <w:szCs w:val="24"/>
        </w:rPr>
        <w:t>,</w:t>
      </w:r>
      <w:r w:rsidRPr="0D4C4CA9" w:rsidR="3F3DEDEE">
        <w:rPr>
          <w:rFonts w:cs="Arial"/>
          <w:sz w:val="24"/>
          <w:szCs w:val="24"/>
        </w:rPr>
        <w:t xml:space="preserve"> a </w:t>
      </w:r>
      <w:r w:rsidRPr="0D4C4CA9" w:rsidR="49761DE3">
        <w:rPr>
          <w:rFonts w:cs="Arial"/>
          <w:sz w:val="24"/>
          <w:szCs w:val="24"/>
        </w:rPr>
        <w:t xml:space="preserve">zároveň šířením </w:t>
      </w:r>
      <w:r w:rsidRPr="0D4C4CA9" w:rsidR="3F3DEDEE">
        <w:rPr>
          <w:rFonts w:cs="Arial"/>
          <w:sz w:val="24"/>
          <w:szCs w:val="24"/>
        </w:rPr>
        <w:t>jeho výsled</w:t>
      </w:r>
      <w:r w:rsidRPr="0D4C4CA9" w:rsidR="49761DE3">
        <w:rPr>
          <w:rFonts w:cs="Arial"/>
          <w:sz w:val="24"/>
          <w:szCs w:val="24"/>
        </w:rPr>
        <w:t xml:space="preserve">ků </w:t>
      </w:r>
      <w:r w:rsidRPr="0D4C4CA9" w:rsidR="3F3DEDEE">
        <w:rPr>
          <w:rFonts w:cs="Arial"/>
          <w:sz w:val="24"/>
          <w:szCs w:val="24"/>
        </w:rPr>
        <w:t>pomo</w:t>
      </w:r>
      <w:r w:rsidRPr="0D4C4CA9" w:rsidR="49761DE3">
        <w:rPr>
          <w:rFonts w:cs="Arial"/>
          <w:sz w:val="24"/>
          <w:szCs w:val="24"/>
        </w:rPr>
        <w:t>ci</w:t>
      </w:r>
      <w:r w:rsidRPr="0D4C4CA9" w:rsidR="3F3DEDEE">
        <w:rPr>
          <w:rFonts w:cs="Arial"/>
          <w:sz w:val="24"/>
          <w:szCs w:val="24"/>
        </w:rPr>
        <w:t xml:space="preserve"> k zajištění potřeb zdravotnictví v ČR. </w:t>
      </w:r>
      <w:r w:rsidRPr="0D4C4CA9" w:rsidR="44F5EF99">
        <w:rPr>
          <w:rFonts w:cs="Arial"/>
          <w:sz w:val="24"/>
          <w:szCs w:val="24"/>
        </w:rPr>
        <w:t>Priority v oblasti vědy a výzkumu ve zdravotnictví vychází z</w:t>
      </w:r>
      <w:r w:rsidRPr="0D4C4CA9" w:rsidR="3835D11C">
        <w:rPr>
          <w:rFonts w:cs="Arial"/>
          <w:sz w:val="24"/>
          <w:szCs w:val="24"/>
        </w:rPr>
        <w:t xml:space="preserve"> priorit Národní </w:t>
      </w:r>
      <w:r w:rsidRPr="0D4C4CA9" w:rsidR="70AE4FBD">
        <w:rPr>
          <w:rFonts w:cs="Arial"/>
          <w:sz w:val="24"/>
          <w:szCs w:val="24"/>
        </w:rPr>
        <w:t>politiky</w:t>
      </w:r>
      <w:r w:rsidRPr="0D4C4CA9" w:rsidR="3835D11C">
        <w:rPr>
          <w:rFonts w:cs="Arial"/>
          <w:sz w:val="24"/>
          <w:szCs w:val="24"/>
        </w:rPr>
        <w:t xml:space="preserve"> výzkumu, vývoje a</w:t>
      </w:r>
      <w:r w:rsidRPr="0D4C4CA9" w:rsidR="33887350">
        <w:rPr>
          <w:rFonts w:cs="Arial"/>
          <w:sz w:val="24"/>
          <w:szCs w:val="24"/>
        </w:rPr>
        <w:t> </w:t>
      </w:r>
      <w:r w:rsidRPr="0D4C4CA9" w:rsidR="3835D11C">
        <w:rPr>
          <w:rFonts w:cs="Arial"/>
          <w:sz w:val="24"/>
          <w:szCs w:val="24"/>
        </w:rPr>
        <w:t>inovací České republiky 2021+ v gesci Rady vlády pro výzkum, vývoj a inovace.</w:t>
      </w:r>
    </w:p>
    <w:bookmarkEnd w:id="436"/>
    <w:p w:rsidR="0D4C4CA9" w14:paraId="0C7EE306" w14:textId="266BF13C">
      <w:r>
        <w:br w:type="page"/>
      </w:r>
    </w:p>
    <w:p w:rsidR="00943015" w:rsidRPr="00DA6500" w:rsidP="03B59B71" w14:paraId="5D0D3550" w14:textId="610B7603">
      <w:pPr>
        <w:pStyle w:val="NA2"/>
        <w:rPr>
          <w:sz w:val="36"/>
          <w:szCs w:val="36"/>
        </w:rPr>
      </w:pPr>
      <w:bookmarkStart w:id="437" w:name="_Toc7705124"/>
      <w:bookmarkStart w:id="438" w:name="_Toc7705595"/>
      <w:bookmarkStart w:id="439" w:name="_Toc256000021"/>
      <w:r>
        <w:t>Mezinárodní kontext</w:t>
      </w:r>
      <w:bookmarkEnd w:id="439"/>
      <w:bookmarkEnd w:id="437"/>
      <w:bookmarkEnd w:id="438"/>
    </w:p>
    <w:p w:rsidR="0072040F" w:rsidP="003927E7" w14:paraId="4342DBD2" w14:textId="65C40CE0">
      <w:pPr>
        <w:rPr>
          <w:rFonts w:cstheme="minorHAnsi"/>
          <w:sz w:val="24"/>
        </w:rPr>
      </w:pPr>
      <w:r w:rsidRPr="00A955AF">
        <w:rPr>
          <w:rFonts w:cstheme="minorHAnsi"/>
          <w:sz w:val="24"/>
        </w:rPr>
        <w:t>Č</w:t>
      </w:r>
      <w:r w:rsidRPr="00A955AF" w:rsidR="00DD596F">
        <w:rPr>
          <w:rFonts w:cstheme="minorHAnsi"/>
          <w:sz w:val="24"/>
        </w:rPr>
        <w:t xml:space="preserve">R </w:t>
      </w:r>
      <w:r w:rsidRPr="00A955AF">
        <w:rPr>
          <w:rFonts w:cstheme="minorHAnsi"/>
          <w:sz w:val="24"/>
        </w:rPr>
        <w:t xml:space="preserve">je členem mnoha mezinárodních organizací, z nichž nejvýznamnější, z hlediska </w:t>
      </w:r>
      <w:r w:rsidRPr="00A955AF" w:rsidR="00FC5921">
        <w:rPr>
          <w:rFonts w:cstheme="minorHAnsi"/>
          <w:sz w:val="24"/>
        </w:rPr>
        <w:t xml:space="preserve">resortu </w:t>
      </w:r>
      <w:r w:rsidRPr="00A955AF">
        <w:rPr>
          <w:rFonts w:cstheme="minorHAnsi"/>
          <w:sz w:val="24"/>
        </w:rPr>
        <w:t>zdravotnictví, j</w:t>
      </w:r>
      <w:r>
        <w:rPr>
          <w:rFonts w:cstheme="minorHAnsi"/>
          <w:sz w:val="24"/>
        </w:rPr>
        <w:t>sou</w:t>
      </w:r>
      <w:r w:rsidRPr="00A955AF">
        <w:rPr>
          <w:rFonts w:cstheme="minorHAnsi"/>
          <w:sz w:val="24"/>
        </w:rPr>
        <w:t xml:space="preserve"> </w:t>
      </w:r>
      <w:r w:rsidRPr="0072040F">
        <w:rPr>
          <w:rFonts w:cstheme="minorHAnsi"/>
          <w:bCs/>
          <w:sz w:val="24"/>
        </w:rPr>
        <w:t>Světová zdravotnická organizace</w:t>
      </w:r>
      <w:r w:rsidRPr="00A955AF">
        <w:rPr>
          <w:rFonts w:cstheme="minorHAnsi"/>
          <w:sz w:val="24"/>
        </w:rPr>
        <w:t xml:space="preserve"> (World Health Organi</w:t>
      </w:r>
      <w:r>
        <w:rPr>
          <w:rFonts w:cstheme="minorHAnsi"/>
          <w:sz w:val="24"/>
        </w:rPr>
        <w:t>s</w:t>
      </w:r>
      <w:r w:rsidRPr="00A955AF">
        <w:rPr>
          <w:rFonts w:cstheme="minorHAnsi"/>
          <w:sz w:val="24"/>
        </w:rPr>
        <w:t xml:space="preserve">ation, </w:t>
      </w:r>
      <w:r w:rsidRPr="00A955AF" w:rsidR="00432493">
        <w:rPr>
          <w:rFonts w:cstheme="minorHAnsi"/>
          <w:sz w:val="24"/>
        </w:rPr>
        <w:t>dále </w:t>
      </w:r>
      <w:r w:rsidRPr="00A955AF">
        <w:rPr>
          <w:rFonts w:cstheme="minorHAnsi"/>
          <w:sz w:val="24"/>
        </w:rPr>
        <w:t>jen</w:t>
      </w:r>
      <w:r w:rsidRPr="00A955AF" w:rsidR="008A1A44">
        <w:rPr>
          <w:rFonts w:cstheme="minorHAnsi"/>
          <w:sz w:val="24"/>
        </w:rPr>
        <w:t> </w:t>
      </w:r>
      <w:r w:rsidRPr="00A955AF">
        <w:rPr>
          <w:rFonts w:cstheme="minorHAnsi"/>
          <w:sz w:val="24"/>
        </w:rPr>
        <w:t>„</w:t>
      </w:r>
      <w:r w:rsidRPr="00A955AF">
        <w:rPr>
          <w:rFonts w:cstheme="minorHAnsi"/>
          <w:i/>
          <w:sz w:val="24"/>
        </w:rPr>
        <w:t>WHO</w:t>
      </w:r>
      <w:r w:rsidRPr="00A955AF">
        <w:rPr>
          <w:rFonts w:cstheme="minorHAnsi"/>
          <w:sz w:val="24"/>
        </w:rPr>
        <w:t>“)</w:t>
      </w:r>
      <w:r>
        <w:rPr>
          <w:rFonts w:cstheme="minorHAnsi"/>
          <w:sz w:val="24"/>
        </w:rPr>
        <w:t>, Evropská unie (EU) a Organizace pro hospodářskou spolupráci a rozvoj (</w:t>
      </w:r>
      <w:r w:rsidRPr="0072040F">
        <w:rPr>
          <w:rFonts w:cstheme="minorHAnsi"/>
          <w:sz w:val="24"/>
        </w:rPr>
        <w:t>Organisation for Economic Co-operation and Development</w:t>
      </w:r>
      <w:r>
        <w:rPr>
          <w:rFonts w:cstheme="minorHAnsi"/>
          <w:sz w:val="24"/>
        </w:rPr>
        <w:t>, dále jen „OECD“).</w:t>
      </w:r>
    </w:p>
    <w:p w:rsidR="0072040F" w:rsidRPr="0072040F" w:rsidP="0D4C4CA9" w14:paraId="3F236D29" w14:textId="0249B127">
      <w:pPr>
        <w:keepNext/>
        <w:keepLines/>
        <w:rPr>
          <w:sz w:val="24"/>
        </w:rPr>
      </w:pPr>
      <w:bookmarkStart w:id="440" w:name="_Toc201690622"/>
      <w:bookmarkStart w:id="441" w:name="_Toc201691344"/>
      <w:bookmarkEnd w:id="440"/>
      <w:bookmarkEnd w:id="441"/>
    </w:p>
    <w:p w:rsidR="005D4D73" w:rsidRPr="005D4D73" w:rsidP="005D4D73" w14:paraId="6298B5A2" w14:textId="77777777">
      <w:pPr>
        <w:pStyle w:val="ListParagraph"/>
        <w:keepNext/>
        <w:keepLines/>
        <w:numPr>
          <w:ilvl w:val="0"/>
          <w:numId w:val="44"/>
        </w:numPr>
        <w:autoSpaceDE/>
        <w:autoSpaceDN/>
        <w:adjustRightInd/>
        <w:jc w:val="left"/>
        <w:outlineLvl w:val="0"/>
        <w:rPr>
          <w:rFonts w:ascii="Calibri" w:hAnsi="Calibri" w:eastAsiaTheme="majorEastAsia" w:cstheme="majorBidi"/>
          <w:bCs w:val="0"/>
          <w:vanish/>
          <w:color w:val="205493"/>
          <w:sz w:val="24"/>
          <w:szCs w:val="32"/>
        </w:rPr>
      </w:pPr>
      <w:bookmarkStart w:id="442" w:name="_Toc203386433"/>
      <w:bookmarkEnd w:id="442"/>
    </w:p>
    <w:p w:rsidR="005D4D73" w:rsidRPr="005D4D73" w:rsidP="005D4D73" w14:paraId="31C7BCFA" w14:textId="77777777">
      <w:pPr>
        <w:pStyle w:val="ListParagraph"/>
        <w:keepNext/>
        <w:keepLines/>
        <w:numPr>
          <w:ilvl w:val="1"/>
          <w:numId w:val="44"/>
        </w:numPr>
        <w:autoSpaceDE/>
        <w:autoSpaceDN/>
        <w:adjustRightInd/>
        <w:jc w:val="left"/>
        <w:outlineLvl w:val="0"/>
        <w:rPr>
          <w:rFonts w:ascii="Calibri" w:hAnsi="Calibri" w:eastAsiaTheme="majorEastAsia" w:cstheme="majorBidi"/>
          <w:bCs w:val="0"/>
          <w:vanish/>
          <w:color w:val="205493"/>
          <w:sz w:val="24"/>
          <w:szCs w:val="32"/>
        </w:rPr>
      </w:pPr>
      <w:bookmarkStart w:id="443" w:name="_Toc203386434"/>
      <w:bookmarkEnd w:id="443"/>
    </w:p>
    <w:p w:rsidR="005D4D73" w:rsidRPr="005D4D73" w:rsidP="005D4D73" w14:paraId="40E693DB" w14:textId="77777777">
      <w:pPr>
        <w:pStyle w:val="ListParagraph"/>
        <w:keepNext/>
        <w:keepLines/>
        <w:numPr>
          <w:ilvl w:val="1"/>
          <w:numId w:val="44"/>
        </w:numPr>
        <w:autoSpaceDE/>
        <w:autoSpaceDN/>
        <w:adjustRightInd/>
        <w:jc w:val="left"/>
        <w:outlineLvl w:val="0"/>
        <w:rPr>
          <w:rFonts w:ascii="Calibri" w:hAnsi="Calibri" w:eastAsiaTheme="majorEastAsia" w:cstheme="majorBidi"/>
          <w:bCs w:val="0"/>
          <w:vanish/>
          <w:color w:val="205493"/>
          <w:sz w:val="24"/>
          <w:szCs w:val="32"/>
        </w:rPr>
      </w:pPr>
      <w:bookmarkStart w:id="444" w:name="_Toc203386435"/>
      <w:bookmarkEnd w:id="444"/>
    </w:p>
    <w:p w:rsidR="0072040F" w:rsidRPr="0072040F" w:rsidP="005D4D73" w14:paraId="2CF1F2B7" w14:textId="56A98881">
      <w:pPr>
        <w:pStyle w:val="Podkapitola111opaten"/>
        <w:numPr>
          <w:ilvl w:val="2"/>
          <w:numId w:val="44"/>
        </w:numPr>
      </w:pPr>
      <w:bookmarkStart w:id="445" w:name="_Toc256000025"/>
      <w:r w:rsidRPr="0072040F">
        <w:t>WHO</w:t>
      </w:r>
      <w:bookmarkEnd w:id="445"/>
    </w:p>
    <w:p w:rsidR="003E7EF0" w:rsidP="00832F78" w14:paraId="29E95FE5" w14:textId="2AE565FA">
      <w:pPr>
        <w:rPr>
          <w:rFonts w:cstheme="minorHAnsi"/>
          <w:sz w:val="24"/>
        </w:rPr>
      </w:pPr>
      <w:r w:rsidRPr="00A955AF">
        <w:rPr>
          <w:rFonts w:cstheme="minorHAnsi"/>
          <w:sz w:val="24"/>
        </w:rPr>
        <w:t xml:space="preserve"> WHO je agenturou Organizace spojených národů (OSN), jejíž primární role spočívá v řízení a</w:t>
      </w:r>
      <w:r w:rsidR="0072040F">
        <w:rPr>
          <w:rFonts w:cstheme="minorHAnsi"/>
          <w:sz w:val="24"/>
        </w:rPr>
        <w:t> </w:t>
      </w:r>
      <w:r w:rsidRPr="00A955AF">
        <w:rPr>
          <w:rFonts w:cstheme="minorHAnsi"/>
          <w:sz w:val="24"/>
        </w:rPr>
        <w:t xml:space="preserve">koordinaci mezinárodního zdraví. </w:t>
      </w:r>
    </w:p>
    <w:p w:rsidR="003E7EF0" w:rsidP="0D4C4CA9" w14:paraId="47D220C5" w14:textId="3BD94045">
      <w:pPr>
        <w:rPr>
          <w:sz w:val="24"/>
        </w:rPr>
      </w:pPr>
      <w:r w:rsidRPr="0D4C4CA9">
        <w:rPr>
          <w:sz w:val="24"/>
        </w:rPr>
        <w:t>Hlavními směry činnosti WHO je formulace zdravotní politiky a konzultační činnost dle potřeb členských států, odborná pomoc při vypracování národních zdravotnických strategií, sledování indikátorů zdravotního stavu populace a ukazatelů hodnotících zdravotnické systémy jednotlivých států, rozvoj a testování nových technologií a postupů pro kontrolu nemocí a</w:t>
      </w:r>
      <w:r w:rsidR="005D4D73">
        <w:rPr>
          <w:sz w:val="24"/>
        </w:rPr>
        <w:t> </w:t>
      </w:r>
      <w:r w:rsidRPr="0D4C4CA9">
        <w:rPr>
          <w:sz w:val="24"/>
        </w:rPr>
        <w:t>řízení zdravotní péče.</w:t>
      </w:r>
      <w:r w:rsidRPr="0D4C4CA9" w:rsidR="15313107">
        <w:rPr>
          <w:sz w:val="24"/>
        </w:rPr>
        <w:t xml:space="preserve"> </w:t>
      </w:r>
      <w:r w:rsidRPr="0D4C4CA9">
        <w:rPr>
          <w:sz w:val="24"/>
        </w:rPr>
        <w:t>WHO klade důraz na koncepční a strategickou spolupráci s</w:t>
      </w:r>
      <w:r w:rsidRPr="0D4C4CA9" w:rsidR="5A2823B7">
        <w:rPr>
          <w:sz w:val="24"/>
        </w:rPr>
        <w:t xml:space="preserve"> </w:t>
      </w:r>
      <w:r w:rsidRPr="0D4C4CA9">
        <w:rPr>
          <w:sz w:val="24"/>
        </w:rPr>
        <w:t>členskými státy, celosystémový přístup a naplňování cílů tří miliard</w:t>
      </w:r>
      <w:r>
        <w:rPr>
          <w:rStyle w:val="FootnoteReference"/>
          <w:sz w:val="24"/>
        </w:rPr>
        <w:footnoteReference w:id="14"/>
      </w:r>
      <w:r w:rsidRPr="0D4C4CA9">
        <w:rPr>
          <w:sz w:val="24"/>
        </w:rPr>
        <w:t xml:space="preserve">. </w:t>
      </w:r>
    </w:p>
    <w:p w:rsidR="00162018" w:rsidP="00162018" w14:paraId="71316902" w14:textId="20DA81FA">
      <w:pPr>
        <w:rPr>
          <w:sz w:val="24"/>
        </w:rPr>
      </w:pPr>
      <w:r>
        <w:rPr>
          <w:sz w:val="24"/>
        </w:rPr>
        <w:t>MZD</w:t>
      </w:r>
      <w:r>
        <w:rPr>
          <w:sz w:val="24"/>
        </w:rPr>
        <w:t xml:space="preserve"> uzavřelo v březnu 2024 s WHO strategii spolupráce na roky 2024-2030, která bude doplňována vždy dvouletými pracovními plány a stanoví priority vzájemné kooperace, jakými jsou např. ochrana veřejného zdraví, podpora zdravého životního stylu, posílení odolnosti zdravotnického systému, podpora digitalizace ve zdravotnictví ad. </w:t>
      </w:r>
    </w:p>
    <w:p w:rsidR="00162018" w:rsidP="0D4C4CA9" w14:paraId="1F9B3B29" w14:textId="77777777">
      <w:pPr>
        <w:rPr>
          <w:sz w:val="24"/>
        </w:rPr>
      </w:pPr>
    </w:p>
    <w:p w:rsidR="00832F78" w:rsidRPr="00A955AF" w:rsidP="0020565B" w14:paraId="5D40962C" w14:textId="357894E5">
      <w:pPr>
        <w:rPr>
          <w:rFonts w:cstheme="minorHAnsi"/>
          <w:sz w:val="24"/>
        </w:rPr>
      </w:pPr>
      <w:r w:rsidRPr="00A955AF">
        <w:rPr>
          <w:rFonts w:cstheme="minorHAnsi"/>
          <w:sz w:val="24"/>
        </w:rPr>
        <w:t>Česká republika se spolu s dalšími členskými státy Evropského regionu WHO, za podpory Regionální úřadovny WHO pro Evropu, Programu OSN pro životní prostředí (UNEP), Evropské hospodářské komise OSN (EHK OSN), EU a dalších mezivládních a nevládních organizací a</w:t>
      </w:r>
      <w:r w:rsidR="005D4D73">
        <w:rPr>
          <w:rFonts w:cstheme="minorHAnsi"/>
          <w:sz w:val="24"/>
        </w:rPr>
        <w:t> </w:t>
      </w:r>
      <w:r w:rsidRPr="00A955AF">
        <w:rPr>
          <w:rFonts w:cstheme="minorHAnsi"/>
          <w:sz w:val="24"/>
        </w:rPr>
        <w:t>agencií OSN, zavázala posílit a rozvíjet opatření ke zlepšení životního prostředí a zdraví prostřednictvím Deklarace šesté</w:t>
      </w:r>
      <w:r w:rsidR="00162018">
        <w:rPr>
          <w:rFonts w:cstheme="minorHAnsi"/>
          <w:sz w:val="24"/>
        </w:rPr>
        <w:t xml:space="preserve"> a sedmé</w:t>
      </w:r>
      <w:r w:rsidRPr="00A955AF">
        <w:rPr>
          <w:rFonts w:cstheme="minorHAnsi"/>
          <w:sz w:val="24"/>
        </w:rPr>
        <w:t xml:space="preserve"> ministerské konference o životním prostředí a zdraví (tzv. Ostravská deklarace</w:t>
      </w:r>
      <w:r w:rsidR="00162018">
        <w:rPr>
          <w:rFonts w:cstheme="minorHAnsi"/>
          <w:sz w:val="24"/>
        </w:rPr>
        <w:t>, Budapešťská deklarace</w:t>
      </w:r>
      <w:r w:rsidRPr="00A955AF">
        <w:rPr>
          <w:rFonts w:cstheme="minorHAnsi"/>
          <w:sz w:val="24"/>
        </w:rPr>
        <w:t>)</w:t>
      </w:r>
      <w:r w:rsidR="0020565B">
        <w:rPr>
          <w:rFonts w:cstheme="minorHAnsi"/>
          <w:sz w:val="24"/>
        </w:rPr>
        <w:t xml:space="preserve"> z roku 2017</w:t>
      </w:r>
      <w:r w:rsidR="00162018">
        <w:rPr>
          <w:rFonts w:cstheme="minorHAnsi"/>
          <w:sz w:val="24"/>
        </w:rPr>
        <w:t xml:space="preserve"> a 2023.</w:t>
      </w:r>
    </w:p>
    <w:p w:rsidR="00EF063A" w:rsidRPr="00A955AF" w:rsidP="00B64190" w14:paraId="11CDFD77" w14:textId="4BCE94C6">
      <w:pPr>
        <w:rPr>
          <w:rFonts w:cstheme="minorHAnsi"/>
          <w:sz w:val="24"/>
        </w:rPr>
      </w:pPr>
      <w:r w:rsidRPr="00A955AF">
        <w:rPr>
          <w:rFonts w:cstheme="minorHAnsi"/>
          <w:sz w:val="24"/>
        </w:rPr>
        <w:t>V souladu s</w:t>
      </w:r>
      <w:r w:rsidR="00162018">
        <w:rPr>
          <w:rFonts w:cstheme="minorHAnsi"/>
          <w:sz w:val="24"/>
        </w:rPr>
        <w:t> </w:t>
      </w:r>
      <w:r w:rsidRPr="00A955AF">
        <w:rPr>
          <w:rFonts w:cstheme="minorHAnsi"/>
          <w:sz w:val="24"/>
        </w:rPr>
        <w:t>Ostravskou</w:t>
      </w:r>
      <w:r w:rsidR="00162018">
        <w:rPr>
          <w:rFonts w:cstheme="minorHAnsi"/>
          <w:sz w:val="24"/>
        </w:rPr>
        <w:t xml:space="preserve"> a Budapešťskou</w:t>
      </w:r>
      <w:r w:rsidRPr="00A955AF">
        <w:rPr>
          <w:rFonts w:cstheme="minorHAnsi"/>
          <w:sz w:val="24"/>
        </w:rPr>
        <w:t xml:space="preserve"> deklarací </w:t>
      </w:r>
      <w:r w:rsidRPr="00A955AF" w:rsidR="00162018">
        <w:rPr>
          <w:rFonts w:cstheme="minorHAnsi"/>
          <w:sz w:val="24"/>
        </w:rPr>
        <w:t>vytv</w:t>
      </w:r>
      <w:r w:rsidR="00162018">
        <w:rPr>
          <w:rFonts w:cstheme="minorHAnsi"/>
          <w:sz w:val="24"/>
        </w:rPr>
        <w:t>ářejí</w:t>
      </w:r>
      <w:r w:rsidRPr="00A955AF" w:rsidR="00162018">
        <w:rPr>
          <w:rFonts w:cstheme="minorHAnsi"/>
          <w:sz w:val="24"/>
        </w:rPr>
        <w:t xml:space="preserve"> </w:t>
      </w:r>
      <w:r w:rsidRPr="00A955AF">
        <w:rPr>
          <w:rFonts w:cstheme="minorHAnsi"/>
          <w:sz w:val="24"/>
        </w:rPr>
        <w:t xml:space="preserve">členské státy WHO národní portfolia akcí, </w:t>
      </w:r>
      <w:r w:rsidRPr="00A955AF" w:rsidR="00432493">
        <w:rPr>
          <w:rFonts w:cstheme="minorHAnsi"/>
          <w:sz w:val="24"/>
        </w:rPr>
        <w:t>která </w:t>
      </w:r>
      <w:r w:rsidRPr="00A955AF">
        <w:rPr>
          <w:rFonts w:cstheme="minorHAnsi"/>
          <w:sz w:val="24"/>
        </w:rPr>
        <w:t>se</w:t>
      </w:r>
      <w:r w:rsidRPr="00A955AF" w:rsidR="0016591F">
        <w:rPr>
          <w:rFonts w:cstheme="minorHAnsi"/>
          <w:sz w:val="24"/>
        </w:rPr>
        <w:t> </w:t>
      </w:r>
      <w:r w:rsidRPr="00A955AF">
        <w:rPr>
          <w:rFonts w:cstheme="minorHAnsi"/>
          <w:sz w:val="24"/>
        </w:rPr>
        <w:t xml:space="preserve">zaměřují na jednotlivé priority, přičemž WHO bude měřit pokrok zemí v naplňování předepsaných cílů. Expertní skupina složená ze zástupců </w:t>
      </w:r>
      <w:r w:rsidR="0020565B">
        <w:rPr>
          <w:rFonts w:cstheme="minorHAnsi"/>
          <w:sz w:val="24"/>
        </w:rPr>
        <w:t>MZD</w:t>
      </w:r>
      <w:r w:rsidRPr="00A955AF">
        <w:rPr>
          <w:rFonts w:cstheme="minorHAnsi"/>
          <w:sz w:val="24"/>
        </w:rPr>
        <w:t xml:space="preserve">, </w:t>
      </w:r>
      <w:r w:rsidR="0020565B">
        <w:rPr>
          <w:rFonts w:cstheme="minorHAnsi"/>
          <w:sz w:val="24"/>
        </w:rPr>
        <w:t>MŽP</w:t>
      </w:r>
      <w:r w:rsidRPr="00A955AF">
        <w:rPr>
          <w:rFonts w:cstheme="minorHAnsi"/>
          <w:sz w:val="24"/>
        </w:rPr>
        <w:t>, a ve spolupráci s dalšími zúčastněnými subjekty, bude opatření v oblasti snížení negativních zdravotních dopadů spojených s</w:t>
      </w:r>
      <w:r w:rsidRPr="00A955AF" w:rsidR="0016591F">
        <w:rPr>
          <w:rFonts w:cstheme="minorHAnsi"/>
          <w:sz w:val="24"/>
        </w:rPr>
        <w:t> </w:t>
      </w:r>
      <w:r w:rsidRPr="00A955AF">
        <w:rPr>
          <w:rFonts w:cstheme="minorHAnsi"/>
          <w:sz w:val="24"/>
        </w:rPr>
        <w:t xml:space="preserve">environmentálními faktory </w:t>
      </w:r>
      <w:r w:rsidR="00AC56E6">
        <w:rPr>
          <w:rFonts w:cstheme="minorHAnsi"/>
          <w:sz w:val="24"/>
        </w:rPr>
        <w:t xml:space="preserve">a </w:t>
      </w:r>
      <w:r w:rsidRPr="00A955AF">
        <w:rPr>
          <w:rFonts w:cstheme="minorHAnsi"/>
          <w:sz w:val="24"/>
        </w:rPr>
        <w:t xml:space="preserve">obsažených v Národním portfoliu akcí </w:t>
      </w:r>
      <w:r w:rsidR="00162018">
        <w:rPr>
          <w:rFonts w:cstheme="minorHAnsi"/>
          <w:sz w:val="24"/>
        </w:rPr>
        <w:t>pravidelně</w:t>
      </w:r>
      <w:r w:rsidRPr="00A955AF">
        <w:rPr>
          <w:rFonts w:cstheme="minorHAnsi"/>
          <w:sz w:val="24"/>
        </w:rPr>
        <w:t xml:space="preserve"> přezkoumávat </w:t>
      </w:r>
      <w:r w:rsidRPr="00A955AF" w:rsidR="00432493">
        <w:rPr>
          <w:rFonts w:cstheme="minorHAnsi"/>
          <w:sz w:val="24"/>
        </w:rPr>
        <w:t>a </w:t>
      </w:r>
      <w:r w:rsidR="00AC56E6">
        <w:rPr>
          <w:rFonts w:cstheme="minorHAnsi"/>
          <w:sz w:val="24"/>
        </w:rPr>
        <w:t>po</w:t>
      </w:r>
      <w:r w:rsidRPr="00A955AF">
        <w:rPr>
          <w:rFonts w:cstheme="minorHAnsi"/>
          <w:sz w:val="24"/>
        </w:rPr>
        <w:t xml:space="preserve">dle rozhodnutí rozšiřovat či dále upravovat. Opatření obsažená v národních portfoliích akcí vycházejí z následujících priorit </w:t>
      </w:r>
      <w:r w:rsidR="00162018">
        <w:rPr>
          <w:rFonts w:cstheme="minorHAnsi"/>
          <w:sz w:val="24"/>
        </w:rPr>
        <w:t>Budapešťské</w:t>
      </w:r>
      <w:r w:rsidRPr="00A955AF" w:rsidR="00162018">
        <w:rPr>
          <w:rFonts w:cstheme="minorHAnsi"/>
          <w:sz w:val="24"/>
        </w:rPr>
        <w:t xml:space="preserve"> </w:t>
      </w:r>
      <w:r w:rsidRPr="00A955AF">
        <w:rPr>
          <w:rFonts w:cstheme="minorHAnsi"/>
          <w:sz w:val="24"/>
        </w:rPr>
        <w:t xml:space="preserve">deklarace: </w:t>
      </w:r>
    </w:p>
    <w:p w:rsidR="00162018" w:rsidRPr="00E96863" w:rsidP="003C7F59" w14:paraId="50FD1099" w14:textId="41FBF7B4">
      <w:pPr>
        <w:ind w:left="993"/>
        <w:rPr>
          <w:rFonts w:cstheme="minorHAnsi"/>
          <w:sz w:val="24"/>
        </w:rPr>
      </w:pPr>
      <w:r w:rsidRPr="00E96863">
        <w:rPr>
          <w:rFonts w:cstheme="minorHAnsi"/>
          <w:sz w:val="24"/>
        </w:rPr>
        <w:t>•</w:t>
      </w:r>
      <w:r w:rsidRPr="00E96863">
        <w:rPr>
          <w:rFonts w:cstheme="minorHAnsi"/>
          <w:sz w:val="24"/>
        </w:rPr>
        <w:tab/>
      </w:r>
      <w:r w:rsidRPr="00E96863">
        <w:rPr>
          <w:rFonts w:cstheme="minorHAnsi"/>
          <w:sz w:val="24"/>
        </w:rPr>
        <w:t>Stanovení priorit pro opatření k řešení nejnaléhavějších zdravotních problémů souvisejících se změnou klimatu, znečištěním a ztrátou biologické rozmanitosti</w:t>
      </w:r>
    </w:p>
    <w:p w:rsidR="00162018" w:rsidRPr="00E96863" w:rsidP="00162018" w14:paraId="17729E64" w14:textId="7A5A90C6">
      <w:pPr>
        <w:ind w:left="993"/>
        <w:rPr>
          <w:rFonts w:cstheme="minorHAnsi"/>
          <w:sz w:val="24"/>
        </w:rPr>
      </w:pPr>
      <w:r w:rsidRPr="00E96863">
        <w:rPr>
          <w:rFonts w:cstheme="minorHAnsi"/>
          <w:sz w:val="24"/>
        </w:rPr>
        <w:t>•</w:t>
      </w:r>
      <w:r w:rsidRPr="00E96863">
        <w:rPr>
          <w:rFonts w:cstheme="minorHAnsi"/>
          <w:sz w:val="24"/>
        </w:rPr>
        <w:tab/>
        <w:t>Klimatická změna</w:t>
      </w:r>
    </w:p>
    <w:p w:rsidR="00162018" w:rsidRPr="00E96863" w:rsidP="00162018" w14:paraId="23332FE2" w14:textId="77777777">
      <w:pPr>
        <w:ind w:left="993"/>
        <w:rPr>
          <w:rFonts w:cstheme="minorHAnsi"/>
          <w:sz w:val="24"/>
        </w:rPr>
      </w:pPr>
      <w:r w:rsidRPr="00E96863">
        <w:rPr>
          <w:rFonts w:cstheme="minorHAnsi"/>
          <w:sz w:val="24"/>
        </w:rPr>
        <w:t>•</w:t>
      </w:r>
      <w:r w:rsidRPr="00E96863">
        <w:rPr>
          <w:rFonts w:cstheme="minorHAnsi"/>
          <w:sz w:val="24"/>
        </w:rPr>
        <w:tab/>
        <w:t>Znečištění životního prostředí</w:t>
      </w:r>
    </w:p>
    <w:p w:rsidR="00162018" w:rsidRPr="00E96863" w:rsidP="00162018" w14:paraId="7DC0A480" w14:textId="77777777">
      <w:pPr>
        <w:ind w:left="993"/>
        <w:rPr>
          <w:rFonts w:cstheme="minorHAnsi"/>
          <w:sz w:val="24"/>
        </w:rPr>
      </w:pPr>
      <w:r w:rsidRPr="00E96863">
        <w:rPr>
          <w:rFonts w:cstheme="minorHAnsi"/>
          <w:sz w:val="24"/>
        </w:rPr>
        <w:t>•</w:t>
      </w:r>
      <w:r w:rsidRPr="00E96863">
        <w:rPr>
          <w:rFonts w:cstheme="minorHAnsi"/>
          <w:sz w:val="24"/>
        </w:rPr>
        <w:tab/>
        <w:t>Ztráta biologické rozmanitosti a degradace půdy</w:t>
      </w:r>
    </w:p>
    <w:p w:rsidR="00162018" w:rsidRPr="00E96863" w:rsidP="00162018" w14:paraId="6273B391" w14:textId="77777777">
      <w:pPr>
        <w:ind w:left="993"/>
        <w:rPr>
          <w:rFonts w:cstheme="minorHAnsi"/>
          <w:sz w:val="24"/>
        </w:rPr>
      </w:pPr>
      <w:r w:rsidRPr="00E96863">
        <w:rPr>
          <w:rFonts w:cstheme="minorHAnsi"/>
          <w:sz w:val="24"/>
        </w:rPr>
        <w:t>B.</w:t>
      </w:r>
      <w:r w:rsidRPr="00E96863">
        <w:rPr>
          <w:rFonts w:cstheme="minorHAnsi"/>
          <w:sz w:val="24"/>
        </w:rPr>
        <w:tab/>
        <w:t>Poskytování základních služeb a bezpečného zastavěného prostředí pro zdravé a odolné komunity</w:t>
      </w:r>
    </w:p>
    <w:p w:rsidR="00162018" w:rsidRPr="00E96863" w:rsidP="00162018" w14:paraId="0BBC9F44" w14:textId="77777777">
      <w:pPr>
        <w:ind w:left="993"/>
        <w:rPr>
          <w:rFonts w:cstheme="minorHAnsi"/>
          <w:sz w:val="24"/>
        </w:rPr>
      </w:pPr>
      <w:r w:rsidRPr="00E96863">
        <w:rPr>
          <w:rFonts w:cstheme="minorHAnsi"/>
          <w:sz w:val="24"/>
        </w:rPr>
        <w:t>•</w:t>
      </w:r>
      <w:r w:rsidRPr="00E96863">
        <w:rPr>
          <w:rFonts w:cstheme="minorHAnsi"/>
          <w:sz w:val="24"/>
        </w:rPr>
        <w:tab/>
        <w:t>Voda, sanitace a hygiena</w:t>
      </w:r>
    </w:p>
    <w:p w:rsidR="00162018" w:rsidRPr="00E96863" w:rsidP="00162018" w14:paraId="5E36A228" w14:textId="77777777">
      <w:pPr>
        <w:ind w:left="993"/>
        <w:rPr>
          <w:rFonts w:cstheme="minorHAnsi"/>
          <w:sz w:val="24"/>
        </w:rPr>
      </w:pPr>
      <w:r w:rsidRPr="00E96863">
        <w:rPr>
          <w:rFonts w:cstheme="minorHAnsi"/>
          <w:sz w:val="24"/>
        </w:rPr>
        <w:t>•</w:t>
      </w:r>
      <w:r w:rsidRPr="00E96863">
        <w:rPr>
          <w:rFonts w:cstheme="minorHAnsi"/>
          <w:sz w:val="24"/>
        </w:rPr>
        <w:tab/>
        <w:t>Odpad a kontaminovaná místa</w:t>
      </w:r>
    </w:p>
    <w:p w:rsidR="00162018" w:rsidRPr="00E96863" w:rsidP="00162018" w14:paraId="70F7CA0C" w14:textId="77777777">
      <w:pPr>
        <w:ind w:left="993"/>
        <w:rPr>
          <w:rFonts w:cstheme="minorHAnsi"/>
          <w:sz w:val="24"/>
        </w:rPr>
      </w:pPr>
      <w:r w:rsidRPr="00E96863">
        <w:rPr>
          <w:rFonts w:cstheme="minorHAnsi"/>
          <w:sz w:val="24"/>
        </w:rPr>
        <w:t>•</w:t>
      </w:r>
      <w:r w:rsidRPr="00E96863">
        <w:rPr>
          <w:rFonts w:cstheme="minorHAnsi"/>
          <w:sz w:val="24"/>
        </w:rPr>
        <w:tab/>
        <w:t>Doprava a mobilita</w:t>
      </w:r>
    </w:p>
    <w:p w:rsidR="00162018" w:rsidRPr="00E96863" w:rsidP="00162018" w14:paraId="6D0F0F50" w14:textId="77777777">
      <w:pPr>
        <w:ind w:left="993"/>
        <w:rPr>
          <w:rFonts w:cstheme="minorHAnsi"/>
          <w:sz w:val="24"/>
        </w:rPr>
      </w:pPr>
      <w:r w:rsidRPr="00E96863">
        <w:rPr>
          <w:rFonts w:cstheme="minorHAnsi"/>
          <w:sz w:val="24"/>
        </w:rPr>
        <w:t>•</w:t>
      </w:r>
      <w:r w:rsidRPr="00E96863">
        <w:rPr>
          <w:rFonts w:cstheme="minorHAnsi"/>
          <w:sz w:val="24"/>
        </w:rPr>
        <w:tab/>
        <w:t>Plánování zastavěných prostředí</w:t>
      </w:r>
    </w:p>
    <w:p w:rsidR="00162018" w:rsidRPr="00DE33D8" w:rsidP="00162018" w14:paraId="75CB720F" w14:textId="77777777">
      <w:pPr>
        <w:ind w:left="993"/>
        <w:rPr>
          <w:rFonts w:cstheme="minorHAnsi"/>
          <w:sz w:val="24"/>
        </w:rPr>
      </w:pPr>
      <w:r w:rsidRPr="00E96863">
        <w:rPr>
          <w:rFonts w:cstheme="minorHAnsi"/>
          <w:sz w:val="24"/>
        </w:rPr>
        <w:t>C.</w:t>
      </w:r>
      <w:r w:rsidRPr="00E96863">
        <w:rPr>
          <w:rFonts w:cstheme="minorHAnsi"/>
          <w:sz w:val="24"/>
        </w:rPr>
        <w:tab/>
        <w:t>Posílení správy, mezisektorové spolupráce, lidských zdrojů a znalostí pro zdraví a životní prostředí</w:t>
      </w:r>
    </w:p>
    <w:p w:rsidR="00162018" w:rsidP="00162018" w14:paraId="18E3AF59" w14:textId="415FFF1B">
      <w:pPr>
        <w:rPr>
          <w:rFonts w:cstheme="minorHAnsi"/>
          <w:sz w:val="24"/>
        </w:rPr>
      </w:pPr>
      <w:r w:rsidRPr="00B05768">
        <w:rPr>
          <w:rFonts w:cstheme="minorHAnsi"/>
          <w:sz w:val="24"/>
        </w:rPr>
        <w:t xml:space="preserve">Světové </w:t>
      </w:r>
      <w:r>
        <w:rPr>
          <w:rFonts w:cstheme="minorHAnsi"/>
          <w:sz w:val="24"/>
        </w:rPr>
        <w:t xml:space="preserve">zdravotnické shromáždění schválilo v květnu 2024 změny Mezinárodních zdravotnických předpisů, které byly aktualizovány ve světle pandemie </w:t>
      </w:r>
      <w:r w:rsidR="007B4D90">
        <w:rPr>
          <w:rFonts w:cstheme="minorHAnsi"/>
          <w:sz w:val="24"/>
        </w:rPr>
        <w:t>C</w:t>
      </w:r>
      <w:r>
        <w:rPr>
          <w:rFonts w:cstheme="minorHAnsi"/>
          <w:sz w:val="24"/>
        </w:rPr>
        <w:t xml:space="preserve">ovid-19. Zavádějí nově např. definici pandemické připravenosti, závazek smluvních stran k solidaritě a dodržování principů rovnosti mezi státy nebo vytvářejí národní autoritu pro IHR. V ČR podléhají změny ratifikaci, jelikož se jedná o smlouvu prezidentské kategorie. </w:t>
      </w:r>
    </w:p>
    <w:p w:rsidR="00162018" w:rsidRPr="00B05768" w:rsidP="00162018" w14:paraId="71CAB395" w14:textId="63E3DCC3">
      <w:pPr>
        <w:rPr>
          <w:rFonts w:cstheme="minorHAnsi"/>
        </w:rPr>
      </w:pPr>
      <w:r>
        <w:rPr>
          <w:rFonts w:cstheme="minorHAnsi"/>
          <w:sz w:val="24"/>
        </w:rPr>
        <w:t xml:space="preserve">Rovněž v návaznosti na pandemii </w:t>
      </w:r>
      <w:r w:rsidR="007B4D90">
        <w:rPr>
          <w:rFonts w:cstheme="minorHAnsi"/>
          <w:sz w:val="24"/>
        </w:rPr>
        <w:t>C</w:t>
      </w:r>
      <w:r>
        <w:rPr>
          <w:rFonts w:cstheme="minorHAnsi"/>
          <w:sz w:val="24"/>
        </w:rPr>
        <w:t xml:space="preserve">ovid-19 schválilo Světové zdravotnické shromáždění v květnu 2025 text Pandemické úmluvy. Úmluva stanoví opatření týkající se pandemické prevence, včetně zaměření se na interakci člověka se zvířaty a životním prostředím obecně. </w:t>
      </w:r>
      <w:r w:rsidRPr="00155B34">
        <w:rPr>
          <w:rFonts w:cstheme="minorHAnsi"/>
          <w:sz w:val="24"/>
        </w:rPr>
        <w:t> Dále napomůže posílit mezinárodní výzkum a vývoj a usnadnit vývoj nových diagnostik, léčiv a vakcín. Bude také možné rychleji mobilizovat mezinárodní zdroje, vč. lidských v podobě emergentních týmů, na zvládání zdravotnických krizí.</w:t>
      </w:r>
      <w:r>
        <w:rPr>
          <w:rFonts w:cstheme="minorHAnsi"/>
          <w:sz w:val="24"/>
        </w:rPr>
        <w:t xml:space="preserve"> Také Pandemická úmluva je smlouvou prezidentské kategorie a bude tak nutná její ratifikace. </w:t>
      </w:r>
    </w:p>
    <w:p w:rsidR="00162018" w:rsidP="00162018" w14:paraId="02569A5E" w14:textId="09727C1E">
      <w:pPr>
        <w:rPr>
          <w:rFonts w:cstheme="minorHAnsi"/>
          <w:color w:val="000000" w:themeColor="text1"/>
          <w:sz w:val="24"/>
        </w:rPr>
      </w:pPr>
      <w:bookmarkStart w:id="446" w:name="_Toc41565632"/>
      <w:bookmarkStart w:id="447" w:name="_Toc41566165"/>
      <w:bookmarkStart w:id="448" w:name="_Toc201690626"/>
      <w:bookmarkStart w:id="449" w:name="_Toc41565634"/>
      <w:bookmarkStart w:id="450" w:name="_Toc41566167"/>
      <w:bookmarkStart w:id="451" w:name="_Toc201690628"/>
      <w:bookmarkStart w:id="452" w:name="_Toc7705125"/>
      <w:bookmarkStart w:id="453" w:name="_Toc7705596"/>
      <w:bookmarkEnd w:id="446"/>
      <w:bookmarkEnd w:id="447"/>
      <w:bookmarkEnd w:id="448"/>
      <w:bookmarkEnd w:id="449"/>
      <w:bookmarkEnd w:id="450"/>
      <w:bookmarkEnd w:id="451"/>
      <w:r>
        <w:rPr>
          <w:rFonts w:cstheme="minorHAnsi"/>
          <w:color w:val="000000" w:themeColor="text1"/>
          <w:sz w:val="24"/>
        </w:rPr>
        <w:t>Regionální úřadovna WHO pro Evropu pak určila 4 vlajkové iniciativy, které představují její současné priority</w:t>
      </w:r>
      <w:r>
        <w:rPr>
          <w:rStyle w:val="FootnoteReference"/>
          <w:rFonts w:cstheme="minorHAnsi"/>
          <w:color w:val="000000" w:themeColor="text1"/>
          <w:sz w:val="24"/>
        </w:rPr>
        <w:footnoteReference w:id="15"/>
      </w:r>
      <w:r>
        <w:rPr>
          <w:rFonts w:cstheme="minorHAnsi"/>
          <w:color w:val="000000" w:themeColor="text1"/>
          <w:sz w:val="24"/>
        </w:rPr>
        <w:t>:</w:t>
      </w:r>
    </w:p>
    <w:p w:rsidR="00162018" w:rsidP="00162018" w14:paraId="4F6CB807" w14:textId="77777777">
      <w:pPr>
        <w:pStyle w:val="ListParagraph"/>
        <w:numPr>
          <w:ilvl w:val="0"/>
          <w:numId w:val="49"/>
        </w:numPr>
        <w:rPr>
          <w:rFonts w:cstheme="minorHAnsi"/>
          <w:color w:val="000000" w:themeColor="text1"/>
          <w:sz w:val="24"/>
        </w:rPr>
      </w:pPr>
      <w:r w:rsidRPr="002C6FC2">
        <w:rPr>
          <w:rFonts w:cstheme="minorHAnsi"/>
          <w:color w:val="000000" w:themeColor="text1"/>
          <w:sz w:val="24"/>
        </w:rPr>
        <w:t>Panevropská koalice pro duševní zdraví</w:t>
      </w:r>
      <w:r>
        <w:rPr>
          <w:rFonts w:cstheme="minorHAnsi"/>
          <w:color w:val="000000" w:themeColor="text1"/>
          <w:sz w:val="24"/>
        </w:rPr>
        <w:t xml:space="preserve"> – vznikla v reakci na skutečnost, že v evropském regionu WHO žilo v roce 2019 více než 125 milionů osob s duševním onemocněním, přičemž mnoho z nich bylo bez přístupu k příslušné zdravotní péči. Klíčovými prioritami koalice je transformace péče o duševní zdraví, podpora duševního zdraví a prevence duševních nemocí v průběhu celého života. </w:t>
      </w:r>
    </w:p>
    <w:p w:rsidR="00162018" w:rsidP="00162018" w14:paraId="18DCC102" w14:textId="77777777">
      <w:pPr>
        <w:pStyle w:val="ListParagraph"/>
        <w:numPr>
          <w:ilvl w:val="0"/>
          <w:numId w:val="49"/>
        </w:numPr>
        <w:rPr>
          <w:rFonts w:cstheme="minorHAnsi"/>
          <w:color w:val="000000" w:themeColor="text1"/>
          <w:sz w:val="24"/>
        </w:rPr>
      </w:pPr>
      <w:r w:rsidRPr="00C828D8">
        <w:rPr>
          <w:rFonts w:cstheme="minorHAnsi"/>
          <w:color w:val="000000" w:themeColor="text1"/>
          <w:sz w:val="24"/>
        </w:rPr>
        <w:t>Posílení prostřednictvím digitálního zdraví – tato iniciativa doplňuje a uvádí do provozu návrh globální strategie WHO pro digitální zdraví a vyplňuje mezery v zastřešujících rámcích digitalizace v evropském regionu, které brání rychlému zavádění inovativních digitálních řešení.</w:t>
      </w:r>
      <w:r w:rsidRPr="00C828D8">
        <w:t xml:space="preserve"> </w:t>
      </w:r>
      <w:r>
        <w:rPr>
          <w:rFonts w:cstheme="minorHAnsi"/>
          <w:color w:val="000000" w:themeColor="text1"/>
          <w:sz w:val="24"/>
        </w:rPr>
        <w:t>Hlavními úkoly je</w:t>
      </w:r>
      <w:r w:rsidRPr="00C828D8">
        <w:rPr>
          <w:rFonts w:cstheme="minorHAnsi"/>
          <w:color w:val="000000" w:themeColor="text1"/>
          <w:sz w:val="24"/>
        </w:rPr>
        <w:t xml:space="preserve"> poskyt</w:t>
      </w:r>
      <w:r>
        <w:rPr>
          <w:rFonts w:cstheme="minorHAnsi"/>
          <w:color w:val="000000" w:themeColor="text1"/>
          <w:sz w:val="24"/>
        </w:rPr>
        <w:t>ování</w:t>
      </w:r>
      <w:r w:rsidRPr="00C828D8">
        <w:rPr>
          <w:rFonts w:cstheme="minorHAnsi"/>
          <w:color w:val="000000" w:themeColor="text1"/>
          <w:sz w:val="24"/>
        </w:rPr>
        <w:t xml:space="preserve"> technické a politické po</w:t>
      </w:r>
      <w:r>
        <w:rPr>
          <w:rFonts w:cstheme="minorHAnsi"/>
          <w:color w:val="000000" w:themeColor="text1"/>
          <w:sz w:val="24"/>
        </w:rPr>
        <w:t>dpory</w:t>
      </w:r>
      <w:r w:rsidRPr="00C828D8">
        <w:rPr>
          <w:rFonts w:cstheme="minorHAnsi"/>
          <w:color w:val="000000" w:themeColor="text1"/>
          <w:sz w:val="24"/>
        </w:rPr>
        <w:t xml:space="preserve"> a</w:t>
      </w:r>
      <w:r>
        <w:rPr>
          <w:rFonts w:cstheme="minorHAnsi"/>
          <w:color w:val="000000" w:themeColor="text1"/>
          <w:sz w:val="24"/>
        </w:rPr>
        <w:t> </w:t>
      </w:r>
      <w:r w:rsidRPr="00C828D8">
        <w:rPr>
          <w:rFonts w:cstheme="minorHAnsi"/>
          <w:color w:val="000000" w:themeColor="text1"/>
          <w:sz w:val="24"/>
        </w:rPr>
        <w:t>odborn</w:t>
      </w:r>
      <w:r>
        <w:rPr>
          <w:rFonts w:cstheme="minorHAnsi"/>
          <w:color w:val="000000" w:themeColor="text1"/>
          <w:sz w:val="24"/>
        </w:rPr>
        <w:t>ých</w:t>
      </w:r>
      <w:r w:rsidRPr="00C828D8">
        <w:rPr>
          <w:rFonts w:cstheme="minorHAnsi"/>
          <w:color w:val="000000" w:themeColor="text1"/>
          <w:sz w:val="24"/>
        </w:rPr>
        <w:t xml:space="preserve"> znalost</w:t>
      </w:r>
      <w:r>
        <w:rPr>
          <w:rFonts w:cstheme="minorHAnsi"/>
          <w:color w:val="000000" w:themeColor="text1"/>
          <w:sz w:val="24"/>
        </w:rPr>
        <w:t>í</w:t>
      </w:r>
      <w:r w:rsidRPr="00C828D8">
        <w:rPr>
          <w:rFonts w:cstheme="minorHAnsi"/>
          <w:color w:val="000000" w:themeColor="text1"/>
          <w:sz w:val="24"/>
        </w:rPr>
        <w:t xml:space="preserve"> o bezpečnosti a účinnosti řešení digitálního zdraví; a zachování rovnosti ve zdraví, rovnosti pohlaví, rovnosti a lidských práv jako základních hodnot při jejich zavádění.</w:t>
      </w:r>
    </w:p>
    <w:p w:rsidR="00162018" w:rsidP="00162018" w14:paraId="67E539BF" w14:textId="77777777">
      <w:pPr>
        <w:pStyle w:val="ListParagraph"/>
        <w:numPr>
          <w:ilvl w:val="0"/>
          <w:numId w:val="49"/>
        </w:numPr>
        <w:rPr>
          <w:rFonts w:cstheme="minorHAnsi"/>
          <w:color w:val="000000" w:themeColor="text1"/>
          <w:sz w:val="24"/>
        </w:rPr>
      </w:pPr>
      <w:r>
        <w:rPr>
          <w:rFonts w:cstheme="minorHAnsi"/>
          <w:color w:val="000000" w:themeColor="text1"/>
          <w:sz w:val="24"/>
        </w:rPr>
        <w:t xml:space="preserve">Evropská imunizační agenda 2030- strategie, která se zaměřuje na posílení vnitrostátních očkovacích politik, posílení spolupráce napříč institucemi a organizacemi na všech úrovních, poskytování podpory členským státům v oblastech dohledu nad šířením nemocí, reakcí na ohniska nemocí, kontrole bezpečnosti vakcín, komunikaci a zavádění nových vakcín atp. </w:t>
      </w:r>
    </w:p>
    <w:p w:rsidR="00162018" w:rsidP="003C7F59" w14:paraId="315EAB22" w14:textId="653FC7A3">
      <w:pPr>
        <w:pStyle w:val="ListParagraph"/>
        <w:numPr>
          <w:ilvl w:val="0"/>
          <w:numId w:val="49"/>
        </w:numPr>
        <w:rPr>
          <w:rFonts w:cstheme="minorHAnsi"/>
          <w:color w:val="000000" w:themeColor="text1"/>
          <w:sz w:val="24"/>
        </w:rPr>
      </w:pPr>
      <w:r>
        <w:rPr>
          <w:rFonts w:cstheme="minorHAnsi"/>
          <w:color w:val="000000" w:themeColor="text1"/>
          <w:sz w:val="24"/>
        </w:rPr>
        <w:t>Z</w:t>
      </w:r>
      <w:r w:rsidRPr="00C828D8">
        <w:rPr>
          <w:rFonts w:cstheme="minorHAnsi"/>
          <w:color w:val="000000" w:themeColor="text1"/>
          <w:sz w:val="24"/>
        </w:rPr>
        <w:t>dravější chování: začlenění behaviorálních a kulturních poznatků</w:t>
      </w:r>
      <w:r>
        <w:rPr>
          <w:rFonts w:cstheme="minorHAnsi"/>
          <w:color w:val="000000" w:themeColor="text1"/>
          <w:sz w:val="24"/>
        </w:rPr>
        <w:t xml:space="preserve"> – iniciativa si klade za cíl reflektovat sociální</w:t>
      </w:r>
      <w:r w:rsidRPr="00C828D8">
        <w:rPr>
          <w:rFonts w:cstheme="minorHAnsi"/>
          <w:color w:val="000000" w:themeColor="text1"/>
          <w:sz w:val="24"/>
        </w:rPr>
        <w:t>, behaviorální a kulturní faktory ke zlepšení zdravotní gramotnosti</w:t>
      </w:r>
      <w:r>
        <w:rPr>
          <w:rFonts w:cstheme="minorHAnsi"/>
          <w:color w:val="000000" w:themeColor="text1"/>
          <w:sz w:val="24"/>
        </w:rPr>
        <w:t xml:space="preserve"> obyvatel. </w:t>
      </w:r>
      <w:r w:rsidRPr="009900C8">
        <w:rPr>
          <w:rFonts w:cstheme="minorHAnsi"/>
          <w:color w:val="000000" w:themeColor="text1"/>
          <w:sz w:val="24"/>
        </w:rPr>
        <w:t xml:space="preserve">Zapojením oborů mimo biomedicínskou sféru, včetně společenských věd a humanitních lékařských věd, tato iniciativa pomůže zlepšit způsob, jakým </w:t>
      </w:r>
      <w:r>
        <w:rPr>
          <w:rFonts w:cstheme="minorHAnsi"/>
          <w:color w:val="000000" w:themeColor="text1"/>
          <w:sz w:val="24"/>
        </w:rPr>
        <w:t>zdravotní politiky členských států</w:t>
      </w:r>
      <w:r w:rsidRPr="009900C8">
        <w:rPr>
          <w:rFonts w:cstheme="minorHAnsi"/>
          <w:color w:val="000000" w:themeColor="text1"/>
          <w:sz w:val="24"/>
        </w:rPr>
        <w:t xml:space="preserve"> služby reagují na očekávání jejich občanů ohledně ohleduplné péče zaměřené na lidi.</w:t>
      </w:r>
    </w:p>
    <w:p w:rsidR="004433F0" w:rsidRPr="003C7F59" w:rsidP="004433F0" w14:paraId="1DD2337B" w14:textId="77777777">
      <w:pPr>
        <w:pStyle w:val="ListParagraph"/>
        <w:numPr>
          <w:ilvl w:val="0"/>
          <w:numId w:val="0"/>
        </w:numPr>
        <w:ind w:left="720"/>
        <w:rPr>
          <w:rFonts w:cstheme="minorHAnsi"/>
          <w:color w:val="000000" w:themeColor="text1"/>
          <w:sz w:val="24"/>
        </w:rPr>
      </w:pPr>
    </w:p>
    <w:p w:rsidR="00DD596F" w:rsidRPr="00A458DB" w:rsidP="00A458DB" w14:paraId="5249CC77" w14:textId="0E2A4EBD">
      <w:pPr>
        <w:pStyle w:val="Bntext"/>
        <w:ind w:firstLine="0"/>
        <w:rPr>
          <w:b/>
          <w:bCs/>
          <w:sz w:val="24"/>
          <w:szCs w:val="28"/>
        </w:rPr>
      </w:pPr>
      <w:bookmarkStart w:id="454" w:name="_Toc201690629"/>
      <w:bookmarkStart w:id="455" w:name="_Toc201691348"/>
      <w:bookmarkStart w:id="456" w:name="_Toc203386437"/>
      <w:r w:rsidRPr="00A458DB">
        <w:rPr>
          <w:b/>
          <w:bCs/>
          <w:sz w:val="24"/>
          <w:szCs w:val="28"/>
        </w:rPr>
        <w:t>Cíle udržitelného rozvoje</w:t>
      </w:r>
      <w:bookmarkEnd w:id="452"/>
      <w:bookmarkEnd w:id="453"/>
      <w:bookmarkEnd w:id="454"/>
      <w:bookmarkEnd w:id="455"/>
      <w:bookmarkEnd w:id="456"/>
      <w:r w:rsidRPr="00A458DB">
        <w:rPr>
          <w:b/>
          <w:bCs/>
          <w:sz w:val="24"/>
          <w:szCs w:val="28"/>
        </w:rPr>
        <w:t xml:space="preserve"> </w:t>
      </w:r>
    </w:p>
    <w:p w:rsidR="00457D1D" w:rsidRPr="00A955AF" w:rsidP="00477A42" w14:paraId="7435E54B" w14:textId="25EDF4E5">
      <w:pPr>
        <w:rPr>
          <w:rFonts w:cs="Times New Roman"/>
          <w:b/>
          <w:sz w:val="24"/>
        </w:rPr>
      </w:pPr>
      <w:r w:rsidRPr="00A955AF">
        <w:rPr>
          <w:rFonts w:cstheme="minorHAnsi"/>
          <w:sz w:val="24"/>
        </w:rPr>
        <w:t xml:space="preserve">V červnu 2012 </w:t>
      </w:r>
      <w:r w:rsidRPr="00AC56E6">
        <w:rPr>
          <w:rFonts w:cstheme="minorHAnsi"/>
          <w:sz w:val="24"/>
        </w:rPr>
        <w:t>se v Rio de Janeiru konala</w:t>
      </w:r>
      <w:r w:rsidRPr="00A955AF">
        <w:rPr>
          <w:rFonts w:cstheme="minorHAnsi"/>
          <w:sz w:val="24"/>
        </w:rPr>
        <w:t xml:space="preserve"> konference OSN (Konference Rio+20), na které započala formulace </w:t>
      </w:r>
      <w:r w:rsidRPr="00A955AF">
        <w:rPr>
          <w:rFonts w:cstheme="minorHAnsi"/>
          <w:b/>
          <w:sz w:val="24"/>
        </w:rPr>
        <w:t>Cílů udržitelného rozvoje</w:t>
      </w:r>
      <w:r w:rsidRPr="00A955AF">
        <w:rPr>
          <w:rFonts w:cstheme="minorHAnsi"/>
          <w:sz w:val="24"/>
        </w:rPr>
        <w:t xml:space="preserve"> (dále jen „SDGs“), na které se podílely všechny členské státy OSN, zástupci občanské společnosti, podnikatelské sféry, akademické obce i</w:t>
      </w:r>
      <w:r w:rsidRPr="00A955AF" w:rsidR="008A1A44">
        <w:rPr>
          <w:rFonts w:cstheme="minorHAnsi"/>
          <w:sz w:val="24"/>
        </w:rPr>
        <w:t> </w:t>
      </w:r>
      <w:r w:rsidRPr="00A955AF">
        <w:rPr>
          <w:rFonts w:cstheme="minorHAnsi"/>
          <w:sz w:val="24"/>
        </w:rPr>
        <w:t xml:space="preserve">občané ze všech kontinentů. 17 SDGs představuje program rozvoje na </w:t>
      </w:r>
      <w:r w:rsidR="00AC56E6">
        <w:rPr>
          <w:rFonts w:cstheme="minorHAnsi"/>
          <w:sz w:val="24"/>
        </w:rPr>
        <w:t>patnáct</w:t>
      </w:r>
      <w:r w:rsidRPr="00A955AF" w:rsidR="00AC56E6">
        <w:rPr>
          <w:rFonts w:cstheme="minorHAnsi"/>
          <w:sz w:val="24"/>
        </w:rPr>
        <w:t xml:space="preserve"> </w:t>
      </w:r>
      <w:r w:rsidRPr="00A955AF">
        <w:rPr>
          <w:rFonts w:cstheme="minorHAnsi"/>
          <w:sz w:val="24"/>
        </w:rPr>
        <w:t>let (2015–2030) a</w:t>
      </w:r>
      <w:r w:rsidRPr="00A955AF" w:rsidR="009F13CC">
        <w:rPr>
          <w:rFonts w:cstheme="minorHAnsi"/>
          <w:sz w:val="24"/>
        </w:rPr>
        <w:t> </w:t>
      </w:r>
      <w:r w:rsidRPr="00A955AF">
        <w:rPr>
          <w:rFonts w:cstheme="minorHAnsi"/>
          <w:sz w:val="24"/>
        </w:rPr>
        <w:t>navazuje na úspěšnou agendu Rozvojových cílů tisíciletí (MDGs</w:t>
      </w:r>
      <w:r w:rsidRPr="00A955AF">
        <w:rPr>
          <w:sz w:val="24"/>
        </w:rPr>
        <w:t>).</w:t>
      </w:r>
    </w:p>
    <w:p w:rsidR="00283AA2" w:rsidRPr="00A955AF" w:rsidP="00477A42" w14:paraId="52AA55F2" w14:textId="77777777">
      <w:pPr>
        <w:rPr>
          <w:sz w:val="24"/>
        </w:rPr>
      </w:pPr>
      <w:r w:rsidRPr="00A955AF">
        <w:rPr>
          <w:sz w:val="24"/>
        </w:rPr>
        <w:t>V roce 2015 přijalo Valné shromáždění OSN na svém zasedání v New Yorku Agendu udržitelného rozvoje (dále jen „</w:t>
      </w:r>
      <w:r w:rsidRPr="00A955AF">
        <w:rPr>
          <w:i/>
          <w:sz w:val="24"/>
        </w:rPr>
        <w:t>Agenda 2030</w:t>
      </w:r>
      <w:r w:rsidRPr="00A955AF">
        <w:rPr>
          <w:sz w:val="24"/>
        </w:rPr>
        <w:t xml:space="preserve">“), která představuje nový globální program rozvoje do roku 2030 a obsahuje i finální podobu SDGs. </w:t>
      </w:r>
    </w:p>
    <w:p w:rsidR="00C53CE3" w:rsidP="00477A42" w14:paraId="435CF245" w14:textId="7F70FAB4">
      <w:pPr>
        <w:pStyle w:val="Default"/>
        <w:spacing w:before="120" w:after="120"/>
        <w:jc w:val="both"/>
        <w:rPr>
          <w:rFonts w:asciiTheme="minorHAnsi" w:hAnsiTheme="minorHAnsi"/>
          <w:color w:val="auto"/>
        </w:rPr>
      </w:pPr>
      <w:r w:rsidRPr="00A955AF">
        <w:rPr>
          <w:rFonts w:asciiTheme="minorHAnsi" w:hAnsiTheme="minorHAnsi"/>
        </w:rPr>
        <w:t xml:space="preserve">Jedná se o </w:t>
      </w:r>
      <w:r w:rsidR="00AC56E6">
        <w:rPr>
          <w:rFonts w:asciiTheme="minorHAnsi" w:hAnsiTheme="minorHAnsi"/>
        </w:rPr>
        <w:t>sedmnáct</w:t>
      </w:r>
      <w:r w:rsidRPr="00A955AF" w:rsidR="00AC56E6">
        <w:rPr>
          <w:rFonts w:asciiTheme="minorHAnsi" w:hAnsiTheme="minorHAnsi"/>
        </w:rPr>
        <w:t xml:space="preserve"> </w:t>
      </w:r>
      <w:r w:rsidRPr="00A955AF">
        <w:rPr>
          <w:rFonts w:asciiTheme="minorHAnsi" w:hAnsiTheme="minorHAnsi"/>
        </w:rPr>
        <w:t>hlavních SDGs rozdělených na celkem 169 podcílů</w:t>
      </w:r>
      <w:r w:rsidRPr="00A955AF">
        <w:rPr>
          <w:rFonts w:asciiTheme="minorHAnsi" w:hAnsiTheme="minorHAnsi"/>
          <w:color w:val="auto"/>
        </w:rPr>
        <w:t xml:space="preserve">. </w:t>
      </w:r>
    </w:p>
    <w:p w:rsidR="004433F0" w:rsidP="00477A42" w14:paraId="7016833A" w14:textId="77777777">
      <w:pPr>
        <w:pStyle w:val="Default"/>
        <w:spacing w:before="120" w:after="120"/>
        <w:jc w:val="both"/>
        <w:rPr>
          <w:rFonts w:asciiTheme="minorHAnsi" w:hAnsiTheme="minorHAnsi"/>
          <w:color w:val="auto"/>
        </w:rPr>
      </w:pPr>
    </w:p>
    <w:p w:rsidR="004B7078" w:rsidRPr="00A955AF" w:rsidP="004433F0" w14:paraId="177951BF" w14:textId="11BD101B">
      <w:pPr>
        <w:pStyle w:val="Caption"/>
        <w:rPr>
          <w:color w:val="auto"/>
        </w:rPr>
      </w:pPr>
      <w:bookmarkStart w:id="457" w:name="_Toc205306773"/>
      <w:r>
        <w:t xml:space="preserve">Obrázek </w:t>
      </w:r>
      <w:r>
        <w:fldChar w:fldCharType="begin"/>
      </w:r>
      <w:r>
        <w:instrText xml:space="preserve"> SEQ Obrázek \* ARABIC </w:instrText>
      </w:r>
      <w:r>
        <w:fldChar w:fldCharType="separate"/>
      </w:r>
      <w:r>
        <w:t>1</w:t>
      </w:r>
      <w:r>
        <w:fldChar w:fldCharType="end"/>
      </w:r>
      <w:r>
        <w:t xml:space="preserve"> </w:t>
      </w:r>
      <w:r w:rsidRPr="00A27AB9">
        <w:t>17 SDG</w:t>
      </w:r>
      <w:r>
        <w:t>´</w:t>
      </w:r>
      <w:r w:rsidRPr="00A27AB9">
        <w:t>s pro udržitelný rozvoj</w:t>
      </w:r>
      <w:bookmarkEnd w:id="457"/>
    </w:p>
    <w:p w:rsidR="00457D1D" w:rsidP="00457D1D" w14:paraId="5019C9B1" w14:textId="03183A4A">
      <w:pPr>
        <w:jc w:val="center"/>
      </w:pPr>
      <w:r w:rsidRPr="00A955AF">
        <w:rPr>
          <w:noProof/>
          <w:lang w:eastAsia="cs-CZ"/>
        </w:rPr>
        <w:drawing>
          <wp:inline distT="0" distB="0" distL="0" distR="0">
            <wp:extent cx="4872355" cy="3684905"/>
            <wp:effectExtent l="0" t="0" r="444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3"/>
                    <pic:cNvPicPr>
                      <a:picLocks noChangeAspect="1" noChangeArrowheads="1"/>
                    </pic:cNvPicPr>
                  </pic:nvPicPr>
                  <pic:blipFill>
                    <a:blip xmlns:r="http://schemas.openxmlformats.org/officeDocument/2006/relationships" r:embed="rId18">
                      <a:extLst>
                        <a:ext xmlns:a="http://schemas.openxmlformats.org/drawingml/2006/main" uri="{28A0092B-C50C-407E-A947-70E740481C1C}">
                          <a14:useLocalDpi xmlns:a14="http://schemas.microsoft.com/office/drawing/2010/main" val="0"/>
                        </a:ext>
                      </a:extLst>
                    </a:blip>
                    <a:stretch>
                      <a:fillRect/>
                    </a:stretch>
                  </pic:blipFill>
                  <pic:spPr bwMode="auto">
                    <a:xfrm>
                      <a:off x="0" y="0"/>
                      <a:ext cx="4872355" cy="3684905"/>
                    </a:xfrm>
                    <a:prstGeom prst="rect">
                      <a:avLst/>
                    </a:prstGeom>
                    <a:noFill/>
                    <a:ln>
                      <a:noFill/>
                    </a:ln>
                  </pic:spPr>
                </pic:pic>
              </a:graphicData>
            </a:graphic>
          </wp:inline>
        </w:drawing>
      </w:r>
    </w:p>
    <w:p w:rsidR="00CD43C4" w:rsidRPr="00CD43C4" w:rsidP="00CD43C4" w14:paraId="0EE665E1" w14:textId="71454A1A">
      <w:pPr>
        <w:pStyle w:val="Default"/>
        <w:spacing w:before="120" w:after="120"/>
        <w:jc w:val="both"/>
        <w:rPr>
          <w:rFonts w:asciiTheme="minorHAnsi" w:hAnsiTheme="minorHAnsi" w:cstheme="minorHAnsi"/>
          <w:sz w:val="20"/>
        </w:rPr>
      </w:pPr>
      <w:r>
        <w:rPr>
          <w:rFonts w:asciiTheme="minorHAnsi" w:hAnsiTheme="minorHAnsi" w:cstheme="minorHAnsi"/>
          <w:color w:val="auto"/>
          <w:sz w:val="20"/>
        </w:rPr>
        <w:t>Zdroj: OSN</w:t>
      </w:r>
      <w:r>
        <w:rPr>
          <w:rStyle w:val="FootnoteReference"/>
          <w:rFonts w:asciiTheme="minorHAnsi" w:hAnsiTheme="minorHAnsi" w:cstheme="minorHAnsi"/>
          <w:sz w:val="20"/>
        </w:rPr>
        <w:footnoteReference w:id="16"/>
      </w:r>
    </w:p>
    <w:p w:rsidR="00CD43C4" w:rsidRPr="00A955AF" w:rsidP="00457D1D" w14:paraId="5380CA86" w14:textId="77777777">
      <w:pPr>
        <w:jc w:val="center"/>
      </w:pPr>
    </w:p>
    <w:p w:rsidR="00AB07B5" w:rsidRPr="00A955AF" w:rsidP="00AB07B5" w14:paraId="1443ED40" w14:textId="11913D2F">
      <w:pPr>
        <w:rPr>
          <w:rFonts w:cstheme="minorHAnsi"/>
          <w:bCs/>
          <w:sz w:val="24"/>
        </w:rPr>
      </w:pPr>
      <w:r w:rsidRPr="00A955AF">
        <w:rPr>
          <w:rFonts w:cstheme="minorHAnsi"/>
          <w:sz w:val="24"/>
        </w:rPr>
        <w:t>Přijetím Agendy 2030 se Č</w:t>
      </w:r>
      <w:r w:rsidRPr="00A955AF" w:rsidR="00FC5921">
        <w:rPr>
          <w:rFonts w:cstheme="minorHAnsi"/>
          <w:sz w:val="24"/>
        </w:rPr>
        <w:t xml:space="preserve">R </w:t>
      </w:r>
      <w:r w:rsidRPr="00A955AF">
        <w:rPr>
          <w:rFonts w:cstheme="minorHAnsi"/>
          <w:sz w:val="24"/>
        </w:rPr>
        <w:t xml:space="preserve">zavázala k monitorování naplňování jednotlivých podcílů. Oblasti zdravotnictví se týká </w:t>
      </w:r>
      <w:r w:rsidRPr="00A955AF">
        <w:rPr>
          <w:rFonts w:cstheme="minorHAnsi"/>
          <w:b/>
          <w:bCs/>
          <w:sz w:val="24"/>
        </w:rPr>
        <w:t xml:space="preserve">SDG 3: </w:t>
      </w:r>
      <w:r w:rsidRPr="00A955AF" w:rsidR="008A1A44">
        <w:rPr>
          <w:rFonts w:cstheme="minorHAnsi"/>
          <w:b/>
          <w:bCs/>
          <w:sz w:val="24"/>
        </w:rPr>
        <w:t>„</w:t>
      </w:r>
      <w:r w:rsidRPr="00A955AF">
        <w:rPr>
          <w:rFonts w:cstheme="minorHAnsi"/>
          <w:b/>
          <w:bCs/>
          <w:i/>
          <w:sz w:val="24"/>
        </w:rPr>
        <w:t>Zajistit zdravý život a zvyšovat jeho kvalitu pro všechny v</w:t>
      </w:r>
      <w:r w:rsidRPr="00A955AF" w:rsidR="008A1A44">
        <w:rPr>
          <w:rFonts w:cstheme="minorHAnsi"/>
          <w:b/>
          <w:bCs/>
          <w:i/>
          <w:sz w:val="24"/>
        </w:rPr>
        <w:t> </w:t>
      </w:r>
      <w:r w:rsidRPr="00A955AF">
        <w:rPr>
          <w:rFonts w:cstheme="minorHAnsi"/>
          <w:b/>
          <w:bCs/>
          <w:i/>
          <w:sz w:val="24"/>
        </w:rPr>
        <w:t>jakémkoli věku</w:t>
      </w:r>
      <w:r w:rsidRPr="00A955AF" w:rsidR="008A1A44">
        <w:rPr>
          <w:rFonts w:cstheme="minorHAnsi"/>
          <w:b/>
          <w:bCs/>
          <w:sz w:val="24"/>
        </w:rPr>
        <w:t>“</w:t>
      </w:r>
      <w:r w:rsidRPr="00A955AF">
        <w:rPr>
          <w:rFonts w:cstheme="minorHAnsi"/>
          <w:bCs/>
          <w:sz w:val="24"/>
        </w:rPr>
        <w:t xml:space="preserve">, přičemž ne všechny uvedené podcíle jsou pro </w:t>
      </w:r>
      <w:r w:rsidRPr="00A955AF" w:rsidR="004B7078">
        <w:rPr>
          <w:rFonts w:cstheme="minorHAnsi"/>
          <w:bCs/>
          <w:sz w:val="24"/>
        </w:rPr>
        <w:t>ČR</w:t>
      </w:r>
      <w:r w:rsidRPr="00A955AF">
        <w:rPr>
          <w:rFonts w:cstheme="minorHAnsi"/>
          <w:bCs/>
          <w:sz w:val="24"/>
        </w:rPr>
        <w:t xml:space="preserve"> relevantní.</w:t>
      </w:r>
      <w:r w:rsidRPr="00A955AF">
        <w:rPr>
          <w:rFonts w:cstheme="minorHAnsi"/>
          <w:b/>
          <w:bCs/>
          <w:sz w:val="24"/>
        </w:rPr>
        <w:t xml:space="preserve"> </w:t>
      </w:r>
      <w:r w:rsidRPr="00A955AF">
        <w:rPr>
          <w:rFonts w:cstheme="minorHAnsi"/>
          <w:bCs/>
          <w:sz w:val="24"/>
        </w:rPr>
        <w:t>Hlavním gestorem tohoto cíle je MZ</w:t>
      </w:r>
      <w:r w:rsidR="0020565B">
        <w:rPr>
          <w:rFonts w:cstheme="minorHAnsi"/>
          <w:bCs/>
          <w:sz w:val="24"/>
        </w:rPr>
        <w:t>D</w:t>
      </w:r>
      <w:r w:rsidRPr="00A955AF">
        <w:rPr>
          <w:rFonts w:cstheme="minorHAnsi"/>
          <w:bCs/>
          <w:sz w:val="24"/>
        </w:rPr>
        <w:t xml:space="preserve"> a spolugesce byla určena resortům MZe, MŽP, MŠMT, MZV, MV, ÚV, MPO. Z Agendy 2030 vychází </w:t>
      </w:r>
      <w:r w:rsidRPr="00A955AF" w:rsidR="004A7335">
        <w:rPr>
          <w:rFonts w:cstheme="minorHAnsi"/>
          <w:bCs/>
          <w:sz w:val="24"/>
        </w:rPr>
        <w:t>S</w:t>
      </w:r>
      <w:r w:rsidRPr="00A955AF">
        <w:rPr>
          <w:rFonts w:cstheme="minorHAnsi"/>
          <w:bCs/>
          <w:sz w:val="24"/>
        </w:rPr>
        <w:t>trategický rámec Č</w:t>
      </w:r>
      <w:r w:rsidRPr="00A955AF" w:rsidR="00432493">
        <w:rPr>
          <w:rFonts w:cstheme="minorHAnsi"/>
          <w:bCs/>
          <w:sz w:val="24"/>
        </w:rPr>
        <w:t xml:space="preserve">R </w:t>
      </w:r>
      <w:r w:rsidRPr="00A955AF">
        <w:rPr>
          <w:rFonts w:cstheme="minorHAnsi"/>
          <w:bCs/>
          <w:sz w:val="24"/>
        </w:rPr>
        <w:t xml:space="preserve">2030, </w:t>
      </w:r>
      <w:r w:rsidRPr="00A955AF" w:rsidR="00FC59A5">
        <w:rPr>
          <w:rFonts w:cstheme="minorHAnsi"/>
          <w:bCs/>
          <w:sz w:val="24"/>
        </w:rPr>
        <w:t xml:space="preserve">který </w:t>
      </w:r>
      <w:r w:rsidRPr="00A955AF">
        <w:rPr>
          <w:rFonts w:cstheme="minorHAnsi"/>
          <w:bCs/>
          <w:sz w:val="24"/>
        </w:rPr>
        <w:t xml:space="preserve">je součástí společného úsilí o udržitelný rozvoj </w:t>
      </w:r>
      <w:r w:rsidR="0072040F">
        <w:rPr>
          <w:rFonts w:cstheme="minorHAnsi"/>
          <w:bCs/>
          <w:sz w:val="24"/>
        </w:rPr>
        <w:t>EU</w:t>
      </w:r>
      <w:r w:rsidRPr="00A955AF">
        <w:rPr>
          <w:rFonts w:cstheme="minorHAnsi"/>
          <w:bCs/>
          <w:sz w:val="24"/>
        </w:rPr>
        <w:t xml:space="preserve"> a zároveň příspěvkem Č</w:t>
      </w:r>
      <w:r w:rsidRPr="00A955AF" w:rsidR="008A1A44">
        <w:rPr>
          <w:rFonts w:cstheme="minorHAnsi"/>
          <w:bCs/>
          <w:sz w:val="24"/>
        </w:rPr>
        <w:t xml:space="preserve">R </w:t>
      </w:r>
      <w:r w:rsidRPr="00A955AF" w:rsidR="004B7078">
        <w:rPr>
          <w:rFonts w:cstheme="minorHAnsi"/>
          <w:bCs/>
          <w:sz w:val="24"/>
        </w:rPr>
        <w:t>k </w:t>
      </w:r>
      <w:r w:rsidRPr="00A955AF">
        <w:rPr>
          <w:rFonts w:cstheme="minorHAnsi"/>
          <w:bCs/>
          <w:sz w:val="24"/>
        </w:rPr>
        <w:t xml:space="preserve">naplňování </w:t>
      </w:r>
      <w:r w:rsidRPr="00A955AF" w:rsidR="00FC59A5">
        <w:rPr>
          <w:rFonts w:cstheme="minorHAnsi"/>
          <w:bCs/>
          <w:sz w:val="24"/>
        </w:rPr>
        <w:t>SDGs</w:t>
      </w:r>
      <w:r w:rsidRPr="00A955AF">
        <w:rPr>
          <w:rFonts w:cstheme="minorHAnsi"/>
          <w:bCs/>
          <w:sz w:val="24"/>
        </w:rPr>
        <w:t xml:space="preserve">. Tyto globální cíle jsou společné, každý stát </w:t>
      </w:r>
      <w:r w:rsidR="00AC56E6">
        <w:rPr>
          <w:rFonts w:cstheme="minorHAnsi"/>
          <w:bCs/>
          <w:sz w:val="24"/>
        </w:rPr>
        <w:t>však</w:t>
      </w:r>
      <w:r w:rsidRPr="00A955AF" w:rsidR="00AC56E6">
        <w:rPr>
          <w:rFonts w:cstheme="minorHAnsi"/>
          <w:bCs/>
          <w:sz w:val="24"/>
        </w:rPr>
        <w:t xml:space="preserve"> </w:t>
      </w:r>
      <w:r w:rsidRPr="00A955AF">
        <w:rPr>
          <w:rFonts w:cstheme="minorHAnsi"/>
          <w:bCs/>
          <w:sz w:val="24"/>
        </w:rPr>
        <w:t>s ohledem ke svým specifikům rozhoduje o</w:t>
      </w:r>
      <w:r w:rsidR="00567661">
        <w:rPr>
          <w:rFonts w:cstheme="minorHAnsi"/>
          <w:bCs/>
          <w:sz w:val="24"/>
        </w:rPr>
        <w:t> </w:t>
      </w:r>
      <w:r w:rsidRPr="00A955AF">
        <w:rPr>
          <w:rFonts w:cstheme="minorHAnsi"/>
          <w:bCs/>
          <w:sz w:val="24"/>
        </w:rPr>
        <w:t>tom, jaký konkrétní obsah mají mít a jakou konkrétní cestou jich lze dosáhnout.</w:t>
      </w:r>
    </w:p>
    <w:p w:rsidR="004B7078" w:rsidP="004B7078" w14:paraId="0EB285C3" w14:textId="77777777">
      <w:pPr>
        <w:rPr>
          <w:sz w:val="24"/>
        </w:rPr>
      </w:pPr>
      <w:r w:rsidRPr="0D4C4CA9">
        <w:rPr>
          <w:sz w:val="24"/>
        </w:rPr>
        <w:t xml:space="preserve">Všeobecně kladou strategické dokumenty mezinárodních organizací zásadní důraz na prevenci a podporu zdraví celé populace a zároveň na vysokou udržitelnost a efektivitu zdravotního systému. Agenda 2030 stanoví konkrétní cíle zlepšování zdraví populace a všeobecného přístupu populace ke kvalitním zdravotním službám. </w:t>
      </w:r>
    </w:p>
    <w:p w:rsidR="005D4D73" w:rsidP="004B7078" w14:paraId="74E3A8CF" w14:textId="77777777">
      <w:pPr>
        <w:rPr>
          <w:rFonts w:cstheme="minorHAnsi"/>
          <w:sz w:val="24"/>
        </w:rPr>
      </w:pPr>
    </w:p>
    <w:p w:rsidR="00C53CE3" w:rsidRPr="00A955AF" w:rsidP="003C7F59" w14:paraId="0029E03C" w14:textId="5ADA97AC">
      <w:pPr>
        <w:pStyle w:val="Caption"/>
        <w:rPr>
          <w:rFonts w:cstheme="minorHAnsi"/>
          <w:sz w:val="24"/>
        </w:rPr>
      </w:pPr>
      <w:bookmarkStart w:id="458" w:name="_Toc256000079"/>
      <w:r w:rsidRPr="00BB7C6B">
        <w:t xml:space="preserve">Graf </w:t>
      </w:r>
      <w:r w:rsidRPr="008729A1">
        <w:fldChar w:fldCharType="begin"/>
      </w:r>
      <w:r w:rsidRPr="008729A1">
        <w:instrText xml:space="preserve"> SEQ Graf \* ARABIC </w:instrText>
      </w:r>
      <w:r w:rsidRPr="008729A1">
        <w:fldChar w:fldCharType="separate"/>
      </w:r>
      <w:r w:rsidRPr="008729A1">
        <w:t>5</w:t>
      </w:r>
      <w:r w:rsidRPr="008729A1">
        <w:fldChar w:fldCharType="end"/>
      </w:r>
      <w:r w:rsidRPr="008729A1">
        <w:t xml:space="preserve"> Překryv SDG´s a specifických cílů Strategického rámce ČR 2030</w:t>
      </w:r>
      <w:bookmarkEnd w:id="458"/>
    </w:p>
    <w:tbl>
      <w:tblPr>
        <w:tblStyle w:val="TableGrid"/>
        <w:tblW w:w="8363" w:type="dxa"/>
        <w:tblInd w:w="250" w:type="dxa"/>
        <w:tblLook w:val="04A0"/>
      </w:tblPr>
      <w:tblGrid>
        <w:gridCol w:w="4111"/>
        <w:gridCol w:w="4252"/>
      </w:tblGrid>
      <w:tr w14:paraId="3CA6FEC9" w14:textId="77777777" w:rsidTr="0D4C4CA9">
        <w:tblPrEx>
          <w:tblW w:w="8363" w:type="dxa"/>
          <w:tblInd w:w="250" w:type="dxa"/>
          <w:tblLook w:val="04A0"/>
        </w:tblPrEx>
        <w:tc>
          <w:tcPr>
            <w:tcW w:w="4111" w:type="dxa"/>
            <w:tcBorders>
              <w:top w:val="single" w:sz="4" w:space="0" w:color="auto"/>
              <w:left w:val="single" w:sz="4" w:space="0" w:color="auto"/>
              <w:bottom w:val="single" w:sz="4" w:space="0" w:color="auto"/>
              <w:right w:val="single" w:sz="4" w:space="0" w:color="auto"/>
            </w:tcBorders>
            <w:shd w:val="clear" w:color="auto" w:fill="205493"/>
            <w:hideMark/>
          </w:tcPr>
          <w:p w:rsidR="00457D1D" w:rsidRPr="00A955AF" w14:paraId="21162FB2" w14:textId="77777777">
            <w:pPr>
              <w:spacing w:before="240" w:after="240"/>
              <w:jc w:val="center"/>
              <w:rPr>
                <w:rFonts w:cstheme="minorHAnsi"/>
                <w:b/>
                <w:color w:val="FFFFFF" w:themeColor="background1"/>
                <w:sz w:val="24"/>
                <w:szCs w:val="24"/>
              </w:rPr>
            </w:pPr>
            <w:r w:rsidRPr="00A955AF">
              <w:rPr>
                <w:rFonts w:cstheme="minorHAnsi"/>
                <w:b/>
                <w:color w:val="FFFFFF" w:themeColor="background1"/>
                <w:sz w:val="24"/>
              </w:rPr>
              <w:t>Cíl udržitelného rozvoje</w:t>
            </w:r>
          </w:p>
        </w:tc>
        <w:tc>
          <w:tcPr>
            <w:tcW w:w="4252" w:type="dxa"/>
            <w:tcBorders>
              <w:top w:val="single" w:sz="4" w:space="0" w:color="auto"/>
              <w:left w:val="single" w:sz="4" w:space="0" w:color="auto"/>
              <w:bottom w:val="single" w:sz="4" w:space="0" w:color="auto"/>
              <w:right w:val="single" w:sz="4" w:space="0" w:color="auto"/>
            </w:tcBorders>
            <w:shd w:val="clear" w:color="auto" w:fill="205493"/>
            <w:hideMark/>
          </w:tcPr>
          <w:p w:rsidR="00457D1D" w:rsidRPr="00A955AF" w14:paraId="6B30728A" w14:textId="77777777">
            <w:pPr>
              <w:spacing w:before="240" w:after="240"/>
              <w:jc w:val="center"/>
              <w:rPr>
                <w:rFonts w:cstheme="minorHAnsi"/>
                <w:b/>
                <w:color w:val="FFFFFF" w:themeColor="background1"/>
                <w:sz w:val="24"/>
                <w:szCs w:val="24"/>
              </w:rPr>
            </w:pPr>
            <w:r w:rsidRPr="00A955AF">
              <w:rPr>
                <w:rFonts w:cstheme="minorHAnsi"/>
                <w:b/>
                <w:color w:val="FFFFFF" w:themeColor="background1"/>
                <w:sz w:val="24"/>
              </w:rPr>
              <w:t xml:space="preserve">Strategický rámec </w:t>
            </w:r>
            <w:r w:rsidRPr="00A955AF">
              <w:rPr>
                <w:rFonts w:cstheme="minorHAnsi"/>
                <w:b/>
                <w:color w:val="FFFFFF" w:themeColor="background1"/>
                <w:sz w:val="24"/>
              </w:rPr>
              <w:t>Česká republika 2030 (klíčová oblast, specifický cíl)</w:t>
            </w:r>
          </w:p>
        </w:tc>
      </w:tr>
      <w:tr w14:paraId="57A9463A" w14:textId="77777777" w:rsidTr="0D4C4CA9">
        <w:tblPrEx>
          <w:tblW w:w="8363" w:type="dxa"/>
          <w:tblInd w:w="250" w:type="dxa"/>
          <w:tblLook w:val="04A0"/>
        </w:tblPrEx>
        <w:trPr>
          <w:trHeight w:val="871"/>
        </w:trPr>
        <w:tc>
          <w:tcPr>
            <w:tcW w:w="4111" w:type="dxa"/>
            <w:tcBorders>
              <w:top w:val="single" w:sz="4" w:space="0" w:color="auto"/>
              <w:left w:val="single" w:sz="4" w:space="0" w:color="auto"/>
              <w:bottom w:val="single" w:sz="4" w:space="0" w:color="auto"/>
              <w:right w:val="single" w:sz="4" w:space="0" w:color="auto"/>
            </w:tcBorders>
            <w:hideMark/>
          </w:tcPr>
          <w:p w:rsidR="00457D1D" w:rsidRPr="00A955AF" w14:paraId="6D893929" w14:textId="77777777">
            <w:pPr>
              <w:spacing w:after="120"/>
              <w:rPr>
                <w:rFonts w:cstheme="minorHAnsi"/>
                <w:sz w:val="24"/>
                <w:szCs w:val="24"/>
              </w:rPr>
            </w:pPr>
            <w:r w:rsidRPr="00A955AF">
              <w:rPr>
                <w:rFonts w:cstheme="minorHAnsi"/>
                <w:bCs/>
                <w:sz w:val="24"/>
                <w:szCs w:val="24"/>
              </w:rPr>
              <w:t>Cíl 1. Vymýtit chudobu ve všech jejích formách všude na světě</w:t>
            </w:r>
          </w:p>
        </w:tc>
        <w:tc>
          <w:tcPr>
            <w:tcW w:w="4252" w:type="dxa"/>
            <w:tcBorders>
              <w:top w:val="single" w:sz="4" w:space="0" w:color="auto"/>
              <w:left w:val="single" w:sz="4" w:space="0" w:color="auto"/>
              <w:bottom w:val="single" w:sz="4" w:space="0" w:color="auto"/>
              <w:right w:val="single" w:sz="4" w:space="0" w:color="auto"/>
            </w:tcBorders>
            <w:hideMark/>
          </w:tcPr>
          <w:p w:rsidR="00457D1D" w:rsidRPr="00A955AF" w14:paraId="4462D96C" w14:textId="77777777">
            <w:pPr>
              <w:spacing w:after="120"/>
              <w:rPr>
                <w:rFonts w:cstheme="minorHAnsi"/>
                <w:sz w:val="24"/>
                <w:szCs w:val="24"/>
              </w:rPr>
            </w:pPr>
            <w:r w:rsidRPr="00A955AF">
              <w:rPr>
                <w:rFonts w:cstheme="minorHAnsi"/>
                <w:sz w:val="24"/>
                <w:szCs w:val="24"/>
              </w:rPr>
              <w:t>Lidé a společnost 3.1, 3.2, 3.3, 3.4</w:t>
            </w:r>
          </w:p>
          <w:p w:rsidR="00457D1D" w:rsidRPr="00A955AF" w14:paraId="1F3BE412" w14:textId="77777777">
            <w:pPr>
              <w:spacing w:after="120"/>
              <w:rPr>
                <w:rFonts w:cstheme="minorHAnsi"/>
                <w:sz w:val="24"/>
                <w:szCs w:val="24"/>
              </w:rPr>
            </w:pPr>
            <w:r w:rsidRPr="00A955AF">
              <w:rPr>
                <w:rFonts w:cstheme="minorHAnsi"/>
                <w:sz w:val="24"/>
                <w:szCs w:val="24"/>
              </w:rPr>
              <w:t xml:space="preserve">Globální rozvoj 21.1 </w:t>
            </w:r>
          </w:p>
        </w:tc>
      </w:tr>
      <w:tr w14:paraId="22BD691D" w14:textId="77777777" w:rsidTr="0D4C4CA9">
        <w:tblPrEx>
          <w:tblW w:w="8363" w:type="dxa"/>
          <w:tblInd w:w="250" w:type="dxa"/>
          <w:tblLook w:val="04A0"/>
        </w:tblPrEx>
        <w:tc>
          <w:tcPr>
            <w:tcW w:w="4111" w:type="dxa"/>
            <w:tcBorders>
              <w:top w:val="single" w:sz="4" w:space="0" w:color="auto"/>
              <w:left w:val="single" w:sz="4" w:space="0" w:color="auto"/>
              <w:bottom w:val="single" w:sz="4" w:space="0" w:color="auto"/>
              <w:right w:val="single" w:sz="4" w:space="0" w:color="auto"/>
            </w:tcBorders>
            <w:hideMark/>
          </w:tcPr>
          <w:p w:rsidR="00457D1D" w:rsidRPr="00A955AF" w14:paraId="13F8080C" w14:textId="77777777">
            <w:pPr>
              <w:autoSpaceDE w:val="0"/>
              <w:autoSpaceDN w:val="0"/>
              <w:adjustRightInd w:val="0"/>
              <w:spacing w:after="120"/>
              <w:rPr>
                <w:rFonts w:cstheme="minorHAnsi"/>
                <w:sz w:val="24"/>
                <w:szCs w:val="24"/>
              </w:rPr>
            </w:pPr>
            <w:r w:rsidRPr="00A955AF">
              <w:rPr>
                <w:rFonts w:cstheme="minorHAnsi"/>
                <w:bCs/>
                <w:sz w:val="24"/>
                <w:szCs w:val="24"/>
              </w:rPr>
              <w:t>Cíl 2. Vymýtit hlad, dosáhnout potravinové bezpečnosti a zlepšení výživy, prosazovat udržitelné zemědělství</w:t>
            </w:r>
          </w:p>
        </w:tc>
        <w:tc>
          <w:tcPr>
            <w:tcW w:w="4252" w:type="dxa"/>
            <w:tcBorders>
              <w:top w:val="single" w:sz="4" w:space="0" w:color="auto"/>
              <w:left w:val="single" w:sz="4" w:space="0" w:color="auto"/>
              <w:bottom w:val="single" w:sz="4" w:space="0" w:color="auto"/>
              <w:right w:val="single" w:sz="4" w:space="0" w:color="auto"/>
            </w:tcBorders>
            <w:hideMark/>
          </w:tcPr>
          <w:p w:rsidR="00457D1D" w:rsidRPr="00A955AF" w14:paraId="2D597A32" w14:textId="77777777">
            <w:pPr>
              <w:spacing w:after="120"/>
              <w:rPr>
                <w:rFonts w:cstheme="minorHAnsi"/>
                <w:sz w:val="24"/>
                <w:szCs w:val="24"/>
              </w:rPr>
            </w:pPr>
            <w:r w:rsidRPr="00A955AF">
              <w:rPr>
                <w:rFonts w:cstheme="minorHAnsi"/>
                <w:sz w:val="24"/>
                <w:szCs w:val="24"/>
              </w:rPr>
              <w:t xml:space="preserve">Hospodářský model 9.4 </w:t>
            </w:r>
          </w:p>
          <w:p w:rsidR="00457D1D" w:rsidRPr="00A955AF" w14:paraId="5CB18EBA" w14:textId="77777777">
            <w:pPr>
              <w:spacing w:after="120"/>
              <w:rPr>
                <w:rFonts w:cstheme="minorHAnsi"/>
                <w:sz w:val="24"/>
                <w:szCs w:val="24"/>
              </w:rPr>
            </w:pPr>
            <w:r w:rsidRPr="00A955AF">
              <w:rPr>
                <w:rFonts w:cstheme="minorHAnsi"/>
                <w:color w:val="262626"/>
                <w:sz w:val="24"/>
                <w:szCs w:val="24"/>
              </w:rPr>
              <w:t xml:space="preserve">Odolné ekosystémy 12.3, 13.1, 13.2, 15.1, 15.2, 15.3 </w:t>
            </w:r>
          </w:p>
        </w:tc>
      </w:tr>
      <w:tr w14:paraId="39C62FDA" w14:textId="77777777" w:rsidTr="0D4C4CA9">
        <w:tblPrEx>
          <w:tblW w:w="8363" w:type="dxa"/>
          <w:tblInd w:w="250" w:type="dxa"/>
          <w:tblLook w:val="04A0"/>
        </w:tblPrEx>
        <w:tc>
          <w:tcPr>
            <w:tcW w:w="4111" w:type="dxa"/>
            <w:tcBorders>
              <w:top w:val="single" w:sz="4" w:space="0" w:color="auto"/>
              <w:left w:val="single" w:sz="4" w:space="0" w:color="auto"/>
              <w:bottom w:val="single" w:sz="4" w:space="0" w:color="auto"/>
              <w:right w:val="single" w:sz="4" w:space="0" w:color="auto"/>
            </w:tcBorders>
            <w:hideMark/>
          </w:tcPr>
          <w:p w:rsidR="00457D1D" w:rsidRPr="00A955AF" w14:paraId="57763475" w14:textId="77777777">
            <w:pPr>
              <w:spacing w:after="120"/>
              <w:rPr>
                <w:rFonts w:cstheme="minorHAnsi"/>
                <w:sz w:val="24"/>
                <w:szCs w:val="24"/>
              </w:rPr>
            </w:pPr>
            <w:r w:rsidRPr="00A955AF">
              <w:rPr>
                <w:rFonts w:cstheme="minorHAnsi"/>
                <w:bCs/>
                <w:sz w:val="24"/>
                <w:szCs w:val="24"/>
              </w:rPr>
              <w:t>Cíl 3. Zajistit zdravý život a zvyšovat jeho kvalitu pro všechny v jakémkoli věku</w:t>
            </w:r>
          </w:p>
        </w:tc>
        <w:tc>
          <w:tcPr>
            <w:tcW w:w="4252" w:type="dxa"/>
            <w:tcBorders>
              <w:top w:val="single" w:sz="4" w:space="0" w:color="auto"/>
              <w:left w:val="single" w:sz="4" w:space="0" w:color="auto"/>
              <w:bottom w:val="single" w:sz="4" w:space="0" w:color="auto"/>
              <w:right w:val="single" w:sz="4" w:space="0" w:color="auto"/>
            </w:tcBorders>
            <w:hideMark/>
          </w:tcPr>
          <w:p w:rsidR="00457D1D" w:rsidRPr="00A955AF" w14:paraId="6CC74BCF" w14:textId="77777777">
            <w:pPr>
              <w:autoSpaceDE w:val="0"/>
              <w:autoSpaceDN w:val="0"/>
              <w:adjustRightInd w:val="0"/>
              <w:spacing w:after="120"/>
              <w:rPr>
                <w:rFonts w:cstheme="minorHAnsi"/>
                <w:sz w:val="24"/>
                <w:szCs w:val="24"/>
              </w:rPr>
            </w:pPr>
            <w:r w:rsidRPr="00A955AF">
              <w:rPr>
                <w:rFonts w:cstheme="minorHAnsi"/>
                <w:sz w:val="24"/>
                <w:szCs w:val="24"/>
              </w:rPr>
              <w:t xml:space="preserve">Lidé a společnost 5.1, 5.2, 5.3, 5.4, 5.5 </w:t>
            </w:r>
          </w:p>
          <w:p w:rsidR="00457D1D" w:rsidRPr="00A955AF" w14:paraId="34B44633" w14:textId="77777777">
            <w:pPr>
              <w:autoSpaceDE w:val="0"/>
              <w:autoSpaceDN w:val="0"/>
              <w:adjustRightInd w:val="0"/>
              <w:spacing w:after="120"/>
              <w:rPr>
                <w:rFonts w:cstheme="minorHAnsi"/>
                <w:sz w:val="24"/>
                <w:szCs w:val="24"/>
              </w:rPr>
            </w:pPr>
            <w:r w:rsidRPr="00A955AF">
              <w:rPr>
                <w:rFonts w:cstheme="minorHAnsi"/>
                <w:sz w:val="24"/>
                <w:szCs w:val="24"/>
              </w:rPr>
              <w:t xml:space="preserve">Hospodářský model 9.1, 10.6, 11.2 </w:t>
            </w:r>
          </w:p>
          <w:p w:rsidR="00457D1D" w:rsidRPr="00A955AF" w14:paraId="02F5F211" w14:textId="77777777">
            <w:pPr>
              <w:autoSpaceDE w:val="0"/>
              <w:autoSpaceDN w:val="0"/>
              <w:adjustRightInd w:val="0"/>
              <w:spacing w:after="120"/>
              <w:rPr>
                <w:rFonts w:cstheme="minorHAnsi"/>
                <w:sz w:val="24"/>
                <w:szCs w:val="24"/>
              </w:rPr>
            </w:pPr>
            <w:r w:rsidRPr="00A955AF">
              <w:rPr>
                <w:rFonts w:cstheme="minorHAnsi"/>
                <w:sz w:val="24"/>
                <w:szCs w:val="24"/>
              </w:rPr>
              <w:t xml:space="preserve">Odolné ekosystémy 12.1, 12.3, 12.4, 12.6, 14.2 </w:t>
            </w:r>
          </w:p>
          <w:p w:rsidR="00457D1D" w:rsidRPr="00A955AF" w14:paraId="305419FE" w14:textId="77777777">
            <w:pPr>
              <w:autoSpaceDE w:val="0"/>
              <w:autoSpaceDN w:val="0"/>
              <w:adjustRightInd w:val="0"/>
              <w:spacing w:after="120"/>
              <w:rPr>
                <w:rFonts w:cstheme="minorHAnsi"/>
                <w:sz w:val="24"/>
                <w:szCs w:val="24"/>
              </w:rPr>
            </w:pPr>
            <w:r w:rsidRPr="00A955AF">
              <w:rPr>
                <w:rFonts w:cstheme="minorHAnsi"/>
                <w:sz w:val="24"/>
                <w:szCs w:val="24"/>
              </w:rPr>
              <w:t xml:space="preserve">Obce a regiony 16.3, 17.4, 18.2, 19.2, 19.4, 19.5, 19.6 </w:t>
            </w:r>
          </w:p>
          <w:p w:rsidR="00457D1D" w:rsidRPr="00A955AF" w14:paraId="2575F860" w14:textId="77777777">
            <w:pPr>
              <w:autoSpaceDE w:val="0"/>
              <w:autoSpaceDN w:val="0"/>
              <w:adjustRightInd w:val="0"/>
              <w:spacing w:after="120"/>
              <w:rPr>
                <w:rFonts w:cstheme="minorHAnsi"/>
                <w:sz w:val="24"/>
                <w:szCs w:val="24"/>
              </w:rPr>
            </w:pPr>
            <w:r w:rsidRPr="00A955AF">
              <w:rPr>
                <w:rFonts w:cstheme="minorHAnsi"/>
                <w:sz w:val="24"/>
                <w:szCs w:val="24"/>
              </w:rPr>
              <w:t>Dobré vládnutí 25.1</w:t>
            </w:r>
          </w:p>
        </w:tc>
      </w:tr>
      <w:tr w14:paraId="749746A1" w14:textId="77777777" w:rsidTr="0D4C4CA9">
        <w:tblPrEx>
          <w:tblW w:w="8363" w:type="dxa"/>
          <w:tblInd w:w="250" w:type="dxa"/>
          <w:tblLook w:val="04A0"/>
        </w:tblPrEx>
        <w:tc>
          <w:tcPr>
            <w:tcW w:w="4111" w:type="dxa"/>
            <w:tcBorders>
              <w:top w:val="single" w:sz="4" w:space="0" w:color="auto"/>
              <w:left w:val="single" w:sz="4" w:space="0" w:color="auto"/>
              <w:bottom w:val="single" w:sz="4" w:space="0" w:color="auto"/>
              <w:right w:val="single" w:sz="4" w:space="0" w:color="auto"/>
            </w:tcBorders>
            <w:hideMark/>
          </w:tcPr>
          <w:p w:rsidR="00457D1D" w:rsidRPr="00A955AF" w:rsidP="00BA23A4" w14:paraId="032681C9" w14:textId="77777777">
            <w:pPr>
              <w:autoSpaceDE w:val="0"/>
              <w:autoSpaceDN w:val="0"/>
              <w:adjustRightInd w:val="0"/>
              <w:spacing w:after="120"/>
              <w:rPr>
                <w:rFonts w:cstheme="minorHAnsi"/>
                <w:sz w:val="24"/>
                <w:szCs w:val="24"/>
              </w:rPr>
            </w:pPr>
            <w:r w:rsidRPr="00A955AF">
              <w:rPr>
                <w:rFonts w:cstheme="minorHAnsi"/>
                <w:bCs/>
                <w:sz w:val="24"/>
                <w:szCs w:val="24"/>
              </w:rPr>
              <w:t>Cíl 6. Zajistit všem dostupnost vody a</w:t>
            </w:r>
            <w:r w:rsidRPr="00A955AF" w:rsidR="00BA23A4">
              <w:rPr>
                <w:rFonts w:cstheme="minorHAnsi"/>
                <w:bCs/>
                <w:sz w:val="24"/>
                <w:szCs w:val="24"/>
              </w:rPr>
              <w:t> </w:t>
            </w:r>
            <w:r w:rsidRPr="00A955AF">
              <w:rPr>
                <w:rFonts w:cstheme="minorHAnsi"/>
                <w:bCs/>
                <w:sz w:val="24"/>
                <w:szCs w:val="24"/>
              </w:rPr>
              <w:t>sanitačních zařízení pro všechny a</w:t>
            </w:r>
            <w:r w:rsidRPr="00A955AF" w:rsidR="00BA23A4">
              <w:rPr>
                <w:rFonts w:cstheme="minorHAnsi"/>
                <w:bCs/>
                <w:sz w:val="24"/>
                <w:szCs w:val="24"/>
              </w:rPr>
              <w:t> </w:t>
            </w:r>
            <w:r w:rsidRPr="00A955AF">
              <w:rPr>
                <w:rFonts w:cstheme="minorHAnsi"/>
                <w:bCs/>
                <w:sz w:val="24"/>
                <w:szCs w:val="24"/>
              </w:rPr>
              <w:t>udržitelné hospodaření s nimi</w:t>
            </w:r>
          </w:p>
        </w:tc>
        <w:tc>
          <w:tcPr>
            <w:tcW w:w="4252" w:type="dxa"/>
            <w:tcBorders>
              <w:top w:val="single" w:sz="4" w:space="0" w:color="auto"/>
              <w:left w:val="single" w:sz="4" w:space="0" w:color="auto"/>
              <w:bottom w:val="single" w:sz="4" w:space="0" w:color="auto"/>
              <w:right w:val="single" w:sz="4" w:space="0" w:color="auto"/>
            </w:tcBorders>
            <w:hideMark/>
          </w:tcPr>
          <w:p w:rsidR="00457D1D" w:rsidRPr="00A955AF" w14:paraId="774DA959" w14:textId="77777777">
            <w:pPr>
              <w:autoSpaceDE w:val="0"/>
              <w:autoSpaceDN w:val="0"/>
              <w:adjustRightInd w:val="0"/>
              <w:spacing w:after="120"/>
              <w:rPr>
                <w:rFonts w:cstheme="minorHAnsi"/>
                <w:color w:val="262626"/>
                <w:sz w:val="24"/>
                <w:szCs w:val="24"/>
              </w:rPr>
            </w:pPr>
            <w:r w:rsidRPr="00A955AF">
              <w:rPr>
                <w:rFonts w:cstheme="minorHAnsi"/>
                <w:color w:val="262626"/>
                <w:sz w:val="24"/>
                <w:szCs w:val="24"/>
              </w:rPr>
              <w:t xml:space="preserve">Hospodářský model 10.6 </w:t>
            </w:r>
          </w:p>
          <w:p w:rsidR="00457D1D" w:rsidRPr="00A955AF" w14:paraId="7966B76A" w14:textId="77777777">
            <w:pPr>
              <w:autoSpaceDE w:val="0"/>
              <w:autoSpaceDN w:val="0"/>
              <w:adjustRightInd w:val="0"/>
              <w:spacing w:after="120"/>
              <w:rPr>
                <w:rFonts w:cstheme="minorHAnsi"/>
                <w:sz w:val="24"/>
                <w:szCs w:val="24"/>
              </w:rPr>
            </w:pPr>
            <w:r w:rsidRPr="00A955AF">
              <w:rPr>
                <w:rFonts w:cstheme="minorHAnsi"/>
                <w:color w:val="262626"/>
                <w:sz w:val="24"/>
                <w:szCs w:val="24"/>
              </w:rPr>
              <w:t xml:space="preserve">Odolné ekosystémy 14.2 </w:t>
            </w:r>
          </w:p>
        </w:tc>
      </w:tr>
    </w:tbl>
    <w:p w:rsidR="70585770" w:rsidP="0D4C4CA9" w14:paraId="3E98D4AB" w14:textId="0A38CD45">
      <w:pPr>
        <w:rPr>
          <w:sz w:val="20"/>
          <w:szCs w:val="20"/>
        </w:rPr>
      </w:pPr>
      <w:r w:rsidRPr="008729A1">
        <w:rPr>
          <w:color w:val="000000" w:themeColor="text1"/>
          <w:sz w:val="20"/>
          <w:szCs w:val="20"/>
        </w:rPr>
        <w:t xml:space="preserve">Zdroj: Implementace Agendy 2030 v České republice </w:t>
      </w:r>
      <w:r>
        <w:rPr>
          <w:rStyle w:val="FootnoteReference"/>
          <w:color w:val="000000" w:themeColor="text1"/>
          <w:sz w:val="20"/>
          <w:szCs w:val="20"/>
        </w:rPr>
        <w:footnoteReference w:id="17"/>
      </w:r>
    </w:p>
    <w:p w:rsidR="009900C8" w:rsidRPr="009900C8" w:rsidP="009900C8" w14:paraId="4E09AD98" w14:textId="77777777">
      <w:pPr>
        <w:rPr>
          <w:rFonts w:cstheme="minorHAnsi"/>
          <w:color w:val="000000" w:themeColor="text1"/>
          <w:sz w:val="24"/>
        </w:rPr>
      </w:pPr>
    </w:p>
    <w:p w:rsidR="00457D1D" w:rsidRPr="00A955AF" w:rsidP="00DE33D8" w14:paraId="20C43CA7" w14:textId="77777777">
      <w:pPr>
        <w:pStyle w:val="Podkapitola111opaten"/>
        <w:numPr>
          <w:ilvl w:val="2"/>
          <w:numId w:val="44"/>
        </w:numPr>
      </w:pPr>
      <w:bookmarkStart w:id="459" w:name="_Toc7705128"/>
      <w:bookmarkStart w:id="460" w:name="_Toc7705599"/>
      <w:bookmarkStart w:id="461" w:name="_Toc256000026"/>
      <w:r w:rsidRPr="00A955AF">
        <w:t>Evropská unie</w:t>
      </w:r>
      <w:bookmarkEnd w:id="461"/>
      <w:bookmarkEnd w:id="459"/>
      <w:bookmarkEnd w:id="460"/>
    </w:p>
    <w:p w:rsidR="00623D36" w:rsidP="00623D36" w14:paraId="5E47B3D5" w14:textId="494FA1C0">
      <w:pPr>
        <w:rPr>
          <w:rFonts w:cstheme="minorHAnsi"/>
          <w:sz w:val="24"/>
        </w:rPr>
      </w:pPr>
      <w:r w:rsidRPr="00623D36">
        <w:rPr>
          <w:rFonts w:cstheme="minorHAnsi"/>
          <w:sz w:val="24"/>
        </w:rPr>
        <w:t xml:space="preserve">ČR se jako člen EU podílí na tvorbě a implementaci zdravotní politiky EU.  </w:t>
      </w:r>
      <w:r w:rsidR="009900C8">
        <w:rPr>
          <w:rFonts w:cstheme="minorHAnsi"/>
          <w:sz w:val="24"/>
        </w:rPr>
        <w:t>Č</w:t>
      </w:r>
      <w:r>
        <w:rPr>
          <w:rFonts w:cstheme="minorHAnsi"/>
          <w:sz w:val="24"/>
        </w:rPr>
        <w:t>l</w:t>
      </w:r>
      <w:r w:rsidR="009900C8">
        <w:rPr>
          <w:rFonts w:cstheme="minorHAnsi"/>
          <w:sz w:val="24"/>
        </w:rPr>
        <w:t xml:space="preserve">ánek </w:t>
      </w:r>
      <w:r>
        <w:rPr>
          <w:rFonts w:cstheme="minorHAnsi"/>
          <w:sz w:val="24"/>
        </w:rPr>
        <w:t xml:space="preserve">168 Smlouvy o fungování EU </w:t>
      </w:r>
      <w:r w:rsidR="00157178">
        <w:rPr>
          <w:rFonts w:cstheme="minorHAnsi"/>
          <w:sz w:val="24"/>
        </w:rPr>
        <w:t>uvádí</w:t>
      </w:r>
      <w:r>
        <w:rPr>
          <w:rFonts w:cstheme="minorHAnsi"/>
          <w:sz w:val="24"/>
        </w:rPr>
        <w:t>, že „</w:t>
      </w:r>
      <w:r w:rsidRPr="005D4D73">
        <w:rPr>
          <w:rFonts w:cstheme="minorHAnsi"/>
          <w:i/>
          <w:iCs/>
          <w:sz w:val="24"/>
        </w:rPr>
        <w:t>Vysoký stupeň ochrany lidského zdraví je třeba zajistit napříč všemi politikami Unie a v rámci všech jejích činností</w:t>
      </w:r>
      <w:r>
        <w:rPr>
          <w:rFonts w:cstheme="minorHAnsi"/>
          <w:sz w:val="24"/>
        </w:rPr>
        <w:t>“</w:t>
      </w:r>
      <w:r>
        <w:rPr>
          <w:rStyle w:val="FootnoteReference"/>
          <w:rFonts w:cstheme="minorHAnsi"/>
          <w:sz w:val="24"/>
        </w:rPr>
        <w:footnoteReference w:id="18"/>
      </w:r>
      <w:r>
        <w:rPr>
          <w:rFonts w:cstheme="minorHAnsi"/>
          <w:sz w:val="24"/>
        </w:rPr>
        <w:t xml:space="preserve">. Tento článek představuje právní základ pro politiku EU v oblasti zdraví.  </w:t>
      </w:r>
    </w:p>
    <w:p w:rsidR="00623D36" w:rsidRPr="00623D36" w:rsidP="00623D36" w14:paraId="0F3AC161" w14:textId="5CD014AB">
      <w:pPr>
        <w:rPr>
          <w:rFonts w:cstheme="minorHAnsi"/>
          <w:sz w:val="24"/>
        </w:rPr>
      </w:pPr>
      <w:r w:rsidRPr="00623D36">
        <w:rPr>
          <w:rFonts w:cstheme="minorHAnsi"/>
          <w:sz w:val="24"/>
        </w:rPr>
        <w:t xml:space="preserve">Za organizaci a poskytování zdravotních služeb a lékařské péče jsou odpovědné </w:t>
      </w:r>
      <w:r w:rsidR="009900C8">
        <w:rPr>
          <w:rFonts w:cstheme="minorHAnsi"/>
          <w:sz w:val="24"/>
        </w:rPr>
        <w:t xml:space="preserve">samotné </w:t>
      </w:r>
      <w:r w:rsidRPr="00623D36">
        <w:rPr>
          <w:rFonts w:cstheme="minorHAnsi"/>
          <w:sz w:val="24"/>
        </w:rPr>
        <w:t>členské státy.</w:t>
      </w:r>
      <w:r w:rsidR="009900C8">
        <w:rPr>
          <w:rFonts w:cstheme="minorHAnsi"/>
          <w:sz w:val="24"/>
        </w:rPr>
        <w:t xml:space="preserve"> EU pak tyto zdravotní politiky doplňuje s cílem:</w:t>
      </w:r>
    </w:p>
    <w:p w:rsidR="00623D36" w:rsidRPr="00623D36" w:rsidP="00623D36" w14:paraId="5C1965B3" w14:textId="3A30F733">
      <w:pPr>
        <w:rPr>
          <w:rFonts w:cstheme="minorHAnsi"/>
          <w:sz w:val="24"/>
        </w:rPr>
      </w:pPr>
      <w:r w:rsidRPr="00623D36">
        <w:rPr>
          <w:rFonts w:cstheme="minorHAnsi"/>
          <w:sz w:val="24"/>
        </w:rPr>
        <w:t>•</w:t>
      </w:r>
      <w:r w:rsidRPr="00623D36">
        <w:rPr>
          <w:rFonts w:cstheme="minorHAnsi"/>
          <w:sz w:val="24"/>
        </w:rPr>
        <w:tab/>
      </w:r>
      <w:r w:rsidR="003C7F59">
        <w:rPr>
          <w:rFonts w:cstheme="minorHAnsi"/>
          <w:sz w:val="24"/>
        </w:rPr>
        <w:t>Ch</w:t>
      </w:r>
      <w:r w:rsidRPr="00623D36">
        <w:rPr>
          <w:rFonts w:cstheme="minorHAnsi"/>
          <w:sz w:val="24"/>
        </w:rPr>
        <w:t>ránit a zlepšovat zdraví občanů EU</w:t>
      </w:r>
    </w:p>
    <w:p w:rsidR="00623D36" w:rsidRPr="00623D36" w:rsidP="00623D36" w14:paraId="555F7E76" w14:textId="18D1C212">
      <w:pPr>
        <w:rPr>
          <w:rFonts w:cstheme="minorHAnsi"/>
          <w:sz w:val="24"/>
        </w:rPr>
      </w:pPr>
      <w:r w:rsidRPr="00623D36">
        <w:rPr>
          <w:rFonts w:cstheme="minorHAnsi"/>
          <w:sz w:val="24"/>
        </w:rPr>
        <w:t>•</w:t>
      </w:r>
      <w:r w:rsidRPr="00623D36">
        <w:rPr>
          <w:rFonts w:cstheme="minorHAnsi"/>
          <w:sz w:val="24"/>
        </w:rPr>
        <w:tab/>
      </w:r>
      <w:r w:rsidR="003C7F59">
        <w:rPr>
          <w:rFonts w:cstheme="minorHAnsi"/>
          <w:sz w:val="24"/>
        </w:rPr>
        <w:t>P</w:t>
      </w:r>
      <w:r w:rsidRPr="00623D36">
        <w:rPr>
          <w:rFonts w:cstheme="minorHAnsi"/>
          <w:sz w:val="24"/>
        </w:rPr>
        <w:t>odporovat modernizaci zdravotní infrastruktury</w:t>
      </w:r>
    </w:p>
    <w:p w:rsidR="00623D36" w:rsidRPr="00623D36" w:rsidP="00623D36" w14:paraId="4B834710" w14:textId="4F47900A">
      <w:pPr>
        <w:rPr>
          <w:rFonts w:cstheme="minorHAnsi"/>
          <w:sz w:val="24"/>
        </w:rPr>
      </w:pPr>
      <w:r w:rsidRPr="00623D36">
        <w:rPr>
          <w:rFonts w:cstheme="minorHAnsi"/>
          <w:sz w:val="24"/>
        </w:rPr>
        <w:t>•</w:t>
      </w:r>
      <w:r w:rsidRPr="00623D36">
        <w:rPr>
          <w:rFonts w:cstheme="minorHAnsi"/>
          <w:sz w:val="24"/>
        </w:rPr>
        <w:tab/>
      </w:r>
      <w:r w:rsidR="003C7F59">
        <w:rPr>
          <w:rFonts w:cstheme="minorHAnsi"/>
          <w:sz w:val="24"/>
        </w:rPr>
        <w:t>Z</w:t>
      </w:r>
      <w:r w:rsidRPr="00623D36">
        <w:rPr>
          <w:rFonts w:cstheme="minorHAnsi"/>
          <w:sz w:val="24"/>
        </w:rPr>
        <w:t>vyšovat efektivitu systémů zdravotní péče</w:t>
      </w:r>
      <w:r w:rsidR="009900C8">
        <w:rPr>
          <w:rFonts w:cstheme="minorHAnsi"/>
          <w:sz w:val="24"/>
        </w:rPr>
        <w:t xml:space="preserve"> členských států</w:t>
      </w:r>
    </w:p>
    <w:p w:rsidR="00623D36" w:rsidRPr="00623D36" w:rsidP="00623D36" w14:paraId="064A149F" w14:textId="1572D3FA">
      <w:pPr>
        <w:rPr>
          <w:rFonts w:cstheme="minorHAnsi"/>
          <w:sz w:val="24"/>
        </w:rPr>
      </w:pPr>
      <w:r w:rsidRPr="00623D36">
        <w:rPr>
          <w:rFonts w:cstheme="minorHAnsi"/>
          <w:sz w:val="24"/>
        </w:rPr>
        <w:t>•</w:t>
      </w:r>
      <w:r w:rsidRPr="00623D36">
        <w:rPr>
          <w:rFonts w:cstheme="minorHAnsi"/>
          <w:sz w:val="24"/>
        </w:rPr>
        <w:tab/>
      </w:r>
      <w:r w:rsidR="003C7F59">
        <w:rPr>
          <w:rFonts w:cstheme="minorHAnsi"/>
          <w:sz w:val="24"/>
        </w:rPr>
        <w:t>P</w:t>
      </w:r>
      <w:r w:rsidRPr="00623D36">
        <w:rPr>
          <w:rFonts w:cstheme="minorHAnsi"/>
          <w:sz w:val="24"/>
        </w:rPr>
        <w:t>osilovat opatření v oblasti připravenosti a reakce, pokud jde o přeshraniční zdravotní hrozby</w:t>
      </w:r>
    </w:p>
    <w:p w:rsidR="00623D36" w:rsidP="00477A42" w14:paraId="20C8D0C5" w14:textId="207AD04E">
      <w:pPr>
        <w:rPr>
          <w:rFonts w:cstheme="minorHAnsi"/>
          <w:sz w:val="24"/>
        </w:rPr>
      </w:pPr>
      <w:r w:rsidRPr="00623D36">
        <w:rPr>
          <w:rFonts w:cstheme="minorHAnsi"/>
          <w:sz w:val="24"/>
        </w:rPr>
        <w:t>V oblasti zdraví přijímá EU právní předpisy a doporučení, jež mají veřejnost chránit – jedná se například o předpisy týkající</w:t>
      </w:r>
      <w:r w:rsidR="00162018">
        <w:rPr>
          <w:rFonts w:cstheme="minorHAnsi"/>
          <w:sz w:val="24"/>
        </w:rPr>
        <w:t xml:space="preserve"> </w:t>
      </w:r>
      <w:r w:rsidRPr="00623D36">
        <w:rPr>
          <w:rFonts w:cstheme="minorHAnsi"/>
          <w:sz w:val="24"/>
        </w:rPr>
        <w:t>se</w:t>
      </w:r>
      <w:r w:rsidRPr="00162018" w:rsidR="00162018">
        <w:rPr>
          <w:rFonts w:cstheme="minorHAnsi"/>
          <w:sz w:val="24"/>
        </w:rPr>
        <w:t xml:space="preserve"> </w:t>
      </w:r>
      <w:r w:rsidR="00162018">
        <w:rPr>
          <w:rFonts w:cstheme="minorHAnsi"/>
          <w:sz w:val="24"/>
        </w:rPr>
        <w:t>léčivých přípravků a</w:t>
      </w:r>
      <w:r w:rsidRPr="00623D36">
        <w:rPr>
          <w:rFonts w:cstheme="minorHAnsi"/>
          <w:sz w:val="24"/>
        </w:rPr>
        <w:t xml:space="preserve"> zdravotnických </w:t>
      </w:r>
      <w:r w:rsidR="00162018">
        <w:rPr>
          <w:rFonts w:cstheme="minorHAnsi"/>
          <w:sz w:val="24"/>
        </w:rPr>
        <w:t>prostředk</w:t>
      </w:r>
      <w:r w:rsidRPr="00623D36" w:rsidR="00162018">
        <w:rPr>
          <w:rFonts w:cstheme="minorHAnsi"/>
          <w:sz w:val="24"/>
        </w:rPr>
        <w:t xml:space="preserve">ů </w:t>
      </w:r>
      <w:r w:rsidRPr="00623D36">
        <w:rPr>
          <w:rFonts w:cstheme="minorHAnsi"/>
          <w:sz w:val="24"/>
        </w:rPr>
        <w:t>nebo práv pacientů.</w:t>
      </w:r>
    </w:p>
    <w:p w:rsidR="009900C8" w:rsidP="00477A42" w14:paraId="3DB80915" w14:textId="2295FA68">
      <w:pPr>
        <w:rPr>
          <w:rFonts w:cstheme="minorHAnsi"/>
          <w:sz w:val="24"/>
        </w:rPr>
      </w:pPr>
      <w:r w:rsidRPr="00A955AF">
        <w:rPr>
          <w:rFonts w:cstheme="minorHAnsi"/>
          <w:sz w:val="24"/>
        </w:rPr>
        <w:t>Evropská komise se</w:t>
      </w:r>
      <w:r w:rsidR="00FA76A0">
        <w:rPr>
          <w:rFonts w:cstheme="minorHAnsi"/>
          <w:sz w:val="24"/>
        </w:rPr>
        <w:t xml:space="preserve"> rovněž</w:t>
      </w:r>
      <w:r w:rsidRPr="00A955AF">
        <w:rPr>
          <w:rFonts w:cstheme="minorHAnsi"/>
          <w:sz w:val="24"/>
        </w:rPr>
        <w:t xml:space="preserve"> zavázala pomáhat </w:t>
      </w:r>
      <w:r w:rsidRPr="00A955AF" w:rsidR="00FC59A5">
        <w:rPr>
          <w:rFonts w:cstheme="minorHAnsi"/>
          <w:sz w:val="24"/>
        </w:rPr>
        <w:t>č</w:t>
      </w:r>
      <w:r w:rsidRPr="00A955AF">
        <w:rPr>
          <w:rFonts w:cstheme="minorHAnsi"/>
          <w:sz w:val="24"/>
        </w:rPr>
        <w:t xml:space="preserve">lenským státům v naplňování dílčích cílů </w:t>
      </w:r>
      <w:r w:rsidR="00623D36">
        <w:rPr>
          <w:rFonts w:cstheme="minorHAnsi"/>
          <w:sz w:val="24"/>
        </w:rPr>
        <w:t>A</w:t>
      </w:r>
      <w:r w:rsidRPr="00A955AF" w:rsidR="00623D36">
        <w:rPr>
          <w:rFonts w:cstheme="minorHAnsi"/>
          <w:sz w:val="24"/>
        </w:rPr>
        <w:t>gendy</w:t>
      </w:r>
      <w:r w:rsidR="00623D36">
        <w:rPr>
          <w:rFonts w:cstheme="minorHAnsi"/>
          <w:sz w:val="24"/>
        </w:rPr>
        <w:t xml:space="preserve"> 2030</w:t>
      </w:r>
      <w:r w:rsidRPr="00A955AF">
        <w:rPr>
          <w:rFonts w:cstheme="minorHAnsi"/>
          <w:sz w:val="24"/>
        </w:rPr>
        <w:t xml:space="preserve">, včetně </w:t>
      </w:r>
      <w:r w:rsidRPr="00A955AF" w:rsidR="00350634">
        <w:rPr>
          <w:rFonts w:cstheme="minorHAnsi"/>
          <w:sz w:val="24"/>
        </w:rPr>
        <w:t xml:space="preserve">boje s nepřenosnými </w:t>
      </w:r>
      <w:r w:rsidR="00162018">
        <w:rPr>
          <w:rFonts w:cstheme="minorHAnsi"/>
          <w:sz w:val="24"/>
        </w:rPr>
        <w:t>onemocněními</w:t>
      </w:r>
      <w:r w:rsidRPr="00A955AF" w:rsidR="00162018">
        <w:rPr>
          <w:rFonts w:cstheme="minorHAnsi"/>
          <w:sz w:val="24"/>
        </w:rPr>
        <w:t xml:space="preserve"> </w:t>
      </w:r>
      <w:r w:rsidRPr="00A955AF" w:rsidR="00350634">
        <w:rPr>
          <w:rFonts w:cstheme="minorHAnsi"/>
          <w:sz w:val="24"/>
        </w:rPr>
        <w:t>i</w:t>
      </w:r>
      <w:r w:rsidRPr="00A955AF" w:rsidR="00BA23A4">
        <w:rPr>
          <w:rFonts w:cstheme="minorHAnsi"/>
          <w:sz w:val="24"/>
        </w:rPr>
        <w:t> </w:t>
      </w:r>
      <w:r w:rsidRPr="00A955AF">
        <w:rPr>
          <w:rFonts w:cstheme="minorHAnsi"/>
          <w:sz w:val="24"/>
        </w:rPr>
        <w:t>zajišťování</w:t>
      </w:r>
      <w:r w:rsidRPr="00A955AF" w:rsidR="00DC5E34">
        <w:rPr>
          <w:rFonts w:cstheme="minorHAnsi"/>
          <w:sz w:val="24"/>
        </w:rPr>
        <w:t>m</w:t>
      </w:r>
      <w:r w:rsidRPr="00A955AF">
        <w:rPr>
          <w:rFonts w:cstheme="minorHAnsi"/>
          <w:sz w:val="24"/>
        </w:rPr>
        <w:t xml:space="preserve"> kvalitní zdravotní péče. </w:t>
      </w:r>
    </w:p>
    <w:p w:rsidR="006273D5" w:rsidP="00477A42" w14:paraId="5415545C" w14:textId="77777777">
      <w:pPr>
        <w:rPr>
          <w:rFonts w:cstheme="minorHAnsi"/>
          <w:sz w:val="24"/>
        </w:rPr>
      </w:pPr>
    </w:p>
    <w:p w:rsidR="006273D5" w:rsidRPr="003D5E99" w:rsidP="00477A42" w14:paraId="58021AA5" w14:textId="3D6E74D8">
      <w:pPr>
        <w:rPr>
          <w:rFonts w:cstheme="minorHAnsi"/>
          <w:b/>
          <w:bCs/>
          <w:sz w:val="24"/>
          <w:u w:val="single"/>
        </w:rPr>
      </w:pPr>
      <w:r w:rsidRPr="003D5E99">
        <w:rPr>
          <w:rFonts w:cstheme="minorHAnsi"/>
          <w:b/>
          <w:bCs/>
          <w:sz w:val="24"/>
          <w:u w:val="single"/>
        </w:rPr>
        <w:t>Důležité strategické dokumenty EU v oblasti zdraví</w:t>
      </w:r>
    </w:p>
    <w:p w:rsidR="00F11CB4" w:rsidRPr="00A955AF" w:rsidP="00477A42" w14:paraId="6C0E4127" w14:textId="5A08D63A">
      <w:pPr>
        <w:rPr>
          <w:rFonts w:cstheme="minorHAnsi"/>
          <w:sz w:val="24"/>
        </w:rPr>
      </w:pPr>
      <w:r w:rsidRPr="00A955AF">
        <w:rPr>
          <w:rFonts w:cstheme="minorHAnsi"/>
          <w:sz w:val="24"/>
        </w:rPr>
        <w:t xml:space="preserve">V červnu 2017 vydala EU </w:t>
      </w:r>
      <w:r w:rsidRPr="00A955AF">
        <w:rPr>
          <w:rFonts w:cstheme="minorHAnsi"/>
          <w:b/>
          <w:sz w:val="24"/>
        </w:rPr>
        <w:t>Společné prohlášení Rady a zástupců vlád členských států zasedajících v Radě, Evropského parlamentu a Komise NOVÝ EVROPSKÝ KONSENSUS O</w:t>
      </w:r>
      <w:r w:rsidRPr="00A955AF" w:rsidR="00054331">
        <w:rPr>
          <w:rFonts w:cstheme="minorHAnsi"/>
          <w:b/>
          <w:sz w:val="24"/>
        </w:rPr>
        <w:t> </w:t>
      </w:r>
      <w:r w:rsidRPr="00A955AF">
        <w:rPr>
          <w:rFonts w:cstheme="minorHAnsi"/>
          <w:b/>
          <w:sz w:val="24"/>
        </w:rPr>
        <w:t>ROZVOJI „NÁŠ SVĚT, NAŠE DŮSTOJNOST, NAŠE BUDOUCNOST“ (2017/C 210/01)</w:t>
      </w:r>
      <w:r w:rsidRPr="00A955AF">
        <w:rPr>
          <w:rFonts w:cstheme="minorHAnsi"/>
          <w:sz w:val="24"/>
        </w:rPr>
        <w:t>, jehož</w:t>
      </w:r>
      <w:r w:rsidRPr="00A955AF" w:rsidR="00054331">
        <w:rPr>
          <w:rFonts w:cstheme="minorHAnsi"/>
          <w:sz w:val="24"/>
        </w:rPr>
        <w:t> </w:t>
      </w:r>
      <w:r w:rsidRPr="00A955AF">
        <w:rPr>
          <w:rFonts w:cstheme="minorHAnsi"/>
          <w:sz w:val="24"/>
        </w:rPr>
        <w:t xml:space="preserve">primárním </w:t>
      </w:r>
      <w:r w:rsidR="00162018">
        <w:rPr>
          <w:rFonts w:cstheme="minorHAnsi"/>
          <w:sz w:val="24"/>
        </w:rPr>
        <w:t>cílem</w:t>
      </w:r>
      <w:r w:rsidRPr="00A955AF" w:rsidR="00162018">
        <w:rPr>
          <w:rFonts w:cstheme="minorHAnsi"/>
          <w:sz w:val="24"/>
        </w:rPr>
        <w:t xml:space="preserve"> </w:t>
      </w:r>
      <w:r w:rsidRPr="00A955AF">
        <w:rPr>
          <w:rFonts w:cstheme="minorHAnsi"/>
          <w:sz w:val="24"/>
        </w:rPr>
        <w:t>je poskytnout rámec</w:t>
      </w:r>
      <w:r w:rsidR="00162018">
        <w:rPr>
          <w:rFonts w:cstheme="minorHAnsi"/>
          <w:sz w:val="24"/>
        </w:rPr>
        <w:t xml:space="preserve"> EU</w:t>
      </w:r>
      <w:r w:rsidRPr="00A955AF">
        <w:rPr>
          <w:rFonts w:cstheme="minorHAnsi"/>
          <w:sz w:val="24"/>
        </w:rPr>
        <w:t xml:space="preserve"> pro společný přístup k rozvojové politice, který</w:t>
      </w:r>
      <w:r w:rsidRPr="00A955AF" w:rsidR="00054331">
        <w:rPr>
          <w:rFonts w:cstheme="minorHAnsi"/>
          <w:sz w:val="24"/>
        </w:rPr>
        <w:t> </w:t>
      </w:r>
      <w:r w:rsidRPr="00A955AF">
        <w:rPr>
          <w:rFonts w:cstheme="minorHAnsi"/>
          <w:sz w:val="24"/>
        </w:rPr>
        <w:t>budou orgány EU a členské státy uplatňovat při plném respektování svých příslušných úloh a</w:t>
      </w:r>
      <w:r w:rsidRPr="00A955AF" w:rsidR="00054331">
        <w:rPr>
          <w:rFonts w:cstheme="minorHAnsi"/>
          <w:sz w:val="24"/>
        </w:rPr>
        <w:t> </w:t>
      </w:r>
      <w:r w:rsidRPr="00A955AF">
        <w:rPr>
          <w:rFonts w:cstheme="minorHAnsi"/>
          <w:sz w:val="24"/>
        </w:rPr>
        <w:t xml:space="preserve">pravomocí. </w:t>
      </w:r>
      <w:r w:rsidRPr="00A955AF" w:rsidR="000B0037">
        <w:rPr>
          <w:rFonts w:cstheme="minorHAnsi"/>
          <w:sz w:val="24"/>
        </w:rPr>
        <w:t>V oblasti zdravotnictví dokument uvádí, ž</w:t>
      </w:r>
      <w:r w:rsidRPr="00A955AF" w:rsidR="00090C7E">
        <w:rPr>
          <w:rFonts w:cstheme="minorHAnsi"/>
          <w:sz w:val="24"/>
        </w:rPr>
        <w:t xml:space="preserve">e </w:t>
      </w:r>
      <w:r w:rsidRPr="00A955AF">
        <w:rPr>
          <w:rFonts w:cstheme="minorHAnsi"/>
          <w:sz w:val="24"/>
        </w:rPr>
        <w:t>EU a její členské státy budou i</w:t>
      </w:r>
      <w:r w:rsidR="003D5E99">
        <w:rPr>
          <w:rFonts w:cstheme="minorHAnsi"/>
          <w:sz w:val="24"/>
        </w:rPr>
        <w:t> </w:t>
      </w:r>
      <w:r w:rsidRPr="00A955AF">
        <w:rPr>
          <w:rFonts w:cstheme="minorHAnsi"/>
          <w:sz w:val="24"/>
        </w:rPr>
        <w:t xml:space="preserve">nadále investovat </w:t>
      </w:r>
      <w:r w:rsidRPr="00A955AF" w:rsidR="00B64190">
        <w:rPr>
          <w:rFonts w:cstheme="minorHAnsi"/>
          <w:sz w:val="24"/>
        </w:rPr>
        <w:t>do </w:t>
      </w:r>
      <w:r w:rsidRPr="00A955AF">
        <w:rPr>
          <w:rFonts w:cstheme="minorHAnsi"/>
          <w:sz w:val="24"/>
        </w:rPr>
        <w:t xml:space="preserve">prevence a potírání přenosných </w:t>
      </w:r>
      <w:r w:rsidR="00162018">
        <w:rPr>
          <w:rFonts w:cstheme="minorHAnsi"/>
          <w:sz w:val="24"/>
        </w:rPr>
        <w:t>onemocnění</w:t>
      </w:r>
      <w:r w:rsidRPr="00A955AF">
        <w:rPr>
          <w:rFonts w:cstheme="minorHAnsi"/>
          <w:sz w:val="24"/>
        </w:rPr>
        <w:t>, jako jsou HIV/AIDS, tu</w:t>
      </w:r>
      <w:r w:rsidRPr="00A955AF" w:rsidR="000B0037">
        <w:rPr>
          <w:rFonts w:cstheme="minorHAnsi"/>
          <w:sz w:val="24"/>
        </w:rPr>
        <w:t>berkulóza, malárie a</w:t>
      </w:r>
      <w:r w:rsidRPr="00A955AF" w:rsidR="00054331">
        <w:rPr>
          <w:rFonts w:cstheme="minorHAnsi"/>
          <w:sz w:val="24"/>
        </w:rPr>
        <w:t> </w:t>
      </w:r>
      <w:r w:rsidRPr="00A955AF" w:rsidR="000B0037">
        <w:rPr>
          <w:rFonts w:cstheme="minorHAnsi"/>
          <w:sz w:val="24"/>
        </w:rPr>
        <w:t>hepatitida</w:t>
      </w:r>
      <w:r w:rsidR="00460913">
        <w:rPr>
          <w:rFonts w:cstheme="minorHAnsi"/>
          <w:sz w:val="24"/>
        </w:rPr>
        <w:t>,</w:t>
      </w:r>
      <w:r w:rsidRPr="00A955AF">
        <w:rPr>
          <w:rFonts w:cstheme="minorHAnsi"/>
          <w:sz w:val="24"/>
        </w:rPr>
        <w:t xml:space="preserve"> a pomohou zajistit přístup k cenově dostupným základním lé</w:t>
      </w:r>
      <w:r w:rsidR="00162018">
        <w:rPr>
          <w:rFonts w:cstheme="minorHAnsi"/>
          <w:sz w:val="24"/>
        </w:rPr>
        <w:t>čivým přípravkům</w:t>
      </w:r>
      <w:r w:rsidRPr="00A955AF">
        <w:rPr>
          <w:rFonts w:cstheme="minorHAnsi"/>
          <w:sz w:val="24"/>
        </w:rPr>
        <w:t xml:space="preserve"> a očkovacím látkám pro všechny. Budou podporovat výzkum a investice v oblasti nových zdravotnických technologií a jejich vývoj. Přijmou opatření k řešení celosvětových zdravotních hrozeb, jako</w:t>
      </w:r>
      <w:r w:rsidRPr="00A955AF" w:rsidR="00054331">
        <w:rPr>
          <w:rFonts w:cstheme="minorHAnsi"/>
          <w:sz w:val="24"/>
        </w:rPr>
        <w:t> </w:t>
      </w:r>
      <w:r w:rsidRPr="00A955AF">
        <w:rPr>
          <w:rFonts w:cstheme="minorHAnsi"/>
          <w:sz w:val="24"/>
        </w:rPr>
        <w:t xml:space="preserve">jsou epidemie a </w:t>
      </w:r>
      <w:r w:rsidR="006E3F97">
        <w:rPr>
          <w:rFonts w:cstheme="minorHAnsi"/>
          <w:sz w:val="24"/>
        </w:rPr>
        <w:t xml:space="preserve">antimikrobiální </w:t>
      </w:r>
      <w:r w:rsidRPr="00A955AF">
        <w:rPr>
          <w:rFonts w:cstheme="minorHAnsi"/>
          <w:sz w:val="24"/>
        </w:rPr>
        <w:t>rezistence vůči, prostřednictvím přístupu zaměřeného na veřejné zdraví</w:t>
      </w:r>
      <w:r>
        <w:rPr>
          <w:rStyle w:val="FootnoteReference"/>
          <w:rFonts w:cstheme="minorHAnsi"/>
          <w:sz w:val="24"/>
        </w:rPr>
        <w:footnoteReference w:id="19"/>
      </w:r>
      <w:r w:rsidRPr="00A955AF">
        <w:rPr>
          <w:rFonts w:cstheme="minorHAnsi"/>
          <w:sz w:val="24"/>
        </w:rPr>
        <w:t xml:space="preserve">. </w:t>
      </w:r>
    </w:p>
    <w:p w:rsidR="00457D1D" w:rsidRPr="00A955AF" w:rsidP="00477A42" w14:paraId="147A4594" w14:textId="0485465D">
      <w:pPr>
        <w:rPr>
          <w:rFonts w:cstheme="minorHAnsi"/>
          <w:sz w:val="24"/>
        </w:rPr>
      </w:pPr>
      <w:r w:rsidRPr="006273D5">
        <w:rPr>
          <w:rFonts w:cstheme="minorHAnsi"/>
          <w:b/>
          <w:color w:val="000000" w:themeColor="text1"/>
          <w:sz w:val="24"/>
        </w:rPr>
        <w:t xml:space="preserve">Sdělení Komise Evropskému parlamentu, Radě, Evropskému hospodářskému a sociálnímu výboru a Výboru regionů: Další kroky k udržitelné evropské budoucnosti, </w:t>
      </w:r>
      <w:r w:rsidR="006E3F97">
        <w:rPr>
          <w:rFonts w:cstheme="minorHAnsi"/>
          <w:b/>
          <w:color w:val="000000" w:themeColor="text1"/>
          <w:sz w:val="24"/>
        </w:rPr>
        <w:t>e</w:t>
      </w:r>
      <w:r w:rsidRPr="006273D5" w:rsidR="006E3F97">
        <w:rPr>
          <w:rFonts w:cstheme="minorHAnsi"/>
          <w:b/>
          <w:color w:val="000000" w:themeColor="text1"/>
          <w:sz w:val="24"/>
        </w:rPr>
        <w:t xml:space="preserve">vropské </w:t>
      </w:r>
      <w:r w:rsidRPr="006273D5">
        <w:rPr>
          <w:rFonts w:cstheme="minorHAnsi"/>
          <w:b/>
          <w:color w:val="000000" w:themeColor="text1"/>
          <w:sz w:val="24"/>
        </w:rPr>
        <w:t>úsilí v</w:t>
      </w:r>
      <w:r w:rsidRPr="006273D5" w:rsidR="00054331">
        <w:rPr>
          <w:rFonts w:cstheme="minorHAnsi"/>
          <w:b/>
          <w:color w:val="000000" w:themeColor="text1"/>
          <w:sz w:val="24"/>
        </w:rPr>
        <w:t> </w:t>
      </w:r>
      <w:r w:rsidRPr="006273D5">
        <w:rPr>
          <w:rFonts w:cstheme="minorHAnsi"/>
          <w:b/>
          <w:color w:val="000000" w:themeColor="text1"/>
          <w:sz w:val="24"/>
        </w:rPr>
        <w:t>oblasti udržitelnosti (COM</w:t>
      </w:r>
      <w:r w:rsidRPr="006273D5" w:rsidR="006B25D8">
        <w:rPr>
          <w:rFonts w:cstheme="minorHAnsi"/>
          <w:b/>
          <w:color w:val="000000" w:themeColor="text1"/>
          <w:sz w:val="24"/>
        </w:rPr>
        <w:t xml:space="preserve"> </w:t>
      </w:r>
      <w:r w:rsidRPr="006273D5">
        <w:rPr>
          <w:rFonts w:cstheme="minorHAnsi"/>
          <w:b/>
          <w:color w:val="000000" w:themeColor="text1"/>
          <w:sz w:val="24"/>
        </w:rPr>
        <w:t>(2016)739)</w:t>
      </w:r>
      <w:r w:rsidRPr="006273D5">
        <w:rPr>
          <w:rFonts w:cstheme="minorHAnsi"/>
          <w:b/>
          <w:sz w:val="24"/>
        </w:rPr>
        <w:t xml:space="preserve"> </w:t>
      </w:r>
      <w:r w:rsidR="006273D5">
        <w:rPr>
          <w:rFonts w:cstheme="minorHAnsi"/>
          <w:b/>
          <w:sz w:val="24"/>
        </w:rPr>
        <w:t xml:space="preserve"> </w:t>
      </w:r>
      <w:r w:rsidR="006273D5">
        <w:rPr>
          <w:rFonts w:cstheme="minorHAnsi"/>
          <w:sz w:val="24"/>
        </w:rPr>
        <w:t>doplňuje, v</w:t>
      </w:r>
      <w:r w:rsidRPr="00A955AF">
        <w:rPr>
          <w:rFonts w:cstheme="minorHAnsi"/>
          <w:sz w:val="24"/>
        </w:rPr>
        <w:t> souvislosti s cílem SDG 3</w:t>
      </w:r>
      <w:r w:rsidRPr="00A955AF">
        <w:rPr>
          <w:rFonts w:cstheme="minorHAnsi"/>
          <w:i/>
          <w:iCs/>
          <w:sz w:val="24"/>
        </w:rPr>
        <w:t xml:space="preserve"> „Zajistit zdravý život a zvyš</w:t>
      </w:r>
      <w:r w:rsidRPr="00A955AF" w:rsidR="00054331">
        <w:rPr>
          <w:rFonts w:cstheme="minorHAnsi"/>
          <w:i/>
          <w:iCs/>
          <w:sz w:val="24"/>
        </w:rPr>
        <w:t>ovat jeho kvalitu pro všechny v </w:t>
      </w:r>
      <w:r w:rsidRPr="00A955AF">
        <w:rPr>
          <w:rFonts w:cstheme="minorHAnsi"/>
          <w:i/>
          <w:iCs/>
          <w:sz w:val="24"/>
        </w:rPr>
        <w:t>jakémkoli</w:t>
      </w:r>
      <w:r w:rsidR="006E3F97">
        <w:rPr>
          <w:rFonts w:cstheme="minorHAnsi"/>
          <w:i/>
          <w:iCs/>
          <w:sz w:val="24"/>
        </w:rPr>
        <w:t>v</w:t>
      </w:r>
      <w:r w:rsidRPr="00A955AF">
        <w:rPr>
          <w:rFonts w:cstheme="minorHAnsi"/>
          <w:i/>
          <w:iCs/>
          <w:sz w:val="24"/>
        </w:rPr>
        <w:t xml:space="preserve"> věku“</w:t>
      </w:r>
      <w:r w:rsidR="006273D5">
        <w:rPr>
          <w:rFonts w:cstheme="minorHAnsi"/>
          <w:sz w:val="24"/>
        </w:rPr>
        <w:t>,</w:t>
      </w:r>
      <w:r w:rsidRPr="00A955AF">
        <w:rPr>
          <w:rFonts w:cstheme="minorHAnsi"/>
          <w:sz w:val="24"/>
        </w:rPr>
        <w:t xml:space="preserve"> opatření členských států prostřednictvím právních předpisů a</w:t>
      </w:r>
      <w:r w:rsidRPr="00A955AF" w:rsidR="00054331">
        <w:rPr>
          <w:rFonts w:cstheme="minorHAnsi"/>
          <w:sz w:val="24"/>
        </w:rPr>
        <w:t> </w:t>
      </w:r>
      <w:r w:rsidRPr="00A955AF">
        <w:rPr>
          <w:rFonts w:cstheme="minorHAnsi"/>
          <w:sz w:val="24"/>
        </w:rPr>
        <w:t xml:space="preserve">dalších iniciativ zabývajících se veřejným zdravím, </w:t>
      </w:r>
      <w:r w:rsidRPr="00A955AF" w:rsidR="006E3F97">
        <w:rPr>
          <w:rFonts w:cstheme="minorHAnsi"/>
          <w:sz w:val="24"/>
        </w:rPr>
        <w:t>zdravotn</w:t>
      </w:r>
      <w:r w:rsidR="006E3F97">
        <w:rPr>
          <w:rFonts w:cstheme="minorHAnsi"/>
          <w:sz w:val="24"/>
        </w:rPr>
        <w:t>í</w:t>
      </w:r>
      <w:r w:rsidRPr="00A955AF" w:rsidR="006E3F97">
        <w:rPr>
          <w:rFonts w:cstheme="minorHAnsi"/>
          <w:sz w:val="24"/>
        </w:rPr>
        <w:t xml:space="preserve">mi </w:t>
      </w:r>
      <w:r w:rsidRPr="00A955AF">
        <w:rPr>
          <w:rFonts w:cstheme="minorHAnsi"/>
          <w:sz w:val="24"/>
        </w:rPr>
        <w:t>systémy a zdravotními problémy souvisejícími se životním prostředím (včetně kvality ovzduší, chemických látek a</w:t>
      </w:r>
      <w:r w:rsidRPr="00A955AF" w:rsidR="00054331">
        <w:rPr>
          <w:rFonts w:cstheme="minorHAnsi"/>
          <w:sz w:val="24"/>
        </w:rPr>
        <w:t> </w:t>
      </w:r>
      <w:r w:rsidRPr="00A955AF">
        <w:rPr>
          <w:rFonts w:cstheme="minorHAnsi"/>
          <w:sz w:val="24"/>
        </w:rPr>
        <w:t xml:space="preserve">odpadu). Komise bude pomáhat členským státům </w:t>
      </w:r>
      <w:r w:rsidRPr="00A955AF">
        <w:rPr>
          <w:rFonts w:cstheme="minorHAnsi"/>
          <w:sz w:val="24"/>
        </w:rPr>
        <w:t>v</w:t>
      </w:r>
      <w:r w:rsidR="003D5E99">
        <w:rPr>
          <w:rFonts w:cstheme="minorHAnsi"/>
          <w:sz w:val="24"/>
        </w:rPr>
        <w:t> </w:t>
      </w:r>
      <w:r w:rsidRPr="00A955AF">
        <w:rPr>
          <w:rFonts w:cstheme="minorHAnsi"/>
          <w:sz w:val="24"/>
        </w:rPr>
        <w:t>naplňování dílčích cílů stanovených v</w:t>
      </w:r>
      <w:r w:rsidRPr="00A955AF" w:rsidR="00054331">
        <w:rPr>
          <w:rFonts w:cstheme="minorHAnsi"/>
          <w:sz w:val="24"/>
        </w:rPr>
        <w:t> </w:t>
      </w:r>
      <w:r w:rsidRPr="00A955AF">
        <w:rPr>
          <w:rFonts w:cstheme="minorHAnsi"/>
          <w:sz w:val="24"/>
        </w:rPr>
        <w:t>rámci SD</w:t>
      </w:r>
      <w:r w:rsidRPr="00A955AF" w:rsidR="00CA2AA9">
        <w:rPr>
          <w:rFonts w:cstheme="minorHAnsi"/>
          <w:sz w:val="24"/>
        </w:rPr>
        <w:t>G</w:t>
      </w:r>
      <w:r w:rsidRPr="00A955AF">
        <w:rPr>
          <w:rFonts w:cstheme="minorHAnsi"/>
          <w:sz w:val="24"/>
        </w:rPr>
        <w:t xml:space="preserve">s, zejména ve snižování úmrtnosti v důsledku chronických </w:t>
      </w:r>
      <w:r w:rsidR="006E3F97">
        <w:rPr>
          <w:rFonts w:cstheme="minorHAnsi"/>
          <w:sz w:val="24"/>
        </w:rPr>
        <w:t>onemocnění</w:t>
      </w:r>
      <w:r w:rsidRPr="00A955AF">
        <w:rPr>
          <w:rFonts w:cstheme="minorHAnsi"/>
          <w:sz w:val="24"/>
        </w:rPr>
        <w:t>, zajišťování kvalitní zdravotní péče, posilování kapacity zaměřující se na prevenci a řízení globálních zdravotních hrozeb (včetně antimikrobiální rezistence), vymýcení HIV/AIDS a tuberkulózy</w:t>
      </w:r>
      <w:r w:rsidRPr="00A955AF" w:rsidR="00054331">
        <w:rPr>
          <w:rFonts w:cstheme="minorHAnsi"/>
          <w:sz w:val="24"/>
        </w:rPr>
        <w:t xml:space="preserve"> (a </w:t>
      </w:r>
      <w:r w:rsidRPr="00A955AF">
        <w:rPr>
          <w:rFonts w:cstheme="minorHAnsi"/>
          <w:sz w:val="24"/>
        </w:rPr>
        <w:t xml:space="preserve">omezení výskytu hepatitidy) a provádění Rámcové úmluvy </w:t>
      </w:r>
      <w:r w:rsidRPr="00A955AF" w:rsidR="006A0186">
        <w:rPr>
          <w:rFonts w:cstheme="minorHAnsi"/>
          <w:sz w:val="24"/>
        </w:rPr>
        <w:t xml:space="preserve">Světové zdravotnické organizace </w:t>
      </w:r>
      <w:r w:rsidRPr="00A955AF">
        <w:rPr>
          <w:rFonts w:cstheme="minorHAnsi"/>
          <w:sz w:val="24"/>
        </w:rPr>
        <w:t>o kontrole tabáku.</w:t>
      </w:r>
    </w:p>
    <w:p w:rsidR="00157178" w:rsidP="00477A42" w14:paraId="2352DD79" w14:textId="07E9122A">
      <w:pPr>
        <w:rPr>
          <w:rFonts w:cstheme="minorHAnsi"/>
          <w:sz w:val="24"/>
        </w:rPr>
      </w:pPr>
      <w:r w:rsidRPr="00A955AF">
        <w:rPr>
          <w:rFonts w:cstheme="minorHAnsi"/>
          <w:sz w:val="24"/>
        </w:rPr>
        <w:t xml:space="preserve">Ve svém </w:t>
      </w:r>
      <w:r w:rsidRPr="006273D5" w:rsidR="006273D5">
        <w:rPr>
          <w:rFonts w:cstheme="minorHAnsi"/>
          <w:b/>
          <w:sz w:val="24"/>
        </w:rPr>
        <w:t>Sdělení Komise Účinné, dostupné a odolné systémy zdravotní péče (COM (2014)215)</w:t>
      </w:r>
      <w:r w:rsidR="006273D5">
        <w:rPr>
          <w:rFonts w:cstheme="minorHAnsi"/>
          <w:b/>
          <w:sz w:val="24"/>
        </w:rPr>
        <w:t xml:space="preserve"> </w:t>
      </w:r>
      <w:r w:rsidRPr="00A955AF">
        <w:rPr>
          <w:rFonts w:cstheme="minorHAnsi"/>
          <w:sz w:val="24"/>
        </w:rPr>
        <w:t>Evropská komise pojmenovala prioritní oblasti pro spolupráci, např. kvalita a</w:t>
      </w:r>
      <w:r w:rsidR="003D5E99">
        <w:rPr>
          <w:rFonts w:cstheme="minorHAnsi"/>
          <w:sz w:val="24"/>
        </w:rPr>
        <w:t> </w:t>
      </w:r>
      <w:r w:rsidRPr="00A955AF">
        <w:rPr>
          <w:rFonts w:cstheme="minorHAnsi"/>
          <w:sz w:val="24"/>
        </w:rPr>
        <w:t xml:space="preserve">integrace péče, hodnocení výkonnosti systémů zdravotní péče, hodnocení zdravotnických technologií (HTA), zdravotnické informační systémy či </w:t>
      </w:r>
      <w:r w:rsidRPr="00A955AF" w:rsidR="006E3F97">
        <w:rPr>
          <w:rFonts w:cstheme="minorHAnsi"/>
          <w:sz w:val="24"/>
        </w:rPr>
        <w:t>elektroni</w:t>
      </w:r>
      <w:r w:rsidR="006E3F97">
        <w:rPr>
          <w:rFonts w:cstheme="minorHAnsi"/>
          <w:sz w:val="24"/>
        </w:rPr>
        <w:t>zace</w:t>
      </w:r>
      <w:r w:rsidRPr="00A955AF" w:rsidR="006E3F97">
        <w:rPr>
          <w:rFonts w:cstheme="minorHAnsi"/>
          <w:sz w:val="24"/>
        </w:rPr>
        <w:t xml:space="preserve"> </w:t>
      </w:r>
      <w:r w:rsidRPr="00A955AF">
        <w:rPr>
          <w:rFonts w:cstheme="minorHAnsi"/>
          <w:sz w:val="24"/>
        </w:rPr>
        <w:t xml:space="preserve">zdravotnictví. </w:t>
      </w:r>
    </w:p>
    <w:p w:rsidR="006273D5" w:rsidP="00FA76A0" w14:paraId="07AD578E" w14:textId="78DB882A">
      <w:pPr>
        <w:rPr>
          <w:sz w:val="24"/>
        </w:rPr>
      </w:pPr>
      <w:r w:rsidRPr="0D4C4CA9">
        <w:rPr>
          <w:sz w:val="24"/>
        </w:rPr>
        <w:t xml:space="preserve">EU tím </w:t>
      </w:r>
      <w:r w:rsidRPr="0D4C4CA9" w:rsidR="22B9D668">
        <w:rPr>
          <w:sz w:val="24"/>
        </w:rPr>
        <w:t>zahájila</w:t>
      </w:r>
      <w:r w:rsidRPr="0D4C4CA9">
        <w:rPr>
          <w:sz w:val="24"/>
        </w:rPr>
        <w:t xml:space="preserve"> program, jehož cílem je vypracovat </w:t>
      </w:r>
      <w:r w:rsidRPr="0D4C4CA9" w:rsidR="22B9D668">
        <w:rPr>
          <w:sz w:val="24"/>
        </w:rPr>
        <w:t>koordinovaná</w:t>
      </w:r>
      <w:r w:rsidRPr="0D4C4CA9">
        <w:rPr>
          <w:sz w:val="24"/>
        </w:rPr>
        <w:t xml:space="preserve"> opatření EU ke zlepšení účinnosti, </w:t>
      </w:r>
      <w:r w:rsidRPr="0D4C4CA9" w:rsidR="22B9D668">
        <w:rPr>
          <w:sz w:val="24"/>
        </w:rPr>
        <w:t>dostupnosti a odolnosti</w:t>
      </w:r>
      <w:r w:rsidRPr="0D4C4CA9">
        <w:rPr>
          <w:sz w:val="24"/>
        </w:rPr>
        <w:t xml:space="preserve"> </w:t>
      </w:r>
      <w:r w:rsidRPr="0D4C4CA9" w:rsidR="006E3F97">
        <w:rPr>
          <w:sz w:val="24"/>
        </w:rPr>
        <w:t>zdravotn</w:t>
      </w:r>
      <w:r w:rsidR="006E3F97">
        <w:rPr>
          <w:sz w:val="24"/>
        </w:rPr>
        <w:t>í</w:t>
      </w:r>
      <w:r w:rsidRPr="0D4C4CA9" w:rsidR="006E3F97">
        <w:rPr>
          <w:sz w:val="24"/>
        </w:rPr>
        <w:t xml:space="preserve">ch </w:t>
      </w:r>
      <w:r w:rsidRPr="0D4C4CA9">
        <w:rPr>
          <w:sz w:val="24"/>
        </w:rPr>
        <w:t xml:space="preserve">systémů. </w:t>
      </w:r>
    </w:p>
    <w:p w:rsidR="00C53CE3" w:rsidP="00FA76A0" w14:paraId="687C19F1" w14:textId="77777777">
      <w:pPr>
        <w:rPr>
          <w:rFonts w:cstheme="minorHAnsi"/>
          <w:sz w:val="24"/>
        </w:rPr>
      </w:pPr>
    </w:p>
    <w:p w:rsidR="00C53CE3" w:rsidP="003C7F59" w14:paraId="1193718F" w14:textId="713AD5F0">
      <w:pPr>
        <w:pStyle w:val="Caption"/>
        <w:rPr>
          <w:rFonts w:cstheme="minorHAnsi"/>
          <w:sz w:val="24"/>
        </w:rPr>
      </w:pPr>
      <w:bookmarkStart w:id="462" w:name="_Toc256000080"/>
      <w:r w:rsidRPr="00BB7C6B">
        <w:t xml:space="preserve">Graf </w:t>
      </w:r>
      <w:r w:rsidRPr="008729A1">
        <w:fldChar w:fldCharType="begin"/>
      </w:r>
      <w:r w:rsidRPr="008729A1">
        <w:instrText xml:space="preserve"> SEQ Graf \* ARABIC </w:instrText>
      </w:r>
      <w:r w:rsidRPr="008729A1">
        <w:fldChar w:fldCharType="separate"/>
      </w:r>
      <w:r w:rsidRPr="008729A1">
        <w:t>6</w:t>
      </w:r>
      <w:r w:rsidRPr="008729A1">
        <w:fldChar w:fldCharType="end"/>
      </w:r>
      <w:r w:rsidRPr="008729A1">
        <w:t xml:space="preserve"> Priority Agendy EU pro účinné, dostupné a odolné systémy zdravotní péče</w:t>
      </w:r>
      <w:bookmarkEnd w:id="462"/>
    </w:p>
    <w:tbl>
      <w:tblPr>
        <w:tblW w:w="8505" w:type="dxa"/>
        <w:tblCellMar>
          <w:top w:w="15" w:type="dxa"/>
          <w:left w:w="15" w:type="dxa"/>
          <w:bottom w:w="15" w:type="dxa"/>
          <w:right w:w="15" w:type="dxa"/>
        </w:tblCellMar>
        <w:tblLook w:val="04A0"/>
      </w:tblPr>
      <w:tblGrid>
        <w:gridCol w:w="2694"/>
        <w:gridCol w:w="2835"/>
        <w:gridCol w:w="2976"/>
      </w:tblGrid>
      <w:tr w14:paraId="4872A3EB" w14:textId="77777777" w:rsidTr="0D4C4CA9">
        <w:tblPrEx>
          <w:tblW w:w="8505" w:type="dxa"/>
          <w:tblCellMar>
            <w:top w:w="15" w:type="dxa"/>
            <w:left w:w="15" w:type="dxa"/>
            <w:bottom w:w="15" w:type="dxa"/>
            <w:right w:w="15" w:type="dxa"/>
          </w:tblCellMar>
          <w:tblLook w:val="04A0"/>
        </w:tblPrEx>
        <w:trPr>
          <w:trHeight w:val="475"/>
          <w:tblHeader/>
        </w:trPr>
        <w:tc>
          <w:tcPr>
            <w:tcW w:w="8505" w:type="dxa"/>
            <w:gridSpan w:val="3"/>
            <w:tcBorders>
              <w:top w:val="single" w:sz="4" w:space="0" w:color="auto"/>
              <w:left w:val="single" w:sz="4" w:space="0" w:color="auto"/>
              <w:bottom w:val="single" w:sz="4" w:space="0" w:color="auto"/>
              <w:right w:val="single" w:sz="4" w:space="0" w:color="auto"/>
            </w:tcBorders>
            <w:shd w:val="clear" w:color="auto" w:fill="D1D9F1"/>
            <w:tcMar>
              <w:top w:w="240" w:type="dxa"/>
              <w:left w:w="240" w:type="dxa"/>
              <w:bottom w:w="240" w:type="dxa"/>
              <w:right w:w="240" w:type="dxa"/>
            </w:tcMar>
            <w:hideMark/>
          </w:tcPr>
          <w:p w:rsidR="00FA76A0" w:rsidRPr="00FA76A0" w:rsidP="00FA76A0" w14:paraId="275D7C34" w14:textId="77777777">
            <w:pPr>
              <w:pStyle w:val="Heading5"/>
              <w:numPr>
                <w:ilvl w:val="0"/>
                <w:numId w:val="0"/>
              </w:numPr>
              <w:spacing w:before="120" w:after="120"/>
              <w:rPr>
                <w:rFonts w:asciiTheme="minorHAnsi" w:hAnsiTheme="minorHAnsi" w:cstheme="minorHAnsi"/>
                <w:color w:val="00002E"/>
              </w:rPr>
            </w:pPr>
            <w:r w:rsidRPr="00FA76A0">
              <w:rPr>
                <w:rStyle w:val="Strong"/>
                <w:rFonts w:asciiTheme="minorHAnsi" w:hAnsiTheme="minorHAnsi" w:cstheme="minorHAnsi"/>
                <w:b w:val="0"/>
                <w:bCs w:val="0"/>
                <w:color w:val="00002E"/>
              </w:rPr>
              <w:t>Agenda EU pro účinné, dostupné a odolné systémy zdravotní péče</w:t>
            </w:r>
          </w:p>
        </w:tc>
      </w:tr>
      <w:tr w14:paraId="7A87B801" w14:textId="77777777" w:rsidTr="0D4C4CA9">
        <w:tblPrEx>
          <w:tblW w:w="8505" w:type="dxa"/>
          <w:tblCellMar>
            <w:top w:w="15" w:type="dxa"/>
            <w:left w:w="15" w:type="dxa"/>
            <w:bottom w:w="15" w:type="dxa"/>
            <w:right w:w="15" w:type="dxa"/>
          </w:tblCellMar>
          <w:tblLook w:val="04A0"/>
        </w:tblPrEx>
        <w:trPr>
          <w:trHeight w:val="39"/>
        </w:trPr>
        <w:tc>
          <w:tcPr>
            <w:tcW w:w="2694"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71073DB8" w14:textId="77777777">
            <w:pPr>
              <w:rPr>
                <w:rFonts w:cstheme="minorHAnsi"/>
                <w:color w:val="00002E"/>
                <w:szCs w:val="22"/>
              </w:rPr>
            </w:pPr>
            <w:r w:rsidRPr="00FA76A0">
              <w:rPr>
                <w:rStyle w:val="Strong"/>
                <w:rFonts w:cstheme="minorHAnsi"/>
                <w:color w:val="00002E"/>
                <w:szCs w:val="22"/>
              </w:rPr>
              <w:t>Posílení efektivity</w:t>
            </w:r>
          </w:p>
        </w:tc>
        <w:tc>
          <w:tcPr>
            <w:tcW w:w="2835"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3DD7A365" w14:textId="77777777">
            <w:pPr>
              <w:rPr>
                <w:rFonts w:cstheme="minorHAnsi"/>
                <w:color w:val="00002E"/>
                <w:szCs w:val="22"/>
              </w:rPr>
            </w:pPr>
            <w:r w:rsidRPr="00FA76A0">
              <w:rPr>
                <w:rStyle w:val="Strong"/>
                <w:rFonts w:cstheme="minorHAnsi"/>
                <w:color w:val="00002E"/>
                <w:szCs w:val="22"/>
              </w:rPr>
              <w:t>Zvýšení přístupnosti</w:t>
            </w:r>
          </w:p>
        </w:tc>
        <w:tc>
          <w:tcPr>
            <w:tcW w:w="2976"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14A434BB" w14:textId="77777777">
            <w:pPr>
              <w:rPr>
                <w:rFonts w:cstheme="minorHAnsi"/>
                <w:color w:val="00002E"/>
                <w:szCs w:val="22"/>
              </w:rPr>
            </w:pPr>
            <w:r w:rsidRPr="00FA76A0">
              <w:rPr>
                <w:rStyle w:val="Strong"/>
                <w:rFonts w:cstheme="minorHAnsi"/>
                <w:color w:val="00002E"/>
                <w:szCs w:val="22"/>
              </w:rPr>
              <w:t>Zlepšení odolnosti</w:t>
            </w:r>
          </w:p>
        </w:tc>
      </w:tr>
      <w:tr w14:paraId="1252224F" w14:textId="77777777" w:rsidTr="0D4C4CA9">
        <w:tblPrEx>
          <w:tblW w:w="8505" w:type="dxa"/>
          <w:tblCellMar>
            <w:top w:w="15" w:type="dxa"/>
            <w:left w:w="15" w:type="dxa"/>
            <w:bottom w:w="15" w:type="dxa"/>
            <w:right w:w="15" w:type="dxa"/>
          </w:tblCellMar>
          <w:tblLook w:val="04A0"/>
        </w:tblPrEx>
        <w:tc>
          <w:tcPr>
            <w:tcW w:w="2694"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43AB08E8" w14:textId="77777777">
            <w:pPr>
              <w:rPr>
                <w:rFonts w:cstheme="minorHAnsi"/>
                <w:color w:val="auto"/>
                <w:szCs w:val="22"/>
              </w:rPr>
            </w:pPr>
            <w:hyperlink r:id="rId19" w:history="1">
              <w:r w:rsidRPr="00FA76A0">
                <w:rPr>
                  <w:rStyle w:val="Hyperlink"/>
                  <w:rFonts w:cstheme="minorHAnsi"/>
                  <w:color w:val="auto"/>
                  <w:szCs w:val="22"/>
                  <w:u w:val="none"/>
                </w:rPr>
                <w:t>Hodnocení výkonnosti systémů zdravotní péče</w:t>
              </w:r>
            </w:hyperlink>
          </w:p>
        </w:tc>
        <w:tc>
          <w:tcPr>
            <w:tcW w:w="2835"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13818094" w14:textId="77777777">
            <w:pPr>
              <w:rPr>
                <w:rFonts w:cstheme="minorHAnsi"/>
                <w:color w:val="auto"/>
                <w:szCs w:val="22"/>
              </w:rPr>
            </w:pPr>
            <w:hyperlink r:id="rId20" w:history="1">
              <w:r w:rsidRPr="00FA76A0">
                <w:rPr>
                  <w:rStyle w:val="Hyperlink"/>
                  <w:rFonts w:cstheme="minorHAnsi"/>
                  <w:color w:val="auto"/>
                  <w:szCs w:val="22"/>
                  <w:u w:val="none"/>
                </w:rPr>
                <w:t>Plánování pracovních sil ve zdravotnictví v EU</w:t>
              </w:r>
            </w:hyperlink>
          </w:p>
        </w:tc>
        <w:tc>
          <w:tcPr>
            <w:tcW w:w="2976"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6A2E6E80" w14:textId="77777777">
            <w:pPr>
              <w:rPr>
                <w:rFonts w:cstheme="minorHAnsi"/>
                <w:color w:val="auto"/>
                <w:szCs w:val="22"/>
              </w:rPr>
            </w:pPr>
            <w:hyperlink r:id="rId21" w:history="1">
              <w:r w:rsidRPr="00FA76A0">
                <w:rPr>
                  <w:rStyle w:val="Hyperlink"/>
                  <w:rFonts w:cstheme="minorHAnsi"/>
                  <w:color w:val="auto"/>
                  <w:szCs w:val="22"/>
                  <w:u w:val="none"/>
                </w:rPr>
                <w:t>Hodnocení zdravotnických technologií</w:t>
              </w:r>
            </w:hyperlink>
          </w:p>
        </w:tc>
      </w:tr>
      <w:tr w14:paraId="1E90A5CB" w14:textId="77777777" w:rsidTr="0D4C4CA9">
        <w:tblPrEx>
          <w:tblW w:w="8505" w:type="dxa"/>
          <w:tblCellMar>
            <w:top w:w="15" w:type="dxa"/>
            <w:left w:w="15" w:type="dxa"/>
            <w:bottom w:w="15" w:type="dxa"/>
            <w:right w:w="15" w:type="dxa"/>
          </w:tblCellMar>
          <w:tblLook w:val="04A0"/>
        </w:tblPrEx>
        <w:tc>
          <w:tcPr>
            <w:tcW w:w="2694"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73FAE333" w14:textId="77777777">
            <w:pPr>
              <w:rPr>
                <w:rFonts w:cstheme="minorHAnsi"/>
                <w:color w:val="auto"/>
                <w:szCs w:val="22"/>
              </w:rPr>
            </w:pPr>
            <w:r w:rsidRPr="00FA76A0">
              <w:rPr>
                <w:rFonts w:cstheme="minorHAnsi"/>
                <w:color w:val="auto"/>
                <w:szCs w:val="22"/>
              </w:rPr>
              <w:t>Bezpečnost pacientů a kvalita péče</w:t>
            </w:r>
          </w:p>
        </w:tc>
        <w:tc>
          <w:tcPr>
            <w:tcW w:w="2835"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7AEB05B3" w14:textId="77777777">
            <w:pPr>
              <w:rPr>
                <w:rFonts w:cstheme="minorHAnsi"/>
                <w:color w:val="auto"/>
                <w:szCs w:val="22"/>
              </w:rPr>
            </w:pPr>
            <w:hyperlink r:id="rId22" w:history="1">
              <w:r w:rsidRPr="00FA76A0">
                <w:rPr>
                  <w:rStyle w:val="Hyperlink"/>
                  <w:rFonts w:cstheme="minorHAnsi"/>
                  <w:color w:val="auto"/>
                  <w:szCs w:val="22"/>
                  <w:u w:val="none"/>
                </w:rPr>
                <w:t>Nákladově efektivní používání léčivých přípravků</w:t>
              </w:r>
            </w:hyperlink>
          </w:p>
        </w:tc>
        <w:tc>
          <w:tcPr>
            <w:tcW w:w="2976"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25468CB4" w14:textId="1903AC58">
            <w:pPr>
              <w:rPr>
                <w:rFonts w:cstheme="minorHAnsi"/>
                <w:color w:val="auto"/>
                <w:szCs w:val="22"/>
              </w:rPr>
            </w:pPr>
            <w:r w:rsidRPr="00FA76A0">
              <w:rPr>
                <w:rFonts w:cstheme="minorHAnsi"/>
                <w:color w:val="auto"/>
                <w:szCs w:val="22"/>
              </w:rPr>
              <w:t>Zdravotnick</w:t>
            </w:r>
            <w:r>
              <w:rPr>
                <w:rFonts w:cstheme="minorHAnsi"/>
                <w:color w:val="auto"/>
                <w:szCs w:val="22"/>
              </w:rPr>
              <w:t>é</w:t>
            </w:r>
            <w:r w:rsidRPr="00FA76A0">
              <w:rPr>
                <w:rFonts w:cstheme="minorHAnsi"/>
                <w:color w:val="auto"/>
                <w:szCs w:val="22"/>
              </w:rPr>
              <w:t xml:space="preserve"> </w:t>
            </w:r>
            <w:r w:rsidRPr="00FA76A0">
              <w:rPr>
                <w:rFonts w:cstheme="minorHAnsi"/>
                <w:color w:val="auto"/>
                <w:szCs w:val="22"/>
              </w:rPr>
              <w:t>informační systém</w:t>
            </w:r>
            <w:r>
              <w:rPr>
                <w:rFonts w:cstheme="minorHAnsi"/>
                <w:color w:val="auto"/>
                <w:szCs w:val="22"/>
              </w:rPr>
              <w:t>y</w:t>
            </w:r>
          </w:p>
        </w:tc>
      </w:tr>
      <w:tr w14:paraId="14AA1A60" w14:textId="77777777" w:rsidTr="0D4C4CA9">
        <w:tblPrEx>
          <w:tblW w:w="8505" w:type="dxa"/>
          <w:tblCellMar>
            <w:top w:w="15" w:type="dxa"/>
            <w:left w:w="15" w:type="dxa"/>
            <w:bottom w:w="15" w:type="dxa"/>
            <w:right w:w="15" w:type="dxa"/>
          </w:tblCellMar>
          <w:tblLook w:val="04A0"/>
        </w:tblPrEx>
        <w:tc>
          <w:tcPr>
            <w:tcW w:w="2694"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2E350C67" w14:textId="77777777">
            <w:pPr>
              <w:rPr>
                <w:rFonts w:cstheme="minorHAnsi"/>
                <w:color w:val="auto"/>
                <w:szCs w:val="22"/>
              </w:rPr>
            </w:pPr>
            <w:r w:rsidRPr="00FA76A0">
              <w:rPr>
                <w:rFonts w:cstheme="minorHAnsi"/>
                <w:color w:val="auto"/>
                <w:szCs w:val="22"/>
              </w:rPr>
              <w:t>Integrace péče</w:t>
            </w:r>
          </w:p>
        </w:tc>
        <w:tc>
          <w:tcPr>
            <w:tcW w:w="2835"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442992F9" w14:textId="17353BD0">
            <w:pPr>
              <w:rPr>
                <w:rFonts w:cstheme="minorHAnsi"/>
                <w:color w:val="auto"/>
                <w:szCs w:val="22"/>
              </w:rPr>
            </w:pPr>
            <w:hyperlink r:id="rId23" w:history="1">
              <w:r w:rsidRPr="00FA76A0">
                <w:rPr>
                  <w:rStyle w:val="Hyperlink"/>
                  <w:rFonts w:cstheme="minorHAnsi"/>
                  <w:color w:val="auto"/>
                  <w:szCs w:val="22"/>
                  <w:u w:val="none"/>
                </w:rPr>
                <w:t>K optimálnímu provedení směrnice 2011/24</w:t>
              </w:r>
            </w:hyperlink>
            <w:r>
              <w:rPr>
                <w:rStyle w:val="FootnoteReference"/>
                <w:rFonts w:cstheme="minorHAnsi"/>
                <w:noProof/>
                <w:color w:val="auto"/>
                <w:szCs w:val="22"/>
              </w:rPr>
              <w:footnoteReference w:id="20"/>
            </w:r>
          </w:p>
        </w:tc>
        <w:tc>
          <w:tcPr>
            <w:tcW w:w="2976" w:type="dxa"/>
            <w:tcBorders>
              <w:top w:val="single" w:sz="4" w:space="0" w:color="auto"/>
              <w:left w:val="single" w:sz="4" w:space="0" w:color="auto"/>
              <w:bottom w:val="single" w:sz="4" w:space="0" w:color="auto"/>
              <w:right w:val="single" w:sz="4" w:space="0" w:color="auto"/>
            </w:tcBorders>
            <w:tcMar>
              <w:top w:w="240" w:type="dxa"/>
              <w:left w:w="240" w:type="dxa"/>
              <w:bottom w:w="240" w:type="dxa"/>
              <w:right w:w="240" w:type="dxa"/>
            </w:tcMar>
            <w:vAlign w:val="center"/>
            <w:hideMark/>
          </w:tcPr>
          <w:p w:rsidR="00FA76A0" w:rsidRPr="00FA76A0" w:rsidP="00FA76A0" w14:paraId="09F84635" w14:textId="3CF773D3">
            <w:pPr>
              <w:rPr>
                <w:rFonts w:cstheme="minorHAnsi"/>
                <w:color w:val="auto"/>
                <w:szCs w:val="22"/>
              </w:rPr>
            </w:pPr>
            <w:hyperlink r:id="rId24" w:history="1">
              <w:r w:rsidRPr="00FA76A0" w:rsidR="006E3F97">
                <w:rPr>
                  <w:rStyle w:val="Hyperlink"/>
                  <w:rFonts w:cstheme="minorHAnsi"/>
                  <w:color w:val="auto"/>
                  <w:szCs w:val="22"/>
                  <w:u w:val="none"/>
                </w:rPr>
                <w:t>Elektroni</w:t>
              </w:r>
              <w:r w:rsidR="006E3F97">
                <w:rPr>
                  <w:rStyle w:val="Hyperlink"/>
                  <w:rFonts w:cstheme="minorHAnsi"/>
                  <w:color w:val="auto"/>
                  <w:szCs w:val="22"/>
                  <w:u w:val="none"/>
                </w:rPr>
                <w:t>za</w:t>
              </w:r>
              <w:r w:rsidR="006E3F97">
                <w:rPr>
                  <w:rStyle w:val="Hyperlink"/>
                  <w:szCs w:val="22"/>
                </w:rPr>
                <w:t>ce</w:t>
              </w:r>
              <w:r w:rsidRPr="00FA76A0" w:rsidR="006E3F97">
                <w:rPr>
                  <w:rStyle w:val="Hyperlink"/>
                  <w:rFonts w:cstheme="minorHAnsi"/>
                  <w:color w:val="auto"/>
                  <w:szCs w:val="22"/>
                  <w:u w:val="none"/>
                </w:rPr>
                <w:t xml:space="preserve"> zdravotnictví</w:t>
              </w:r>
            </w:hyperlink>
          </w:p>
        </w:tc>
      </w:tr>
    </w:tbl>
    <w:p w:rsidR="00054331" w:rsidRPr="004433F0" w:rsidP="0D4C4CA9" w14:paraId="6A99D872" w14:textId="72EFDEA2">
      <w:pPr>
        <w:rPr>
          <w:sz w:val="20"/>
          <w:szCs w:val="20"/>
        </w:rPr>
      </w:pPr>
      <w:r w:rsidRPr="008729A1">
        <w:rPr>
          <w:sz w:val="20"/>
          <w:szCs w:val="20"/>
        </w:rPr>
        <w:t>Zdroj</w:t>
      </w:r>
      <w:r>
        <w:rPr>
          <w:sz w:val="20"/>
          <w:szCs w:val="20"/>
        </w:rPr>
        <w:t>:</w:t>
      </w:r>
      <w:r w:rsidRPr="008729A1">
        <w:rPr>
          <w:sz w:val="20"/>
          <w:szCs w:val="20"/>
        </w:rPr>
        <w:t xml:space="preserve"> Evropská komise – Koordinace systémů zdravotní péče </w:t>
      </w:r>
      <w:r>
        <w:rPr>
          <w:rStyle w:val="FootnoteReference"/>
          <w:sz w:val="20"/>
          <w:szCs w:val="20"/>
        </w:rPr>
        <w:footnoteReference w:id="21"/>
      </w:r>
    </w:p>
    <w:p w:rsidR="006273D5" w:rsidP="006273D5" w14:paraId="269689E2" w14:textId="76441269">
      <w:pPr>
        <w:rPr>
          <w:rFonts w:cstheme="minorHAnsi"/>
          <w:sz w:val="24"/>
        </w:rPr>
      </w:pPr>
      <w:r>
        <w:rPr>
          <w:rFonts w:cstheme="minorHAnsi"/>
          <w:sz w:val="24"/>
        </w:rPr>
        <w:t xml:space="preserve">Prostřednictvím </w:t>
      </w:r>
      <w:r w:rsidRPr="00FA76A0">
        <w:rPr>
          <w:rFonts w:cstheme="minorHAnsi"/>
          <w:b/>
          <w:bCs/>
          <w:sz w:val="24"/>
        </w:rPr>
        <w:t>S</w:t>
      </w:r>
      <w:r w:rsidRPr="00FA76A0">
        <w:rPr>
          <w:rFonts w:cstheme="minorHAnsi"/>
          <w:b/>
          <w:bCs/>
          <w:sz w:val="24"/>
        </w:rPr>
        <w:t xml:space="preserve">dělení </w:t>
      </w:r>
      <w:r w:rsidR="006E3F97">
        <w:rPr>
          <w:rFonts w:cstheme="minorHAnsi"/>
          <w:b/>
          <w:bCs/>
          <w:sz w:val="24"/>
        </w:rPr>
        <w:t xml:space="preserve">Komise </w:t>
      </w:r>
      <w:r w:rsidRPr="00FA76A0">
        <w:rPr>
          <w:rFonts w:cstheme="minorHAnsi"/>
          <w:b/>
          <w:bCs/>
          <w:sz w:val="24"/>
        </w:rPr>
        <w:t>o evropské zdravotní unii: společný postup pro zdraví lidí (COM(2024) 206</w:t>
      </w:r>
      <w:r w:rsidRPr="006273D5">
        <w:rPr>
          <w:rFonts w:cstheme="minorHAnsi"/>
          <w:sz w:val="24"/>
        </w:rPr>
        <w:t xml:space="preserve"> </w:t>
      </w:r>
      <w:r w:rsidRPr="00FA76A0">
        <w:rPr>
          <w:rFonts w:cstheme="minorHAnsi"/>
          <w:sz w:val="24"/>
        </w:rPr>
        <w:t xml:space="preserve">Evropská komise vytváří tzv. evropskou zdravotní unii, v jejímž rámci se budou všechny </w:t>
      </w:r>
      <w:r w:rsidR="006E3F97">
        <w:rPr>
          <w:rFonts w:cstheme="minorHAnsi"/>
          <w:sz w:val="24"/>
        </w:rPr>
        <w:t>členské státy</w:t>
      </w:r>
      <w:r w:rsidRPr="00FA76A0" w:rsidR="006E3F97">
        <w:rPr>
          <w:rFonts w:cstheme="minorHAnsi"/>
          <w:sz w:val="24"/>
        </w:rPr>
        <w:t xml:space="preserve"> </w:t>
      </w:r>
      <w:r w:rsidRPr="00FA76A0">
        <w:rPr>
          <w:rFonts w:cstheme="minorHAnsi"/>
          <w:sz w:val="24"/>
        </w:rPr>
        <w:t>EU společně připravovat na zdravotní krize a společně na ně reagovat, tzn. bude zajištěn dostupný, cenově přijatelný a inovativní zdravotnický materiál a</w:t>
      </w:r>
      <w:r>
        <w:rPr>
          <w:rFonts w:cstheme="minorHAnsi"/>
          <w:sz w:val="24"/>
        </w:rPr>
        <w:t> </w:t>
      </w:r>
      <w:r w:rsidRPr="00FA76A0">
        <w:rPr>
          <w:rFonts w:cstheme="minorHAnsi"/>
          <w:sz w:val="24"/>
        </w:rPr>
        <w:t xml:space="preserve">jednotlivé </w:t>
      </w:r>
      <w:r w:rsidR="006E3F97">
        <w:rPr>
          <w:rFonts w:cstheme="minorHAnsi"/>
          <w:sz w:val="24"/>
        </w:rPr>
        <w:t>členské státy</w:t>
      </w:r>
      <w:r w:rsidRPr="00FA76A0" w:rsidR="006E3F97">
        <w:rPr>
          <w:rFonts w:cstheme="minorHAnsi"/>
          <w:sz w:val="24"/>
        </w:rPr>
        <w:t xml:space="preserve"> </w:t>
      </w:r>
      <w:r w:rsidRPr="00FA76A0">
        <w:rPr>
          <w:rFonts w:cstheme="minorHAnsi"/>
          <w:sz w:val="24"/>
        </w:rPr>
        <w:t xml:space="preserve">budou spolupracovat na zlepšení prevence a léčby </w:t>
      </w:r>
      <w:r w:rsidR="006E3F97">
        <w:rPr>
          <w:rFonts w:cstheme="minorHAnsi"/>
          <w:sz w:val="24"/>
        </w:rPr>
        <w:t>onemocnění</w:t>
      </w:r>
      <w:r w:rsidRPr="00FA76A0">
        <w:rPr>
          <w:rFonts w:cstheme="minorHAnsi"/>
          <w:sz w:val="24"/>
        </w:rPr>
        <w:t xml:space="preserve">, jako </w:t>
      </w:r>
      <w:r w:rsidRPr="00FA76A0" w:rsidR="006E3F97">
        <w:rPr>
          <w:rFonts w:cstheme="minorHAnsi"/>
          <w:sz w:val="24"/>
        </w:rPr>
        <w:t>j</w:t>
      </w:r>
      <w:r w:rsidR="006E3F97">
        <w:rPr>
          <w:rFonts w:cstheme="minorHAnsi"/>
          <w:sz w:val="24"/>
        </w:rPr>
        <w:t>sou například onkologická onemocnění</w:t>
      </w:r>
      <w:r w:rsidRPr="00FA76A0">
        <w:rPr>
          <w:rFonts w:cstheme="minorHAnsi"/>
          <w:sz w:val="24"/>
        </w:rPr>
        <w:t>, včetně zajištění následné péče o pacienty.</w:t>
      </w:r>
      <w:r>
        <w:rPr>
          <w:rStyle w:val="FootnoteReference"/>
          <w:rFonts w:cstheme="minorHAnsi"/>
          <w:sz w:val="24"/>
        </w:rPr>
        <w:footnoteReference w:id="22"/>
      </w:r>
      <w:r>
        <w:rPr>
          <w:rFonts w:cstheme="minorHAnsi"/>
          <w:sz w:val="24"/>
        </w:rPr>
        <w:t xml:space="preserve"> Klíčovými opatřeními </w:t>
      </w:r>
      <w:r w:rsidR="006E3F97">
        <w:rPr>
          <w:rFonts w:cstheme="minorHAnsi"/>
          <w:sz w:val="24"/>
        </w:rPr>
        <w:t xml:space="preserve">evropské </w:t>
      </w:r>
      <w:r>
        <w:rPr>
          <w:rFonts w:cstheme="minorHAnsi"/>
          <w:sz w:val="24"/>
        </w:rPr>
        <w:t>zdravotní unie jsou:</w:t>
      </w:r>
    </w:p>
    <w:p w:rsidR="00FA76A0" w:rsidP="006C359E" w14:paraId="52BD5CC8" w14:textId="431F0AD1">
      <w:pPr>
        <w:pStyle w:val="ListParagraph"/>
        <w:numPr>
          <w:ilvl w:val="0"/>
          <w:numId w:val="50"/>
        </w:numPr>
        <w:rPr>
          <w:rFonts w:cstheme="minorHAnsi"/>
          <w:sz w:val="24"/>
        </w:rPr>
      </w:pPr>
      <w:r>
        <w:rPr>
          <w:rFonts w:cstheme="minorHAnsi"/>
          <w:sz w:val="24"/>
        </w:rPr>
        <w:t>Připravenost na</w:t>
      </w:r>
      <w:r w:rsidR="006E3F97">
        <w:rPr>
          <w:rFonts w:cstheme="minorHAnsi"/>
          <w:sz w:val="24"/>
        </w:rPr>
        <w:t xml:space="preserve"> případné zdravotní</w:t>
      </w:r>
      <w:r>
        <w:rPr>
          <w:rFonts w:cstheme="minorHAnsi"/>
          <w:sz w:val="24"/>
        </w:rPr>
        <w:t xml:space="preserve"> krize</w:t>
      </w:r>
      <w:r w:rsidR="006E3F97">
        <w:rPr>
          <w:rFonts w:cstheme="minorHAnsi"/>
          <w:sz w:val="24"/>
        </w:rPr>
        <w:t xml:space="preserve"> do budoucna</w:t>
      </w:r>
    </w:p>
    <w:p w:rsidR="00FA76A0" w:rsidP="006C359E" w14:paraId="0F743EF5" w14:textId="552C799C">
      <w:pPr>
        <w:pStyle w:val="ListParagraph"/>
        <w:numPr>
          <w:ilvl w:val="0"/>
          <w:numId w:val="50"/>
        </w:numPr>
        <w:rPr>
          <w:rFonts w:cstheme="minorHAnsi"/>
          <w:sz w:val="24"/>
        </w:rPr>
      </w:pPr>
      <w:r>
        <w:rPr>
          <w:rFonts w:cstheme="minorHAnsi"/>
          <w:sz w:val="24"/>
        </w:rPr>
        <w:t>Evropský plán boje proti rakovině</w:t>
      </w:r>
    </w:p>
    <w:p w:rsidR="00FA76A0" w:rsidP="006C359E" w14:paraId="4084FF32" w14:textId="2C833E68">
      <w:pPr>
        <w:pStyle w:val="ListParagraph"/>
        <w:numPr>
          <w:ilvl w:val="0"/>
          <w:numId w:val="50"/>
        </w:numPr>
        <w:rPr>
          <w:rFonts w:cstheme="minorHAnsi"/>
          <w:sz w:val="24"/>
        </w:rPr>
      </w:pPr>
      <w:r>
        <w:rPr>
          <w:rFonts w:cstheme="minorHAnsi"/>
          <w:sz w:val="24"/>
        </w:rPr>
        <w:t xml:space="preserve">Reforma právních předpisů EU </w:t>
      </w:r>
      <w:r w:rsidR="006E3F97">
        <w:rPr>
          <w:rFonts w:cstheme="minorHAnsi"/>
          <w:sz w:val="24"/>
        </w:rPr>
        <w:t>pro farmaceutickou oblast</w:t>
      </w:r>
    </w:p>
    <w:p w:rsidR="006273D5" w:rsidRPr="005D4D73" w:rsidP="00623D36" w14:paraId="55C05F7F" w14:textId="4E949565">
      <w:pPr>
        <w:pStyle w:val="ListParagraph"/>
        <w:numPr>
          <w:ilvl w:val="0"/>
          <w:numId w:val="50"/>
        </w:numPr>
        <w:rPr>
          <w:rFonts w:cstheme="minorHAnsi"/>
          <w:sz w:val="24"/>
        </w:rPr>
      </w:pPr>
      <w:r>
        <w:rPr>
          <w:rFonts w:cstheme="minorHAnsi"/>
          <w:sz w:val="24"/>
        </w:rPr>
        <w:t>Komplexní přístup k duševnímu zdraví</w:t>
      </w:r>
    </w:p>
    <w:p w:rsidR="00FA76A0" w:rsidP="00623D36" w14:paraId="03D5A369" w14:textId="77777777">
      <w:pPr>
        <w:contextualSpacing/>
        <w:rPr>
          <w:rFonts w:cstheme="minorHAnsi"/>
          <w:sz w:val="24"/>
        </w:rPr>
      </w:pPr>
    </w:p>
    <w:p w:rsidR="00623D36" w:rsidP="00623D36" w14:paraId="03E2CB88" w14:textId="44188537">
      <w:pPr>
        <w:contextualSpacing/>
        <w:rPr>
          <w:rFonts w:cstheme="minorHAnsi"/>
          <w:sz w:val="24"/>
        </w:rPr>
      </w:pPr>
      <w:r w:rsidRPr="005D4D73">
        <w:rPr>
          <w:rFonts w:cstheme="minorHAnsi"/>
          <w:b/>
          <w:bCs/>
          <w:sz w:val="24"/>
        </w:rPr>
        <w:t xml:space="preserve">Nařízení o </w:t>
      </w:r>
      <w:r w:rsidRPr="005D4D73" w:rsidR="0055063D">
        <w:rPr>
          <w:rFonts w:cstheme="minorHAnsi"/>
          <w:b/>
          <w:bCs/>
          <w:sz w:val="24"/>
        </w:rPr>
        <w:t>evropském prostoru pro zdravotní údaje (</w:t>
      </w:r>
      <w:r w:rsidRPr="005D4D73">
        <w:rPr>
          <w:rFonts w:cstheme="minorHAnsi"/>
          <w:b/>
          <w:bCs/>
          <w:sz w:val="24"/>
        </w:rPr>
        <w:t>EHDS</w:t>
      </w:r>
      <w:r w:rsidRPr="005D4D73" w:rsidR="0055063D">
        <w:rPr>
          <w:rFonts w:cstheme="minorHAnsi"/>
          <w:b/>
          <w:bCs/>
          <w:sz w:val="24"/>
        </w:rPr>
        <w:t>)</w:t>
      </w:r>
      <w:r>
        <w:rPr>
          <w:rFonts w:cstheme="minorHAnsi"/>
          <w:sz w:val="24"/>
        </w:rPr>
        <w:t xml:space="preserve">- </w:t>
      </w:r>
      <w:r w:rsidRPr="0055063D" w:rsidR="0055063D">
        <w:rPr>
          <w:rFonts w:cstheme="minorHAnsi"/>
          <w:sz w:val="24"/>
        </w:rPr>
        <w:t>Cílem nařízení o EHDS je vytvořit společný rámec pro používání a výměnu elektronických zdravotních údajů v</w:t>
      </w:r>
      <w:r w:rsidR="0055063D">
        <w:rPr>
          <w:rFonts w:cstheme="minorHAnsi"/>
          <w:sz w:val="24"/>
        </w:rPr>
        <w:t xml:space="preserve"> rámci </w:t>
      </w:r>
      <w:r w:rsidRPr="0055063D" w:rsidR="0055063D">
        <w:rPr>
          <w:rFonts w:cstheme="minorHAnsi"/>
          <w:sz w:val="24"/>
        </w:rPr>
        <w:t>celé EU</w:t>
      </w:r>
      <w:r w:rsidR="0055063D">
        <w:rPr>
          <w:rFonts w:cstheme="minorHAnsi"/>
          <w:sz w:val="24"/>
        </w:rPr>
        <w:t xml:space="preserve"> a tím zlepšit</w:t>
      </w:r>
      <w:r w:rsidRPr="0055063D" w:rsidR="0055063D">
        <w:rPr>
          <w:rFonts w:cstheme="minorHAnsi"/>
          <w:sz w:val="24"/>
        </w:rPr>
        <w:t xml:space="preserve"> přístup jednotlivců k jejich osobním elektronickým zdravotním údajům a kontrolu nad nimi</w:t>
      </w:r>
      <w:r w:rsidR="0055063D">
        <w:rPr>
          <w:rFonts w:cstheme="minorHAnsi"/>
          <w:sz w:val="24"/>
        </w:rPr>
        <w:t>. Nařízení</w:t>
      </w:r>
      <w:r w:rsidRPr="0055063D" w:rsidR="0055063D">
        <w:rPr>
          <w:rFonts w:cstheme="minorHAnsi"/>
          <w:sz w:val="24"/>
        </w:rPr>
        <w:t xml:space="preserve"> zároveň umožňuje opakované použití některých dat ve veřejném zájmu a</w:t>
      </w:r>
      <w:r w:rsidR="0055063D">
        <w:rPr>
          <w:rFonts w:cstheme="minorHAnsi"/>
          <w:sz w:val="24"/>
        </w:rPr>
        <w:t> </w:t>
      </w:r>
      <w:r w:rsidRPr="0055063D" w:rsidR="0055063D">
        <w:rPr>
          <w:rFonts w:cstheme="minorHAnsi"/>
          <w:sz w:val="24"/>
        </w:rPr>
        <w:t xml:space="preserve">pro účely politické podpory a vědeckého výzkumu. Podporuje datové prostředí, které je specifické pro oblast zdraví a podporuje jednotný trh digitálních </w:t>
      </w:r>
      <w:r w:rsidRPr="0055063D" w:rsidR="006E3F97">
        <w:rPr>
          <w:rFonts w:cstheme="minorHAnsi"/>
          <w:sz w:val="24"/>
        </w:rPr>
        <w:t>zdravotn</w:t>
      </w:r>
      <w:r w:rsidR="006E3F97">
        <w:rPr>
          <w:rFonts w:cstheme="minorHAnsi"/>
          <w:sz w:val="24"/>
        </w:rPr>
        <w:t>íc</w:t>
      </w:r>
      <w:r w:rsidRPr="0055063D" w:rsidR="006E3F97">
        <w:rPr>
          <w:rFonts w:cstheme="minorHAnsi"/>
          <w:sz w:val="24"/>
        </w:rPr>
        <w:t xml:space="preserve">h </w:t>
      </w:r>
      <w:r w:rsidRPr="0055063D" w:rsidR="0055063D">
        <w:rPr>
          <w:rFonts w:cstheme="minorHAnsi"/>
          <w:sz w:val="24"/>
        </w:rPr>
        <w:t>služeb a</w:t>
      </w:r>
      <w:r w:rsidR="0055063D">
        <w:rPr>
          <w:rFonts w:cstheme="minorHAnsi"/>
          <w:sz w:val="24"/>
        </w:rPr>
        <w:t> </w:t>
      </w:r>
      <w:r w:rsidRPr="0055063D" w:rsidR="0055063D">
        <w:rPr>
          <w:rFonts w:cstheme="minorHAnsi"/>
          <w:sz w:val="24"/>
        </w:rPr>
        <w:t xml:space="preserve">produktů. Kromě toho nařízení </w:t>
      </w:r>
      <w:r w:rsidRPr="0055063D" w:rsidR="006E3F97">
        <w:rPr>
          <w:rFonts w:cstheme="minorHAnsi"/>
          <w:sz w:val="24"/>
        </w:rPr>
        <w:t>stanov</w:t>
      </w:r>
      <w:r w:rsidR="006E3F97">
        <w:rPr>
          <w:rFonts w:cstheme="minorHAnsi"/>
          <w:sz w:val="24"/>
        </w:rPr>
        <w:t>uje</w:t>
      </w:r>
      <w:r w:rsidRPr="0055063D" w:rsidR="006E3F97">
        <w:rPr>
          <w:rFonts w:cstheme="minorHAnsi"/>
          <w:sz w:val="24"/>
        </w:rPr>
        <w:t xml:space="preserve"> </w:t>
      </w:r>
      <w:r w:rsidRPr="0055063D" w:rsidR="0055063D">
        <w:rPr>
          <w:rFonts w:cstheme="minorHAnsi"/>
          <w:sz w:val="24"/>
        </w:rPr>
        <w:t>harmonizovaný právní a technický rámec pro systémy elektronických zdravotních záznamů (EHR), který podporuje interoperabilitu, inovace a hladké fungování vnitřního trhu</w:t>
      </w:r>
      <w:r w:rsidR="006E3F97">
        <w:rPr>
          <w:rFonts w:cstheme="minorHAnsi"/>
          <w:sz w:val="24"/>
        </w:rPr>
        <w:t xml:space="preserve"> EU</w:t>
      </w:r>
      <w:r w:rsidRPr="0055063D" w:rsidR="0055063D">
        <w:rPr>
          <w:rFonts w:cstheme="minorHAnsi"/>
          <w:sz w:val="24"/>
        </w:rPr>
        <w:t>.</w:t>
      </w:r>
    </w:p>
    <w:p w:rsidR="006A49C0" w:rsidP="0D4C4CA9" w14:paraId="00FF58A2" w14:textId="599936D5">
      <w:pPr>
        <w:contextualSpacing/>
        <w:rPr>
          <w:sz w:val="24"/>
        </w:rPr>
      </w:pPr>
    </w:p>
    <w:p w:rsidR="006A49C0" w:rsidRPr="0055063D" w:rsidP="00623D36" w14:paraId="66EAAB47" w14:textId="5D21AF72">
      <w:pPr>
        <w:contextualSpacing/>
        <w:rPr>
          <w:rFonts w:cstheme="minorHAnsi"/>
          <w:sz w:val="24"/>
        </w:rPr>
      </w:pPr>
      <w:r w:rsidRPr="0055063D">
        <w:rPr>
          <w:rFonts w:cstheme="minorHAnsi"/>
          <w:b/>
          <w:bCs/>
          <w:sz w:val="24"/>
        </w:rPr>
        <w:t>Evropský plán boje proti rakovině</w:t>
      </w:r>
      <w:r w:rsidRPr="0055063D">
        <w:rPr>
          <w:rFonts w:cstheme="minorHAnsi"/>
          <w:sz w:val="24"/>
        </w:rPr>
        <w:t xml:space="preserve"> </w:t>
      </w:r>
      <w:r w:rsidRPr="0055063D">
        <w:rPr>
          <w:rFonts w:cstheme="minorHAnsi"/>
          <w:b/>
          <w:bCs/>
          <w:sz w:val="24"/>
        </w:rPr>
        <w:t>(Europe‘s Beating Cancer Plan),</w:t>
      </w:r>
      <w:r w:rsidRPr="0055063D">
        <w:rPr>
          <w:rFonts w:cstheme="minorHAnsi"/>
          <w:sz w:val="24"/>
        </w:rPr>
        <w:t xml:space="preserve"> který Evropská komise představila 3. 2. 2021 klade velký důraz na rozvoj a trvalou udržitelnost onkologické prevence (Sustainable Cancer Prevention), zlepšení časného záchytu nádorů (Improving Early Detection), vysoký standard a dostupnost onkologické péče (High Standards in Care, Reducing Inequalities) metodicky vedené národními komplexními onkologickými centry (National Comprehensive Cancer Centres), efektivní přenos poznatků a inovací do klinické praxe, a to zejména v oblasti precizní a personalizované medicíny (Precision and Personalized Medicine), a v neposlední řadě na kvalitu života onkologických pacientů a rizikových skupin (Quality of Life for Patients, Survivors and Carers). V nadcházejících letech se EK chce zaměřit na výzkum a inovace, využít potenciál z digitalizace a nových technologií, přičemž členské státy podpoří i finanční alokací, které jsou v součtu EU4Health programu a dalších EU nástrojů ve výši 4 </w:t>
      </w:r>
      <w:r w:rsidRPr="0055063D" w:rsidR="006E3F97">
        <w:rPr>
          <w:rFonts w:cstheme="minorHAnsi"/>
          <w:sz w:val="24"/>
        </w:rPr>
        <w:t>m</w:t>
      </w:r>
      <w:r w:rsidR="006E3F97">
        <w:rPr>
          <w:rFonts w:cstheme="minorHAnsi"/>
          <w:sz w:val="24"/>
        </w:rPr>
        <w:t>ld. EUR</w:t>
      </w:r>
      <w:r w:rsidRPr="0055063D">
        <w:rPr>
          <w:rFonts w:cstheme="minorHAnsi"/>
          <w:sz w:val="24"/>
        </w:rPr>
        <w:t xml:space="preserve">. Evropský plán boje proti rakovině by měl členským státům rovněž pomoci prostřednictvím sdílení odborných znalostí a zdrojů napříč EU. Europe‘s Beating Cancer Plan rovněž stanovuje měřitelné cíle, které mají být v rámci </w:t>
      </w:r>
      <w:r w:rsidR="005D4D73">
        <w:rPr>
          <w:rFonts w:cstheme="minorHAnsi"/>
          <w:sz w:val="24"/>
        </w:rPr>
        <w:t>EU</w:t>
      </w:r>
      <w:r w:rsidRPr="0055063D">
        <w:rPr>
          <w:rFonts w:cstheme="minorHAnsi"/>
          <w:sz w:val="24"/>
        </w:rPr>
        <w:t xml:space="preserve"> dosaženy do roku 2030.</w:t>
      </w:r>
    </w:p>
    <w:p w:rsidR="006A49C0" w:rsidP="00623D36" w14:paraId="51B47D44" w14:textId="77777777">
      <w:pPr>
        <w:contextualSpacing/>
        <w:rPr>
          <w:rFonts w:cstheme="minorHAnsi"/>
          <w:b/>
          <w:bCs/>
          <w:sz w:val="24"/>
        </w:rPr>
      </w:pPr>
    </w:p>
    <w:p w:rsidR="00623D36" w14:paraId="2A57E16A" w14:textId="77DEA936">
      <w:pPr>
        <w:contextualSpacing/>
        <w:rPr>
          <w:rFonts w:cstheme="minorHAnsi"/>
          <w:b/>
          <w:bCs/>
          <w:sz w:val="24"/>
        </w:rPr>
      </w:pPr>
      <w:r w:rsidRPr="0055063D">
        <w:rPr>
          <w:rFonts w:cstheme="minorHAnsi"/>
          <w:sz w:val="24"/>
        </w:rPr>
        <w:t>V roce 2023 bylo Evropskou radou</w:t>
      </w:r>
      <w:r>
        <w:rPr>
          <w:rFonts w:cstheme="minorHAnsi"/>
          <w:b/>
          <w:bCs/>
          <w:sz w:val="24"/>
        </w:rPr>
        <w:t xml:space="preserve"> přijato </w:t>
      </w:r>
      <w:r w:rsidRPr="0055063D">
        <w:rPr>
          <w:rFonts w:cstheme="minorHAnsi"/>
          <w:b/>
          <w:bCs/>
          <w:sz w:val="24"/>
        </w:rPr>
        <w:t>Doporučení Rady o posílení opatření EU pro boj proti antimikrobiální rezistenci v rámci přístupu „</w:t>
      </w:r>
      <w:r w:rsidR="006E3F97">
        <w:rPr>
          <w:rFonts w:cstheme="minorHAnsi"/>
          <w:b/>
          <w:bCs/>
          <w:sz w:val="24"/>
        </w:rPr>
        <w:t>J</w:t>
      </w:r>
      <w:r w:rsidRPr="0055063D">
        <w:rPr>
          <w:rFonts w:cstheme="minorHAnsi"/>
          <w:b/>
          <w:bCs/>
          <w:sz w:val="24"/>
        </w:rPr>
        <w:t>edno zdraví“</w:t>
      </w:r>
      <w:r w:rsidR="00211A61">
        <w:t xml:space="preserve">, </w:t>
      </w:r>
      <w:r w:rsidRPr="00211A61" w:rsidR="00211A61">
        <w:rPr>
          <w:rFonts w:cstheme="minorHAnsi"/>
          <w:sz w:val="24"/>
        </w:rPr>
        <w:t>jehož cílem je posílit opatření EU pro boj proti antimikrobiální rezistenci v oblasti lidského zdraví, zdraví zvířat a životního prostředí.</w:t>
      </w:r>
      <w:r w:rsidRPr="00211A61" w:rsidR="00211A61">
        <w:t xml:space="preserve"> </w:t>
      </w:r>
      <w:r w:rsidR="00211A61">
        <w:rPr>
          <w:rFonts w:cstheme="minorHAnsi"/>
          <w:sz w:val="24"/>
        </w:rPr>
        <w:t xml:space="preserve">EU </w:t>
      </w:r>
      <w:r w:rsidRPr="00211A61" w:rsidR="00211A61">
        <w:rPr>
          <w:rFonts w:cstheme="minorHAnsi"/>
          <w:sz w:val="24"/>
        </w:rPr>
        <w:t xml:space="preserve">vyzývá k obezřetnému používání </w:t>
      </w:r>
      <w:r w:rsidRPr="00211A61" w:rsidR="006E3F97">
        <w:rPr>
          <w:rFonts w:cstheme="minorHAnsi"/>
          <w:sz w:val="24"/>
        </w:rPr>
        <w:t>anti</w:t>
      </w:r>
      <w:r w:rsidR="006E3F97">
        <w:rPr>
          <w:rFonts w:cstheme="minorHAnsi"/>
          <w:sz w:val="24"/>
        </w:rPr>
        <w:t>biotických</w:t>
      </w:r>
      <w:r w:rsidRPr="00211A61" w:rsidR="006E3F97">
        <w:rPr>
          <w:rFonts w:cstheme="minorHAnsi"/>
          <w:sz w:val="24"/>
        </w:rPr>
        <w:t xml:space="preserve"> </w:t>
      </w:r>
      <w:r w:rsidRPr="00211A61" w:rsidR="00211A61">
        <w:rPr>
          <w:rFonts w:cstheme="minorHAnsi"/>
          <w:sz w:val="24"/>
        </w:rPr>
        <w:t>přípravků</w:t>
      </w:r>
      <w:r w:rsidR="00211A61">
        <w:rPr>
          <w:rFonts w:cstheme="minorHAnsi"/>
          <w:sz w:val="24"/>
        </w:rPr>
        <w:t xml:space="preserve"> </w:t>
      </w:r>
      <w:r w:rsidRPr="00211A61" w:rsidR="00211A61">
        <w:rPr>
          <w:rFonts w:cstheme="minorHAnsi"/>
          <w:sz w:val="24"/>
        </w:rPr>
        <w:t xml:space="preserve">v oblasti lidského zdraví a ve veterinární oblasti, a to prostřednictvím řady dobrovolných opatření, jejichž cílem je snížit riziko, že se mikroorganismy stanou odolnými vůči </w:t>
      </w:r>
      <w:r w:rsidR="00211A61">
        <w:rPr>
          <w:rFonts w:cstheme="minorHAnsi"/>
          <w:sz w:val="24"/>
        </w:rPr>
        <w:t>léčivým přípravkům</w:t>
      </w:r>
      <w:r w:rsidRPr="00211A61" w:rsidR="00211A61">
        <w:rPr>
          <w:rFonts w:cstheme="minorHAnsi"/>
          <w:sz w:val="24"/>
        </w:rPr>
        <w:t>.</w:t>
      </w:r>
      <w:r w:rsidRPr="006E3F97" w:rsidR="006E3F97">
        <w:rPr>
          <w:rFonts w:cstheme="minorHAnsi"/>
          <w:sz w:val="24"/>
        </w:rPr>
        <w:t xml:space="preserve"> </w:t>
      </w:r>
      <w:r w:rsidR="006E3F97">
        <w:rPr>
          <w:rFonts w:cstheme="minorHAnsi"/>
          <w:sz w:val="24"/>
        </w:rPr>
        <w:t xml:space="preserve">Doporučení bylo vydáno jako součást tzv. farmaceutického balíčku </w:t>
      </w:r>
      <w:r w:rsidRPr="00BA4645" w:rsidR="006E3F97">
        <w:rPr>
          <w:rFonts w:cstheme="minorHAnsi"/>
          <w:sz w:val="24"/>
        </w:rPr>
        <w:t>s cílem podpořit občany EU a výrobce</w:t>
      </w:r>
      <w:r w:rsidR="006E3F97">
        <w:rPr>
          <w:rFonts w:cstheme="minorHAnsi"/>
          <w:sz w:val="24"/>
        </w:rPr>
        <w:t xml:space="preserve"> léčivých přípravků</w:t>
      </w:r>
      <w:r w:rsidRPr="00BA4645" w:rsidR="006E3F97">
        <w:rPr>
          <w:rFonts w:cstheme="minorHAnsi"/>
          <w:sz w:val="24"/>
        </w:rPr>
        <w:t xml:space="preserve"> a řešit dlouhodobé problémy ve farmaceutické oblasti.</w:t>
      </w:r>
      <w:r w:rsidR="006E3F97">
        <w:rPr>
          <w:rFonts w:cstheme="minorHAnsi"/>
          <w:sz w:val="24"/>
        </w:rPr>
        <w:t xml:space="preserve"> Hlavními cíli farmaceutického balíčku je </w:t>
      </w:r>
      <w:r w:rsidRPr="00014E1E" w:rsidR="006E3F97">
        <w:rPr>
          <w:rFonts w:cstheme="minorHAnsi"/>
          <w:sz w:val="24"/>
        </w:rPr>
        <w:t xml:space="preserve">zaručit vysokou úroveň ochrany veřejného zdraví zajištěním dostatečné jakosti, bezpečnosti a účinnosti </w:t>
      </w:r>
      <w:r w:rsidR="006E3F97">
        <w:rPr>
          <w:rFonts w:cstheme="minorHAnsi"/>
          <w:sz w:val="24"/>
        </w:rPr>
        <w:t xml:space="preserve">léčivých přípravků </w:t>
      </w:r>
      <w:r w:rsidRPr="00014E1E" w:rsidR="006E3F97">
        <w:rPr>
          <w:rFonts w:cstheme="minorHAnsi"/>
          <w:sz w:val="24"/>
        </w:rPr>
        <w:t>pro pacienty v rámci EU</w:t>
      </w:r>
      <w:r w:rsidR="006E3F97">
        <w:rPr>
          <w:rFonts w:cstheme="minorHAnsi"/>
          <w:sz w:val="24"/>
        </w:rPr>
        <w:t xml:space="preserve"> a </w:t>
      </w:r>
      <w:r w:rsidRPr="00014E1E" w:rsidR="006E3F97">
        <w:rPr>
          <w:rFonts w:cstheme="minorHAnsi"/>
          <w:sz w:val="24"/>
        </w:rPr>
        <w:t xml:space="preserve">harmonizovat vnitřní trh EU pro dozor nad </w:t>
      </w:r>
      <w:r w:rsidR="006E3F97">
        <w:rPr>
          <w:rFonts w:cstheme="minorHAnsi"/>
          <w:sz w:val="24"/>
        </w:rPr>
        <w:t xml:space="preserve">léčivými přípravky </w:t>
      </w:r>
      <w:r w:rsidRPr="00014E1E" w:rsidR="006E3F97">
        <w:rPr>
          <w:rFonts w:cstheme="minorHAnsi"/>
          <w:sz w:val="24"/>
        </w:rPr>
        <w:t xml:space="preserve">a jejich kontrolu a práva </w:t>
      </w:r>
      <w:r w:rsidRPr="00014E1E" w:rsidR="006E3F97">
        <w:rPr>
          <w:rFonts w:cstheme="minorHAnsi"/>
          <w:sz w:val="24"/>
        </w:rPr>
        <w:t>a</w:t>
      </w:r>
      <w:r w:rsidR="006E3F97">
        <w:rPr>
          <w:rFonts w:cstheme="minorHAnsi"/>
          <w:sz w:val="24"/>
        </w:rPr>
        <w:t> </w:t>
      </w:r>
      <w:r w:rsidRPr="00014E1E" w:rsidR="006E3F97">
        <w:rPr>
          <w:rFonts w:cstheme="minorHAnsi"/>
          <w:sz w:val="24"/>
        </w:rPr>
        <w:t>povinnosti příslušných orgánů členských států</w:t>
      </w:r>
      <w:r w:rsidR="006E3F97">
        <w:rPr>
          <w:rFonts w:cstheme="minorHAnsi"/>
          <w:sz w:val="24"/>
        </w:rPr>
        <w:t>.</w:t>
      </w:r>
      <w:r w:rsidRPr="00014E1E" w:rsidR="006E3F97">
        <w:rPr>
          <w:rFonts w:cstheme="minorHAnsi"/>
          <w:sz w:val="24"/>
        </w:rPr>
        <w:t xml:space="preserve"> </w:t>
      </w:r>
      <w:r w:rsidRPr="002713BD" w:rsidR="006E3F97">
        <w:rPr>
          <w:rFonts w:cstheme="minorHAnsi"/>
          <w:sz w:val="24"/>
        </w:rPr>
        <w:t>EK považuje předložení farmaceutického balíčku za důležitý milník v dobudování evropské zdravotní unie.</w:t>
      </w:r>
    </w:p>
    <w:p w:rsidR="00211A61" w:rsidP="00211A61" w14:paraId="5D333B24" w14:textId="77777777">
      <w:pPr>
        <w:contextualSpacing/>
        <w:rPr>
          <w:rFonts w:cstheme="minorHAnsi"/>
          <w:b/>
          <w:bCs/>
          <w:sz w:val="24"/>
        </w:rPr>
      </w:pPr>
    </w:p>
    <w:p w:rsidR="00211A61" w:rsidRPr="00211A61" w:rsidP="00211A61" w14:paraId="1EAAFC0D" w14:textId="77777777">
      <w:pPr>
        <w:contextualSpacing/>
        <w:rPr>
          <w:rFonts w:cstheme="minorHAnsi"/>
          <w:b/>
          <w:bCs/>
          <w:sz w:val="24"/>
        </w:rPr>
      </w:pPr>
    </w:p>
    <w:p w:rsidR="00211A61" w:rsidRPr="003D5E99" w:rsidP="00477A42" w14:paraId="1A465750" w14:textId="7130C20B">
      <w:pPr>
        <w:rPr>
          <w:rFonts w:eastAsia="Times New Roman" w:cstheme="minorHAnsi"/>
          <w:b/>
          <w:bCs/>
          <w:color w:val="auto"/>
          <w:sz w:val="24"/>
          <w:u w:val="single"/>
          <w:lang w:eastAsia="cs-CZ"/>
        </w:rPr>
      </w:pPr>
      <w:r w:rsidRPr="003D5E99">
        <w:rPr>
          <w:rFonts w:eastAsia="Times New Roman" w:cstheme="minorHAnsi"/>
          <w:b/>
          <w:bCs/>
          <w:color w:val="auto"/>
          <w:sz w:val="24"/>
          <w:u w:val="single"/>
          <w:lang w:eastAsia="cs-CZ"/>
        </w:rPr>
        <w:t>Využití politiky soudržnosti</w:t>
      </w:r>
      <w:r w:rsidRPr="003D5E99" w:rsidR="003D5E99">
        <w:rPr>
          <w:rFonts w:eastAsia="Times New Roman" w:cstheme="minorHAnsi"/>
          <w:b/>
          <w:bCs/>
          <w:color w:val="auto"/>
          <w:sz w:val="24"/>
          <w:u w:val="single"/>
          <w:lang w:eastAsia="cs-CZ"/>
        </w:rPr>
        <w:t xml:space="preserve"> </w:t>
      </w:r>
    </w:p>
    <w:p w:rsidR="00452469" w:rsidRPr="00211A61" w:rsidP="00211A61" w14:paraId="2DECCFFC" w14:textId="340E63F2">
      <w:pPr>
        <w:rPr>
          <w:rFonts w:eastAsia="Times New Roman" w:cstheme="minorHAnsi"/>
          <w:color w:val="auto"/>
          <w:sz w:val="28"/>
          <w:lang w:eastAsia="cs-CZ"/>
        </w:rPr>
      </w:pPr>
      <w:r>
        <w:rPr>
          <w:rFonts w:eastAsia="Times New Roman" w:cstheme="minorHAnsi"/>
          <w:color w:val="auto"/>
          <w:sz w:val="24"/>
          <w:lang w:eastAsia="cs-CZ"/>
        </w:rPr>
        <w:t xml:space="preserve">Pro dosažení cílů v oblasti zdravotnictví mohou členské státy využívat nástroje tzv. </w:t>
      </w:r>
      <w:r w:rsidRPr="00A955AF" w:rsidR="002D2092">
        <w:rPr>
          <w:rFonts w:eastAsia="Times New Roman" w:cstheme="minorHAnsi"/>
          <w:b/>
          <w:color w:val="auto"/>
          <w:sz w:val="24"/>
          <w:lang w:eastAsia="cs-CZ"/>
        </w:rPr>
        <w:t>politik</w:t>
      </w:r>
      <w:r>
        <w:rPr>
          <w:rFonts w:eastAsia="Times New Roman" w:cstheme="minorHAnsi"/>
          <w:b/>
          <w:color w:val="auto"/>
          <w:sz w:val="24"/>
          <w:lang w:eastAsia="cs-CZ"/>
        </w:rPr>
        <w:t>y</w:t>
      </w:r>
      <w:r w:rsidRPr="00A955AF" w:rsidR="002D2092">
        <w:rPr>
          <w:rFonts w:eastAsia="Times New Roman" w:cstheme="minorHAnsi"/>
          <w:b/>
          <w:color w:val="auto"/>
          <w:sz w:val="24"/>
          <w:lang w:eastAsia="cs-CZ"/>
        </w:rPr>
        <w:t xml:space="preserve"> soudržnosti</w:t>
      </w:r>
      <w:r w:rsidRPr="00A955AF" w:rsidR="002D2092">
        <w:rPr>
          <w:rFonts w:eastAsia="Times New Roman" w:cstheme="minorHAnsi"/>
          <w:color w:val="auto"/>
          <w:sz w:val="24"/>
          <w:lang w:eastAsia="cs-CZ"/>
        </w:rPr>
        <w:t xml:space="preserve">, </w:t>
      </w:r>
      <w:r w:rsidRPr="00A955AF" w:rsidR="002D2092">
        <w:rPr>
          <w:rFonts w:cstheme="minorHAnsi"/>
          <w:sz w:val="24"/>
        </w:rPr>
        <w:t xml:space="preserve">která je hlavní investiční politikou EU a jejímž prostřednictvím má ČR možnost čerpat </w:t>
      </w:r>
      <w:r w:rsidR="006E3F97">
        <w:rPr>
          <w:rFonts w:cstheme="minorHAnsi"/>
          <w:sz w:val="24"/>
        </w:rPr>
        <w:t xml:space="preserve">finanční prostředky z </w:t>
      </w:r>
      <w:r w:rsidRPr="00233882" w:rsidR="00AE2BBA">
        <w:rPr>
          <w:rFonts w:cstheme="minorHAnsi"/>
          <w:iCs/>
          <w:sz w:val="24"/>
        </w:rPr>
        <w:t>fond</w:t>
      </w:r>
      <w:r w:rsidR="006E3F97">
        <w:rPr>
          <w:rFonts w:cstheme="minorHAnsi"/>
          <w:iCs/>
          <w:sz w:val="24"/>
        </w:rPr>
        <w:t>ů</w:t>
      </w:r>
      <w:r w:rsidRPr="00233882" w:rsidR="00AE2BBA">
        <w:rPr>
          <w:rFonts w:cstheme="minorHAnsi"/>
          <w:iCs/>
          <w:sz w:val="24"/>
        </w:rPr>
        <w:t xml:space="preserve"> </w:t>
      </w:r>
      <w:r w:rsidRPr="00233882" w:rsidR="00171288">
        <w:rPr>
          <w:rFonts w:cstheme="minorHAnsi"/>
          <w:iCs/>
          <w:sz w:val="24"/>
        </w:rPr>
        <w:t>EU</w:t>
      </w:r>
      <w:r>
        <w:rPr>
          <w:rFonts w:cstheme="minorHAnsi"/>
          <w:iCs/>
          <w:sz w:val="24"/>
        </w:rPr>
        <w:t xml:space="preserve">, s jejichž pomocí je možné </w:t>
      </w:r>
      <w:r w:rsidRPr="00A955AF">
        <w:rPr>
          <w:rFonts w:cstheme="minorHAnsi"/>
          <w:sz w:val="24"/>
        </w:rPr>
        <w:t>snižovat rozdíly mezi členskými státy a regiony</w:t>
      </w:r>
      <w:r w:rsidR="006E3F97">
        <w:rPr>
          <w:rFonts w:cstheme="minorHAnsi"/>
          <w:sz w:val="24"/>
        </w:rPr>
        <w:t xml:space="preserve"> v rámci EU</w:t>
      </w:r>
      <w:r w:rsidRPr="00460913" w:rsidR="002D2092">
        <w:rPr>
          <w:rFonts w:cstheme="minorHAnsi"/>
          <w:iCs/>
          <w:sz w:val="24"/>
        </w:rPr>
        <w:t>.</w:t>
      </w:r>
      <w:r>
        <w:rPr>
          <w:rFonts w:cstheme="minorHAnsi"/>
          <w:iCs/>
          <w:sz w:val="24"/>
        </w:rPr>
        <w:t xml:space="preserve"> </w:t>
      </w:r>
      <w:r w:rsidRPr="00A955AF">
        <w:rPr>
          <w:rFonts w:cstheme="minorHAnsi"/>
          <w:sz w:val="24"/>
        </w:rPr>
        <w:t>Členské státy tak mus</w:t>
      </w:r>
      <w:r w:rsidR="00460913">
        <w:rPr>
          <w:rFonts w:cstheme="minorHAnsi"/>
          <w:sz w:val="24"/>
        </w:rPr>
        <w:t>ej</w:t>
      </w:r>
      <w:r w:rsidRPr="00A955AF">
        <w:rPr>
          <w:rFonts w:cstheme="minorHAnsi"/>
          <w:sz w:val="24"/>
        </w:rPr>
        <w:t>í správně identifikovat problémové oblasti zabraňující rychlejšímu socioekonomickému rozvoji a zároveň stanovit priority, do</w:t>
      </w:r>
      <w:r w:rsidRPr="00A955AF" w:rsidR="006C5B65">
        <w:rPr>
          <w:rFonts w:cstheme="minorHAnsi"/>
          <w:sz w:val="24"/>
        </w:rPr>
        <w:t> </w:t>
      </w:r>
      <w:r w:rsidRPr="00A955AF">
        <w:rPr>
          <w:rFonts w:cstheme="minorHAnsi"/>
          <w:sz w:val="24"/>
        </w:rPr>
        <w:t xml:space="preserve">kterých pak budou soustředěny investice z evropských fondů. </w:t>
      </w:r>
    </w:p>
    <w:p w:rsidR="006D660B" w:rsidRPr="00A955AF" w:rsidP="00477A42" w14:paraId="70F3AFB7" w14:textId="69A5AEFA">
      <w:pPr>
        <w:shd w:val="clear" w:color="auto" w:fill="FFFFFF"/>
        <w:rPr>
          <w:rFonts w:eastAsia="Times New Roman" w:cstheme="minorHAnsi"/>
          <w:color w:val="1C222F"/>
          <w:sz w:val="24"/>
          <w:lang w:eastAsia="cs-CZ"/>
        </w:rPr>
      </w:pPr>
      <w:r w:rsidRPr="00A955AF">
        <w:rPr>
          <w:rFonts w:eastAsia="Times New Roman" w:cstheme="minorHAnsi"/>
          <w:color w:val="1C222F"/>
          <w:sz w:val="24"/>
          <w:lang w:eastAsia="cs-CZ"/>
        </w:rPr>
        <w:t xml:space="preserve">Aby byla zajištěna co největší účinnost při využívání fondů EU na strategické oblasti, </w:t>
      </w:r>
      <w:r w:rsidRPr="00A955AF" w:rsidR="0016591F">
        <w:rPr>
          <w:rFonts w:eastAsia="Times New Roman" w:cstheme="minorHAnsi"/>
          <w:color w:val="1C222F"/>
          <w:sz w:val="24"/>
          <w:lang w:eastAsia="cs-CZ"/>
        </w:rPr>
        <w:t>které </w:t>
      </w:r>
      <w:r w:rsidRPr="00A955AF">
        <w:rPr>
          <w:rFonts w:eastAsia="Times New Roman" w:cstheme="minorHAnsi"/>
          <w:color w:val="1C222F"/>
          <w:sz w:val="24"/>
          <w:lang w:eastAsia="cs-CZ"/>
        </w:rPr>
        <w:t xml:space="preserve">zajistí žádoucí změnu a posun EU směrem k vyšší konkurenceschopnosti a kvalitě života jejich občanů, bylo </w:t>
      </w:r>
      <w:r w:rsidRPr="00A955AF" w:rsidR="00211A61">
        <w:rPr>
          <w:rFonts w:eastAsia="Times New Roman" w:cstheme="minorHAnsi"/>
          <w:color w:val="1C222F"/>
          <w:sz w:val="24"/>
          <w:lang w:eastAsia="cs-CZ"/>
        </w:rPr>
        <w:t>v tzv.</w:t>
      </w:r>
      <w:r w:rsidRPr="00A955AF" w:rsidR="00B70B9B">
        <w:rPr>
          <w:rFonts w:eastAsia="Times New Roman" w:cstheme="minorHAnsi"/>
          <w:color w:val="1C222F"/>
          <w:sz w:val="24"/>
          <w:lang w:eastAsia="cs-CZ"/>
        </w:rPr>
        <w:t xml:space="preserve"> </w:t>
      </w:r>
      <w:r w:rsidR="00460913">
        <w:rPr>
          <w:rFonts w:eastAsia="Times New Roman" w:cstheme="minorHAnsi"/>
          <w:b/>
          <w:color w:val="1C222F"/>
          <w:sz w:val="24"/>
          <w:lang w:eastAsia="cs-CZ"/>
        </w:rPr>
        <w:t>o</w:t>
      </w:r>
      <w:r w:rsidRPr="00A955AF" w:rsidR="00460913">
        <w:rPr>
          <w:rFonts w:eastAsia="Times New Roman" w:cstheme="minorHAnsi"/>
          <w:b/>
          <w:color w:val="1C222F"/>
          <w:sz w:val="24"/>
          <w:lang w:eastAsia="cs-CZ"/>
        </w:rPr>
        <w:t xml:space="preserve">becném </w:t>
      </w:r>
      <w:r w:rsidRPr="00A955AF" w:rsidR="00083B49">
        <w:rPr>
          <w:rFonts w:eastAsia="Times New Roman" w:cstheme="minorHAnsi"/>
          <w:b/>
          <w:color w:val="1C222F"/>
          <w:sz w:val="24"/>
          <w:lang w:eastAsia="cs-CZ"/>
        </w:rPr>
        <w:t>nařízení</w:t>
      </w:r>
      <w:r w:rsidRPr="00A955AF" w:rsidR="00B70B9B">
        <w:rPr>
          <w:rFonts w:eastAsia="Times New Roman" w:cstheme="minorHAnsi"/>
          <w:color w:val="1C222F"/>
          <w:sz w:val="24"/>
          <w:lang w:eastAsia="cs-CZ"/>
        </w:rPr>
        <w:t xml:space="preserve"> </w:t>
      </w:r>
      <w:r>
        <w:rPr>
          <w:rStyle w:val="FootnoteReference"/>
          <w:rFonts w:cstheme="minorHAnsi"/>
          <w:sz w:val="24"/>
        </w:rPr>
        <w:footnoteReference w:id="23"/>
      </w:r>
      <w:r w:rsidRPr="00A955AF" w:rsidR="00B70B9B">
        <w:rPr>
          <w:rFonts w:eastAsia="Times New Roman" w:cstheme="minorHAnsi"/>
          <w:color w:val="1C222F"/>
          <w:sz w:val="24"/>
          <w:lang w:eastAsia="cs-CZ"/>
        </w:rPr>
        <w:t xml:space="preserve"> pro využívání </w:t>
      </w:r>
      <w:r w:rsidRPr="00A955AF" w:rsidR="00171288">
        <w:rPr>
          <w:rFonts w:eastAsia="Times New Roman" w:cstheme="minorHAnsi"/>
          <w:color w:val="1C222F"/>
          <w:sz w:val="24"/>
          <w:lang w:eastAsia="cs-CZ"/>
        </w:rPr>
        <w:t xml:space="preserve">fondů EU </w:t>
      </w:r>
      <w:r w:rsidRPr="00A955AF" w:rsidR="00B70B9B">
        <w:rPr>
          <w:rFonts w:eastAsia="Times New Roman" w:cstheme="minorHAnsi"/>
          <w:color w:val="1C222F"/>
          <w:sz w:val="24"/>
          <w:lang w:eastAsia="cs-CZ"/>
        </w:rPr>
        <w:t xml:space="preserve">v programovém období </w:t>
      </w:r>
      <w:r w:rsidRPr="00A955AF" w:rsidR="00BF632E">
        <w:rPr>
          <w:rFonts w:eastAsia="Times New Roman" w:cstheme="minorHAnsi"/>
          <w:color w:val="1C222F"/>
          <w:sz w:val="24"/>
          <w:lang w:eastAsia="cs-CZ"/>
        </w:rPr>
        <w:t>2021–2027</w:t>
      </w:r>
      <w:r w:rsidRPr="00A955AF" w:rsidR="00083B49">
        <w:rPr>
          <w:rFonts w:cstheme="minorHAnsi"/>
          <w:sz w:val="24"/>
        </w:rPr>
        <w:t>,</w:t>
      </w:r>
      <w:r w:rsidRPr="00A955AF">
        <w:rPr>
          <w:rFonts w:eastAsia="Times New Roman" w:cstheme="minorHAnsi"/>
          <w:color w:val="1C222F"/>
          <w:sz w:val="24"/>
          <w:lang w:eastAsia="cs-CZ"/>
        </w:rPr>
        <w:t xml:space="preserve"> určeno pět </w:t>
      </w:r>
      <w:r w:rsidR="00460913">
        <w:rPr>
          <w:rFonts w:eastAsia="Times New Roman" w:cstheme="minorHAnsi"/>
          <w:color w:val="1C222F"/>
          <w:sz w:val="24"/>
          <w:lang w:eastAsia="cs-CZ"/>
        </w:rPr>
        <w:t>c</w:t>
      </w:r>
      <w:r w:rsidRPr="00A955AF" w:rsidR="00460913">
        <w:rPr>
          <w:rFonts w:eastAsia="Times New Roman" w:cstheme="minorHAnsi"/>
          <w:color w:val="1C222F"/>
          <w:sz w:val="24"/>
          <w:lang w:eastAsia="cs-CZ"/>
        </w:rPr>
        <w:t xml:space="preserve">ílů </w:t>
      </w:r>
      <w:r w:rsidRPr="00A955AF">
        <w:rPr>
          <w:rFonts w:eastAsia="Times New Roman" w:cstheme="minorHAnsi"/>
          <w:color w:val="1C222F"/>
          <w:sz w:val="24"/>
          <w:lang w:eastAsia="cs-CZ"/>
        </w:rPr>
        <w:t>politiky:</w:t>
      </w:r>
    </w:p>
    <w:p w:rsidR="006D660B" w:rsidRPr="00A955AF" w:rsidP="00941CC1" w14:paraId="4FA8F006" w14:textId="77777777">
      <w:pPr>
        <w:numPr>
          <w:ilvl w:val="0"/>
          <w:numId w:val="15"/>
        </w:numPr>
        <w:shd w:val="clear" w:color="auto" w:fill="FFFFFF"/>
        <w:ind w:left="709" w:hanging="357"/>
        <w:rPr>
          <w:rFonts w:eastAsia="Times New Roman" w:cstheme="minorHAnsi"/>
          <w:color w:val="1C222F"/>
          <w:sz w:val="24"/>
          <w:lang w:eastAsia="cs-CZ"/>
        </w:rPr>
      </w:pPr>
      <w:r w:rsidRPr="00A955AF">
        <w:rPr>
          <w:rFonts w:eastAsia="Times New Roman" w:cstheme="minorHAnsi"/>
          <w:color w:val="1C222F"/>
          <w:sz w:val="24"/>
          <w:lang w:eastAsia="cs-CZ"/>
        </w:rPr>
        <w:t>Inteligentnější Evropa – inovativní a inteligentní ekonomická transformace;</w:t>
      </w:r>
    </w:p>
    <w:p w:rsidR="006D660B" w:rsidRPr="00A955AF" w:rsidP="00941CC1" w14:paraId="1F0CE96D" w14:textId="77777777">
      <w:pPr>
        <w:numPr>
          <w:ilvl w:val="0"/>
          <w:numId w:val="15"/>
        </w:numPr>
        <w:shd w:val="clear" w:color="auto" w:fill="FFFFFF"/>
        <w:ind w:left="709" w:hanging="357"/>
        <w:rPr>
          <w:rFonts w:eastAsia="Times New Roman" w:cstheme="minorHAnsi"/>
          <w:color w:val="1C222F"/>
          <w:sz w:val="24"/>
          <w:lang w:eastAsia="cs-CZ"/>
        </w:rPr>
      </w:pPr>
      <w:r w:rsidRPr="00A955AF">
        <w:rPr>
          <w:rFonts w:eastAsia="Times New Roman" w:cstheme="minorHAnsi"/>
          <w:color w:val="1C222F"/>
          <w:sz w:val="24"/>
          <w:lang w:eastAsia="cs-CZ"/>
        </w:rPr>
        <w:t>Zelenější, nízkouhlíková Evropa;</w:t>
      </w:r>
    </w:p>
    <w:p w:rsidR="006D660B" w:rsidRPr="00A955AF" w:rsidP="00941CC1" w14:paraId="4D63CCDE" w14:textId="77777777">
      <w:pPr>
        <w:numPr>
          <w:ilvl w:val="0"/>
          <w:numId w:val="15"/>
        </w:numPr>
        <w:shd w:val="clear" w:color="auto" w:fill="FFFFFF"/>
        <w:ind w:left="709" w:hanging="357"/>
        <w:rPr>
          <w:rFonts w:eastAsia="Times New Roman" w:cstheme="minorHAnsi"/>
          <w:color w:val="1C222F"/>
          <w:sz w:val="24"/>
          <w:lang w:eastAsia="cs-CZ"/>
        </w:rPr>
      </w:pPr>
      <w:r w:rsidRPr="00A955AF">
        <w:rPr>
          <w:rFonts w:eastAsia="Times New Roman" w:cstheme="minorHAnsi"/>
          <w:color w:val="1C222F"/>
          <w:sz w:val="24"/>
          <w:lang w:eastAsia="cs-CZ"/>
        </w:rPr>
        <w:t>Propojenější Evropa – mobilita a regionální konektivita k sítím IKT;</w:t>
      </w:r>
    </w:p>
    <w:p w:rsidR="006D660B" w:rsidRPr="00A955AF" w:rsidP="00941CC1" w14:paraId="08B74B6D" w14:textId="77777777">
      <w:pPr>
        <w:numPr>
          <w:ilvl w:val="0"/>
          <w:numId w:val="15"/>
        </w:numPr>
        <w:shd w:val="clear" w:color="auto" w:fill="FFFFFF"/>
        <w:ind w:left="709" w:hanging="357"/>
        <w:rPr>
          <w:rFonts w:eastAsia="Times New Roman" w:cstheme="minorHAnsi"/>
          <w:color w:val="1C222F"/>
          <w:sz w:val="24"/>
          <w:lang w:eastAsia="cs-CZ"/>
        </w:rPr>
      </w:pPr>
      <w:r w:rsidRPr="00A955AF">
        <w:rPr>
          <w:rFonts w:eastAsia="Times New Roman" w:cstheme="minorHAnsi"/>
          <w:color w:val="1C222F"/>
          <w:sz w:val="24"/>
          <w:lang w:eastAsia="cs-CZ"/>
        </w:rPr>
        <w:t>Sociálnější Evropa – provádění evropského pilíře sociálních práv;</w:t>
      </w:r>
    </w:p>
    <w:p w:rsidR="00452469" w:rsidRPr="00A955AF" w:rsidP="00941CC1" w14:paraId="7AD541DA" w14:textId="77777777">
      <w:pPr>
        <w:numPr>
          <w:ilvl w:val="0"/>
          <w:numId w:val="15"/>
        </w:numPr>
        <w:shd w:val="clear" w:color="auto" w:fill="FFFFFF"/>
        <w:ind w:left="709" w:hanging="357"/>
        <w:rPr>
          <w:rFonts w:eastAsia="Times New Roman" w:cstheme="minorHAnsi"/>
          <w:color w:val="1C222F"/>
          <w:sz w:val="24"/>
          <w:lang w:eastAsia="cs-CZ"/>
        </w:rPr>
      </w:pPr>
      <w:r w:rsidRPr="00A955AF">
        <w:rPr>
          <w:rFonts w:eastAsia="Times New Roman" w:cstheme="minorHAnsi"/>
          <w:color w:val="1C222F"/>
          <w:sz w:val="24"/>
          <w:lang w:eastAsia="cs-CZ"/>
        </w:rPr>
        <w:t>Evropa bližší občanům – trvale udržitelný a integrovaný rozvoj městských, venkovských a pobřežních oblastí prostřednictvím místních iniciativ.</w:t>
      </w:r>
    </w:p>
    <w:p w:rsidR="001601AD" w:rsidP="00477A42" w14:paraId="624C3D4E" w14:textId="059CD1D1">
      <w:pPr>
        <w:rPr>
          <w:rFonts w:cstheme="minorHAnsi"/>
          <w:sz w:val="24"/>
        </w:rPr>
      </w:pPr>
      <w:r>
        <w:rPr>
          <w:rFonts w:cstheme="minorHAnsi"/>
          <w:sz w:val="24"/>
        </w:rPr>
        <w:t>P</w:t>
      </w:r>
      <w:r w:rsidRPr="00A955AF" w:rsidR="00D35220">
        <w:rPr>
          <w:rFonts w:cstheme="minorHAnsi"/>
          <w:sz w:val="24"/>
        </w:rPr>
        <w:t xml:space="preserve">ro oblast zdravotnictví je </w:t>
      </w:r>
      <w:r>
        <w:rPr>
          <w:rFonts w:cstheme="minorHAnsi"/>
          <w:sz w:val="24"/>
        </w:rPr>
        <w:t xml:space="preserve">relevantní </w:t>
      </w:r>
      <w:r w:rsidRPr="00A955AF" w:rsidR="00D35220">
        <w:rPr>
          <w:rFonts w:cstheme="minorHAnsi"/>
          <w:sz w:val="24"/>
        </w:rPr>
        <w:t>zejména cíl Sociálnější Evropa – provádění evropského pilíře sociálních práv, v</w:t>
      </w:r>
      <w:r w:rsidR="008B65F8">
        <w:rPr>
          <w:rFonts w:cstheme="minorHAnsi"/>
          <w:sz w:val="24"/>
        </w:rPr>
        <w:t xml:space="preserve"> jehož </w:t>
      </w:r>
      <w:r w:rsidRPr="00A955AF" w:rsidR="00D35220">
        <w:rPr>
          <w:rFonts w:cstheme="minorHAnsi"/>
          <w:sz w:val="24"/>
        </w:rPr>
        <w:t>rámci jsou definovány i příslušné oblasti intervence, které mohou být podporovány</w:t>
      </w:r>
      <w:r>
        <w:rPr>
          <w:rStyle w:val="FootnoteReference"/>
          <w:rFonts w:cstheme="minorHAnsi"/>
          <w:sz w:val="24"/>
        </w:rPr>
        <w:footnoteReference w:id="24"/>
      </w:r>
      <w:r w:rsidRPr="00A955AF" w:rsidR="00D35220">
        <w:rPr>
          <w:rFonts w:cstheme="minorHAnsi"/>
          <w:sz w:val="24"/>
        </w:rPr>
        <w:t xml:space="preserve">. Evropská komise dále </w:t>
      </w:r>
      <w:r w:rsidRPr="00A955AF" w:rsidR="005E6F53">
        <w:rPr>
          <w:rFonts w:cstheme="minorHAnsi"/>
          <w:sz w:val="24"/>
        </w:rPr>
        <w:t xml:space="preserve">relevantnost podpory oblasti zdravotnictví </w:t>
      </w:r>
      <w:r w:rsidRPr="00A955AF" w:rsidR="006E3F97">
        <w:rPr>
          <w:rFonts w:cstheme="minorHAnsi"/>
          <w:sz w:val="24"/>
        </w:rPr>
        <w:t>demonstr</w:t>
      </w:r>
      <w:r w:rsidR="006E3F97">
        <w:rPr>
          <w:rFonts w:cstheme="minorHAnsi"/>
          <w:sz w:val="24"/>
        </w:rPr>
        <w:t>uje</w:t>
      </w:r>
      <w:r w:rsidRPr="00A955AF" w:rsidR="006E3F97">
        <w:rPr>
          <w:rFonts w:cstheme="minorHAnsi"/>
          <w:sz w:val="24"/>
        </w:rPr>
        <w:t xml:space="preserve"> </w:t>
      </w:r>
      <w:r w:rsidRPr="00A955AF" w:rsidR="005E6F53">
        <w:rPr>
          <w:rFonts w:cstheme="minorHAnsi"/>
          <w:sz w:val="24"/>
        </w:rPr>
        <w:t xml:space="preserve">i v rámci </w:t>
      </w:r>
      <w:r w:rsidR="006E3F97">
        <w:rPr>
          <w:rFonts w:cstheme="minorHAnsi"/>
          <w:sz w:val="24"/>
        </w:rPr>
        <w:t xml:space="preserve">každoroční </w:t>
      </w:r>
      <w:r w:rsidRPr="00A955AF" w:rsidR="00BD6D7E">
        <w:rPr>
          <w:rFonts w:cstheme="minorHAnsi"/>
          <w:sz w:val="24"/>
        </w:rPr>
        <w:t>analýzy hospodářských výzev a politik pro</w:t>
      </w:r>
      <w:r w:rsidRPr="00A955AF" w:rsidR="006765BD">
        <w:rPr>
          <w:rFonts w:cstheme="minorHAnsi"/>
          <w:sz w:val="24"/>
        </w:rPr>
        <w:t> </w:t>
      </w:r>
      <w:r w:rsidRPr="00A955AF" w:rsidR="00BD6D7E">
        <w:rPr>
          <w:rFonts w:cstheme="minorHAnsi"/>
          <w:sz w:val="24"/>
        </w:rPr>
        <w:t>každý členský stát EU</w:t>
      </w:r>
      <w:r w:rsidR="006E3F97">
        <w:rPr>
          <w:rFonts w:cstheme="minorHAnsi"/>
          <w:sz w:val="24"/>
        </w:rPr>
        <w:t xml:space="preserve"> </w:t>
      </w:r>
      <w:r w:rsidRPr="00A955AF" w:rsidR="00BD6D7E">
        <w:rPr>
          <w:rFonts w:cstheme="minorHAnsi"/>
          <w:sz w:val="24"/>
        </w:rPr>
        <w:t>tzv. Country Report</w:t>
      </w:r>
      <w:r w:rsidR="006E3F97">
        <w:rPr>
          <w:rFonts w:cstheme="minorHAnsi"/>
          <w:sz w:val="24"/>
        </w:rPr>
        <w:t>.</w:t>
      </w:r>
    </w:p>
    <w:p w:rsidR="009D1FB6" w:rsidP="0D4C4CA9" w14:paraId="18065A85" w14:textId="6C29E61C">
      <w:pPr>
        <w:rPr>
          <w:sz w:val="24"/>
        </w:rPr>
      </w:pPr>
      <w:r w:rsidRPr="0D4C4CA9">
        <w:rPr>
          <w:sz w:val="24"/>
        </w:rPr>
        <w:t xml:space="preserve">Strategický rámec Zdraví 2035 představuje plnění tzv. </w:t>
      </w:r>
      <w:r w:rsidR="006E3F97">
        <w:rPr>
          <w:sz w:val="24"/>
        </w:rPr>
        <w:t>z</w:t>
      </w:r>
      <w:r w:rsidRPr="0D4C4CA9">
        <w:rPr>
          <w:sz w:val="24"/>
        </w:rPr>
        <w:t>ákladní podmínky pro čerpání</w:t>
      </w:r>
      <w:r w:rsidR="006E3F97">
        <w:rPr>
          <w:sz w:val="24"/>
        </w:rPr>
        <w:t xml:space="preserve"> finančních prostředků z</w:t>
      </w:r>
      <w:r w:rsidRPr="0D4C4CA9">
        <w:rPr>
          <w:sz w:val="24"/>
        </w:rPr>
        <w:t xml:space="preserve"> evropských fondů v oblasti zdraví v programovém období 2021-2027.</w:t>
      </w:r>
    </w:p>
    <w:p w:rsidR="0D4C4CA9" w:rsidP="0D4C4CA9" w14:paraId="6C93395B" w14:textId="7D28B2CE">
      <w:pPr>
        <w:rPr>
          <w:sz w:val="24"/>
        </w:rPr>
      </w:pPr>
    </w:p>
    <w:p w:rsidR="009D1FB6" w:rsidRPr="009D1FB6" w:rsidP="009D1FB6" w14:paraId="1E4646B3" w14:textId="3A66CE1A">
      <w:pPr>
        <w:rPr>
          <w:rFonts w:cstheme="minorHAnsi"/>
          <w:sz w:val="24"/>
        </w:rPr>
      </w:pPr>
      <w:r w:rsidRPr="009D1FB6">
        <w:rPr>
          <w:rFonts w:cstheme="minorHAnsi"/>
          <w:sz w:val="24"/>
        </w:rPr>
        <w:t xml:space="preserve">Program </w:t>
      </w:r>
      <w:r w:rsidRPr="009D1FB6">
        <w:rPr>
          <w:rFonts w:cstheme="minorHAnsi"/>
          <w:b/>
          <w:bCs/>
          <w:sz w:val="24"/>
        </w:rPr>
        <w:t>EU pro zdraví (EU4Health)</w:t>
      </w:r>
      <w:r w:rsidRPr="009D1FB6">
        <w:rPr>
          <w:rFonts w:cstheme="minorHAnsi"/>
          <w:sz w:val="24"/>
        </w:rPr>
        <w:t xml:space="preserve"> je v programovém období 2021-2027 hlavním finančním nástrojem pro realizaci cílů EU v oblasti veřejného zdraví. Tento program navazuje na Třetí víceletý program činnosti EU v oblasti zdraví na období 2014–2020 (tzv. 3. akční program) a</w:t>
      </w:r>
      <w:r w:rsidR="005D4D73">
        <w:rPr>
          <w:rFonts w:cstheme="minorHAnsi"/>
          <w:sz w:val="24"/>
        </w:rPr>
        <w:t> </w:t>
      </w:r>
      <w:r w:rsidRPr="009D1FB6">
        <w:rPr>
          <w:rFonts w:cstheme="minorHAnsi"/>
          <w:sz w:val="24"/>
        </w:rPr>
        <w:t xml:space="preserve">disponuje rozpočtem ve výši </w:t>
      </w:r>
      <w:r w:rsidR="00271588">
        <w:rPr>
          <w:rFonts w:cstheme="minorHAnsi"/>
          <w:sz w:val="24"/>
        </w:rPr>
        <w:t>4,4</w:t>
      </w:r>
      <w:r w:rsidRPr="009D1FB6">
        <w:rPr>
          <w:rFonts w:cstheme="minorHAnsi"/>
          <w:sz w:val="24"/>
        </w:rPr>
        <w:t xml:space="preserve"> m</w:t>
      </w:r>
      <w:r w:rsidR="004C47A4">
        <w:rPr>
          <w:rFonts w:cstheme="minorHAnsi"/>
          <w:sz w:val="24"/>
        </w:rPr>
        <w:t>ld.</w:t>
      </w:r>
      <w:r w:rsidRPr="009D1FB6">
        <w:rPr>
          <w:rFonts w:cstheme="minorHAnsi"/>
          <w:sz w:val="24"/>
        </w:rPr>
        <w:t xml:space="preserve"> EUR.</w:t>
      </w:r>
      <w:r>
        <w:rPr>
          <w:rFonts w:cstheme="minorHAnsi"/>
          <w:sz w:val="24"/>
        </w:rPr>
        <w:t xml:space="preserve"> </w:t>
      </w:r>
      <w:r w:rsidRPr="009D1FB6">
        <w:rPr>
          <w:rFonts w:cstheme="minorHAnsi"/>
          <w:sz w:val="24"/>
        </w:rPr>
        <w:t xml:space="preserve">Základním právním rámcem pro realizaci tohoto programu je </w:t>
      </w:r>
      <w:r w:rsidR="004C47A4">
        <w:rPr>
          <w:rFonts w:cstheme="minorHAnsi"/>
          <w:sz w:val="24"/>
        </w:rPr>
        <w:t>n</w:t>
      </w:r>
      <w:r w:rsidRPr="009D1FB6" w:rsidR="004C47A4">
        <w:rPr>
          <w:rFonts w:cstheme="minorHAnsi"/>
          <w:sz w:val="24"/>
        </w:rPr>
        <w:t xml:space="preserve">ařízení </w:t>
      </w:r>
      <w:r w:rsidRPr="009D1FB6">
        <w:rPr>
          <w:rFonts w:cstheme="minorHAnsi"/>
          <w:sz w:val="24"/>
        </w:rPr>
        <w:t>Evropského parlamentu a Rady (EU) 2021/522 ze dne 24. března 2021</w:t>
      </w:r>
      <w:r>
        <w:rPr>
          <w:rStyle w:val="FootnoteReference"/>
          <w:rFonts w:cstheme="minorHAnsi"/>
          <w:sz w:val="24"/>
        </w:rPr>
        <w:footnoteReference w:id="25"/>
      </w:r>
      <w:r w:rsidRPr="009D1FB6">
        <w:rPr>
          <w:rFonts w:cstheme="minorHAnsi"/>
          <w:sz w:val="24"/>
        </w:rPr>
        <w:t>.</w:t>
      </w:r>
    </w:p>
    <w:p w:rsidR="009D1FB6" w:rsidP="009D1FB6" w14:paraId="010D3FAA" w14:textId="792E5A43">
      <w:r w:rsidRPr="009D1FB6">
        <w:rPr>
          <w:rFonts w:cstheme="minorHAnsi"/>
          <w:sz w:val="24"/>
        </w:rPr>
        <w:t>Program EU</w:t>
      </w:r>
      <w:r w:rsidR="004C47A4">
        <w:rPr>
          <w:rFonts w:cstheme="minorHAnsi"/>
          <w:sz w:val="24"/>
        </w:rPr>
        <w:t>4Health</w:t>
      </w:r>
      <w:r w:rsidRPr="009D1FB6">
        <w:rPr>
          <w:rFonts w:cstheme="minorHAnsi"/>
          <w:sz w:val="24"/>
        </w:rPr>
        <w:t xml:space="preserve"> je přímo řízen Evropskou komisí. Na rozdíl od strukturálních fondů nebo společné zemědělské politiky, kde má každý členský stát garantovaný podíl na rozpočtu daného programu či fondu, v tomto přímo řízeném programu soutěží žadatelé</w:t>
      </w:r>
      <w:r w:rsidR="004C47A4">
        <w:rPr>
          <w:rFonts w:cstheme="minorHAnsi"/>
          <w:sz w:val="24"/>
        </w:rPr>
        <w:t> </w:t>
      </w:r>
      <w:r w:rsidRPr="009D1FB6" w:rsidR="004C47A4">
        <w:rPr>
          <w:rFonts w:cstheme="minorHAnsi"/>
          <w:sz w:val="24"/>
        </w:rPr>
        <w:t>z</w:t>
      </w:r>
      <w:r w:rsidR="004C47A4">
        <w:rPr>
          <w:rFonts w:cstheme="minorHAnsi"/>
          <w:sz w:val="24"/>
        </w:rPr>
        <w:t> </w:t>
      </w:r>
      <w:r w:rsidRPr="009D1FB6">
        <w:rPr>
          <w:rFonts w:cstheme="minorHAnsi"/>
          <w:sz w:val="24"/>
        </w:rPr>
        <w:t>různých členských států o evropské financování mezi sebou.</w:t>
      </w:r>
      <w:r w:rsidRPr="009D1FB6">
        <w:t xml:space="preserve"> </w:t>
      </w:r>
    </w:p>
    <w:p w:rsidR="006A49C0" w:rsidRPr="009D1FB6" w:rsidP="009D1FB6" w14:paraId="0292C87B" w14:textId="02AFD083">
      <w:pPr>
        <w:rPr>
          <w:rFonts w:cstheme="minorHAnsi"/>
          <w:sz w:val="24"/>
        </w:rPr>
      </w:pPr>
      <w:r>
        <w:t>P</w:t>
      </w:r>
      <w:r w:rsidRPr="009D1FB6">
        <w:rPr>
          <w:rFonts w:cstheme="minorHAnsi"/>
          <w:sz w:val="24"/>
        </w:rPr>
        <w:t>rogram EU pro zdraví reaguje na zkušenost s pandemií Covid-19 a má za cíl lépe připravit EU na závažné zdravotní hrozby, zejména prostřednictvím posilování připravenosti a odolnosti zdravotních systémů členských států.</w:t>
      </w:r>
      <w:r>
        <w:rPr>
          <w:rFonts w:cstheme="minorHAnsi"/>
          <w:sz w:val="24"/>
        </w:rPr>
        <w:t xml:space="preserve"> </w:t>
      </w:r>
      <w:r w:rsidRPr="009D1FB6">
        <w:rPr>
          <w:rFonts w:cstheme="minorHAnsi"/>
          <w:sz w:val="24"/>
        </w:rPr>
        <w:t>Cílem programu je:</w:t>
      </w:r>
    </w:p>
    <w:p w:rsidR="006A49C0" w:rsidRPr="009D1FB6" w:rsidP="006C359E" w14:paraId="5421BFAB" w14:textId="5DF61EBB">
      <w:pPr>
        <w:pStyle w:val="ListParagraph"/>
        <w:numPr>
          <w:ilvl w:val="0"/>
          <w:numId w:val="51"/>
        </w:numPr>
        <w:spacing w:before="0" w:line="264" w:lineRule="auto"/>
        <w:jc w:val="left"/>
        <w:rPr>
          <w:rFonts w:cstheme="minorHAnsi"/>
          <w:sz w:val="24"/>
        </w:rPr>
      </w:pPr>
      <w:r>
        <w:rPr>
          <w:rFonts w:cstheme="minorHAnsi"/>
          <w:sz w:val="24"/>
        </w:rPr>
        <w:t>Z</w:t>
      </w:r>
      <w:r w:rsidRPr="009D1FB6">
        <w:rPr>
          <w:rFonts w:cstheme="minorHAnsi"/>
          <w:sz w:val="24"/>
        </w:rPr>
        <w:t xml:space="preserve">lepšit a posílit </w:t>
      </w:r>
      <w:r w:rsidR="004C47A4">
        <w:rPr>
          <w:rFonts w:cstheme="minorHAnsi"/>
          <w:sz w:val="24"/>
        </w:rPr>
        <w:t xml:space="preserve">úroveň </w:t>
      </w:r>
      <w:r w:rsidRPr="009D1FB6">
        <w:rPr>
          <w:rFonts w:cstheme="minorHAnsi"/>
          <w:sz w:val="24"/>
        </w:rPr>
        <w:t xml:space="preserve">zdraví v </w:t>
      </w:r>
      <w:r w:rsidR="004C47A4">
        <w:rPr>
          <w:rFonts w:cstheme="minorHAnsi"/>
          <w:sz w:val="24"/>
        </w:rPr>
        <w:t>EU</w:t>
      </w:r>
    </w:p>
    <w:p w:rsidR="006A49C0" w:rsidRPr="009D1FB6" w:rsidP="006C359E" w14:paraId="2DC2EAAD" w14:textId="67363D74">
      <w:pPr>
        <w:pStyle w:val="ListParagraph"/>
        <w:numPr>
          <w:ilvl w:val="0"/>
          <w:numId w:val="51"/>
        </w:numPr>
        <w:spacing w:before="0" w:line="264" w:lineRule="auto"/>
        <w:jc w:val="left"/>
        <w:rPr>
          <w:rFonts w:cstheme="minorHAnsi"/>
          <w:sz w:val="24"/>
        </w:rPr>
      </w:pPr>
      <w:r>
        <w:rPr>
          <w:rFonts w:cstheme="minorHAnsi"/>
          <w:sz w:val="24"/>
        </w:rPr>
        <w:t>C</w:t>
      </w:r>
      <w:r w:rsidRPr="009D1FB6">
        <w:rPr>
          <w:rFonts w:cstheme="minorHAnsi"/>
          <w:sz w:val="24"/>
        </w:rPr>
        <w:t xml:space="preserve">hránit obyvatele </w:t>
      </w:r>
      <w:r w:rsidR="004C47A4">
        <w:rPr>
          <w:rFonts w:cstheme="minorHAnsi"/>
          <w:sz w:val="24"/>
        </w:rPr>
        <w:t>EU</w:t>
      </w:r>
      <w:r w:rsidRPr="009D1FB6" w:rsidR="004C47A4">
        <w:rPr>
          <w:rFonts w:cstheme="minorHAnsi"/>
          <w:sz w:val="24"/>
        </w:rPr>
        <w:t xml:space="preserve"> </w:t>
      </w:r>
      <w:r w:rsidRPr="009D1FB6">
        <w:rPr>
          <w:rFonts w:cstheme="minorHAnsi"/>
          <w:sz w:val="24"/>
        </w:rPr>
        <w:t xml:space="preserve">před </w:t>
      </w:r>
      <w:r w:rsidR="004C47A4">
        <w:rPr>
          <w:rFonts w:cstheme="minorHAnsi"/>
          <w:sz w:val="24"/>
        </w:rPr>
        <w:t xml:space="preserve">případnými </w:t>
      </w:r>
      <w:r w:rsidRPr="009D1FB6">
        <w:rPr>
          <w:rFonts w:cstheme="minorHAnsi"/>
          <w:sz w:val="24"/>
        </w:rPr>
        <w:t>vážnými přeshraničními zdravotními hrozbami</w:t>
      </w:r>
      <w:r w:rsidR="004C47A4">
        <w:rPr>
          <w:rFonts w:cstheme="minorHAnsi"/>
          <w:sz w:val="24"/>
        </w:rPr>
        <w:t xml:space="preserve"> do budoucna</w:t>
      </w:r>
    </w:p>
    <w:p w:rsidR="006A49C0" w:rsidRPr="009D1FB6" w:rsidP="006C359E" w14:paraId="29B1BA61" w14:textId="0F3781AE">
      <w:pPr>
        <w:pStyle w:val="ListParagraph"/>
        <w:numPr>
          <w:ilvl w:val="0"/>
          <w:numId w:val="51"/>
        </w:numPr>
        <w:spacing w:before="0" w:line="264" w:lineRule="auto"/>
        <w:jc w:val="left"/>
        <w:rPr>
          <w:rFonts w:cstheme="minorHAnsi"/>
          <w:sz w:val="24"/>
        </w:rPr>
      </w:pPr>
      <w:r>
        <w:rPr>
          <w:rFonts w:cstheme="minorHAnsi"/>
          <w:sz w:val="24"/>
        </w:rPr>
        <w:t>Z</w:t>
      </w:r>
      <w:r w:rsidRPr="009D1FB6">
        <w:rPr>
          <w:rFonts w:cstheme="minorHAnsi"/>
          <w:sz w:val="24"/>
        </w:rPr>
        <w:t xml:space="preserve">lepšit </w:t>
      </w:r>
      <w:r w:rsidR="004C47A4">
        <w:rPr>
          <w:rFonts w:cstheme="minorHAnsi"/>
          <w:sz w:val="24"/>
        </w:rPr>
        <w:t>dostupnost</w:t>
      </w:r>
      <w:r w:rsidRPr="009D1FB6" w:rsidR="004C47A4">
        <w:rPr>
          <w:rFonts w:cstheme="minorHAnsi"/>
          <w:sz w:val="24"/>
        </w:rPr>
        <w:t xml:space="preserve"> </w:t>
      </w:r>
      <w:r w:rsidRPr="009D1FB6">
        <w:rPr>
          <w:rFonts w:cstheme="minorHAnsi"/>
          <w:sz w:val="24"/>
        </w:rPr>
        <w:t>a cenovou dostupnost léčivých přípravků</w:t>
      </w:r>
    </w:p>
    <w:p w:rsidR="003D5E99" w:rsidP="006C359E" w14:paraId="0156F3A8" w14:textId="649232B2">
      <w:pPr>
        <w:pStyle w:val="ListParagraph"/>
        <w:numPr>
          <w:ilvl w:val="0"/>
          <w:numId w:val="51"/>
        </w:numPr>
        <w:spacing w:before="0" w:line="264" w:lineRule="auto"/>
        <w:jc w:val="left"/>
        <w:rPr>
          <w:rFonts w:cstheme="minorHAnsi"/>
          <w:sz w:val="24"/>
        </w:rPr>
      </w:pPr>
      <w:r>
        <w:rPr>
          <w:rFonts w:cstheme="minorHAnsi"/>
          <w:sz w:val="24"/>
        </w:rPr>
        <w:t>P</w:t>
      </w:r>
      <w:r w:rsidRPr="009D1FB6" w:rsidR="006A49C0">
        <w:rPr>
          <w:rFonts w:cstheme="minorHAnsi"/>
          <w:sz w:val="24"/>
        </w:rPr>
        <w:t>osílit systémy zdravotní péče zlepšením jejich odolnosti a účinného využívání zdrojů</w:t>
      </w:r>
    </w:p>
    <w:p w:rsidR="004C47A4" w:rsidP="004C47A4" w14:paraId="55D072A2" w14:textId="77777777">
      <w:pPr>
        <w:spacing w:before="0" w:line="264" w:lineRule="auto"/>
        <w:rPr>
          <w:rFonts w:cstheme="minorHAnsi"/>
          <w:b/>
          <w:bCs/>
          <w:sz w:val="24"/>
        </w:rPr>
      </w:pPr>
    </w:p>
    <w:p w:rsidR="003D5E99" w:rsidP="004433F0" w14:paraId="653D1952" w14:textId="773CE4F5">
      <w:pPr>
        <w:spacing w:before="0" w:line="264" w:lineRule="auto"/>
        <w:rPr>
          <w:rFonts w:cstheme="minorHAnsi"/>
          <w:b/>
          <w:sz w:val="24"/>
        </w:rPr>
      </w:pPr>
      <w:r w:rsidRPr="0070747B">
        <w:rPr>
          <w:rFonts w:cstheme="minorHAnsi"/>
          <w:b/>
          <w:bCs/>
          <w:sz w:val="24"/>
        </w:rPr>
        <w:t>Strategie EU pro globální zdraví</w:t>
      </w:r>
      <w:r>
        <w:rPr>
          <w:rStyle w:val="FootnoteReference"/>
          <w:rFonts w:cstheme="minorHAnsi"/>
          <w:b/>
          <w:bCs/>
          <w:sz w:val="24"/>
        </w:rPr>
        <w:footnoteReference w:id="26"/>
      </w:r>
      <w:r w:rsidRPr="0070747B">
        <w:rPr>
          <w:rFonts w:cstheme="minorHAnsi"/>
          <w:b/>
          <w:bCs/>
          <w:sz w:val="24"/>
        </w:rPr>
        <w:t xml:space="preserve"> </w:t>
      </w:r>
      <w:r w:rsidRPr="0070747B">
        <w:rPr>
          <w:rFonts w:cstheme="minorHAnsi"/>
          <w:sz w:val="24"/>
        </w:rPr>
        <w:t>byla zveřejněna Evropskou komisí v roce 2022 a klade si za cíl 1) zajistit lepší zdraví a osobní blahobyt lidí během jejich celého života; 2) posílit systémy zdravotní péče a zlepšit všeobecnou zdravotní péči; 3) předcházet zdravotním hrozbám, včetně pandemií, a bojovat proti nim při uplatňování přístupu Jedno zdraví. K utváření nového celosvětového zdravotního řádu přispěje EU těmito opatřeními: 1) robustní globální správa v aktuálním geopolitickém prostředí; 2) mezinárodní partnerství v oblasti zdraví; 3) využití přístupu Tým Evropa; 4) podpora inovativního financování, sdílení zdrojů na mezinárodní úrovni a společné investice. Evropská komise zveřejnila v červenci 2025 Zprávu k implementaci Strategie EU pro globální zdraví.</w:t>
      </w:r>
      <w:r w:rsidRPr="0070747B">
        <w:rPr>
          <w:rFonts w:cstheme="minorHAnsi"/>
          <w:b/>
          <w:bCs/>
          <w:sz w:val="24"/>
        </w:rPr>
        <w:t xml:space="preserve"> </w:t>
      </w:r>
    </w:p>
    <w:p w:rsidR="004433F0" w:rsidRPr="004433F0" w:rsidP="004433F0" w14:paraId="0D6E36A0" w14:textId="77777777">
      <w:pPr>
        <w:spacing w:before="0" w:line="264" w:lineRule="auto"/>
        <w:rPr>
          <w:rFonts w:cstheme="minorHAnsi"/>
          <w:b/>
          <w:sz w:val="24"/>
        </w:rPr>
      </w:pPr>
    </w:p>
    <w:p w:rsidR="00524549" w:rsidRPr="00524549" w:rsidP="006C359E" w14:paraId="77C10CF2" w14:textId="77777777">
      <w:pPr>
        <w:pStyle w:val="Podkapitola111opaten"/>
        <w:numPr>
          <w:ilvl w:val="2"/>
          <w:numId w:val="44"/>
        </w:numPr>
        <w:rPr>
          <w:rFonts w:cstheme="minorHAnsi"/>
        </w:rPr>
      </w:pPr>
      <w:bookmarkStart w:id="463" w:name="_Toc256000027"/>
      <w:r w:rsidRPr="003D5E99">
        <w:t>O</w:t>
      </w:r>
      <w:r>
        <w:t>ECD</w:t>
      </w:r>
      <w:bookmarkEnd w:id="463"/>
    </w:p>
    <w:p w:rsidR="00524549" w:rsidP="00524549" w14:paraId="158C162F" w14:textId="1081CBDD">
      <w:pPr>
        <w:rPr>
          <w:sz w:val="24"/>
        </w:rPr>
      </w:pPr>
      <w:r w:rsidRPr="00524549">
        <w:rPr>
          <w:sz w:val="24"/>
        </w:rPr>
        <w:t>OECD pomáhá státům dosáhnout výkonných a odolných zdravotnických systémů zaměřených na lidi</w:t>
      </w:r>
      <w:r>
        <w:rPr>
          <w:sz w:val="24"/>
        </w:rPr>
        <w:t xml:space="preserve"> prostřednictvím </w:t>
      </w:r>
      <w:r w:rsidRPr="00524549">
        <w:rPr>
          <w:sz w:val="24"/>
        </w:rPr>
        <w:t>měření zdravotních výsledků a zdrojů zdravotního systému a také podporou politik založených na důkazech, které zlepšují přístup, efektivitu a kvalitu zdravotní péče.</w:t>
      </w:r>
      <w:r>
        <w:rPr>
          <w:sz w:val="24"/>
        </w:rPr>
        <w:t xml:space="preserve"> K dosažení cílů využívá OECD své zdravotní statistiky, které představují nejkomplexnější zdroj statistik o zdraví a zdravotních systémech napříč </w:t>
      </w:r>
      <w:r w:rsidR="7B8900B9">
        <w:rPr>
          <w:sz w:val="24"/>
        </w:rPr>
        <w:t>č</w:t>
      </w:r>
      <w:r>
        <w:rPr>
          <w:sz w:val="24"/>
        </w:rPr>
        <w:t>lenskými státy OECD. Hlavními tématy, na které se OECD zaměřuje jsou</w:t>
      </w:r>
      <w:r>
        <w:rPr>
          <w:rStyle w:val="FootnoteReference"/>
          <w:sz w:val="24"/>
        </w:rPr>
        <w:footnoteReference w:id="27"/>
      </w:r>
      <w:r>
        <w:rPr>
          <w:sz w:val="24"/>
        </w:rPr>
        <w:t>:</w:t>
      </w:r>
    </w:p>
    <w:p w:rsidR="00524549" w:rsidP="006C359E" w14:paraId="5BFE06A7" w14:textId="0C2F7E3A">
      <w:pPr>
        <w:pStyle w:val="ListParagraph"/>
        <w:numPr>
          <w:ilvl w:val="0"/>
          <w:numId w:val="52"/>
        </w:numPr>
        <w:rPr>
          <w:sz w:val="24"/>
          <w:szCs w:val="28"/>
        </w:rPr>
      </w:pPr>
      <w:r>
        <w:rPr>
          <w:sz w:val="24"/>
          <w:szCs w:val="28"/>
        </w:rPr>
        <w:t>C</w:t>
      </w:r>
      <w:r w:rsidRPr="00524549">
        <w:rPr>
          <w:sz w:val="24"/>
          <w:szCs w:val="28"/>
        </w:rPr>
        <w:t>hronická onemocnění</w:t>
      </w:r>
    </w:p>
    <w:p w:rsidR="00524549" w:rsidP="006C359E" w14:paraId="34CADCAB" w14:textId="40DE5C3D">
      <w:pPr>
        <w:pStyle w:val="ListParagraph"/>
        <w:numPr>
          <w:ilvl w:val="0"/>
          <w:numId w:val="52"/>
        </w:numPr>
        <w:rPr>
          <w:sz w:val="24"/>
          <w:szCs w:val="28"/>
        </w:rPr>
      </w:pPr>
      <w:r>
        <w:rPr>
          <w:sz w:val="24"/>
          <w:szCs w:val="28"/>
        </w:rPr>
        <w:t>D</w:t>
      </w:r>
      <w:r>
        <w:rPr>
          <w:sz w:val="24"/>
          <w:szCs w:val="28"/>
        </w:rPr>
        <w:t>igitální zdraví</w:t>
      </w:r>
    </w:p>
    <w:p w:rsidR="00524549" w:rsidP="006C359E" w14:paraId="4E89C2F1" w14:textId="74683AD7">
      <w:pPr>
        <w:pStyle w:val="ListParagraph"/>
        <w:numPr>
          <w:ilvl w:val="0"/>
          <w:numId w:val="52"/>
        </w:numPr>
        <w:rPr>
          <w:sz w:val="24"/>
          <w:szCs w:val="28"/>
        </w:rPr>
      </w:pPr>
      <w:r>
        <w:rPr>
          <w:sz w:val="24"/>
          <w:szCs w:val="28"/>
        </w:rPr>
        <w:t>Z</w:t>
      </w:r>
      <w:r>
        <w:rPr>
          <w:sz w:val="24"/>
          <w:szCs w:val="28"/>
        </w:rPr>
        <w:t>draví a práce</w:t>
      </w:r>
    </w:p>
    <w:p w:rsidR="00524549" w:rsidP="006C359E" w14:paraId="44BDADFF" w14:textId="4BD4749B">
      <w:pPr>
        <w:pStyle w:val="ListParagraph"/>
        <w:numPr>
          <w:ilvl w:val="0"/>
          <w:numId w:val="52"/>
        </w:numPr>
        <w:rPr>
          <w:sz w:val="24"/>
          <w:szCs w:val="28"/>
        </w:rPr>
      </w:pPr>
      <w:r>
        <w:rPr>
          <w:sz w:val="24"/>
          <w:szCs w:val="28"/>
        </w:rPr>
        <w:t>K</w:t>
      </w:r>
      <w:r>
        <w:rPr>
          <w:sz w:val="24"/>
          <w:szCs w:val="28"/>
        </w:rPr>
        <w:t>valita a výsledky zdravotní péče</w:t>
      </w:r>
    </w:p>
    <w:p w:rsidR="00524549" w:rsidP="006C359E" w14:paraId="1F3B53C1" w14:textId="42AFAEEF">
      <w:pPr>
        <w:pStyle w:val="ListParagraph"/>
        <w:numPr>
          <w:ilvl w:val="0"/>
          <w:numId w:val="52"/>
        </w:numPr>
        <w:rPr>
          <w:sz w:val="24"/>
          <w:szCs w:val="28"/>
        </w:rPr>
      </w:pPr>
      <w:r>
        <w:rPr>
          <w:sz w:val="24"/>
          <w:szCs w:val="28"/>
        </w:rPr>
        <w:t>N</w:t>
      </w:r>
      <w:r>
        <w:rPr>
          <w:sz w:val="24"/>
          <w:szCs w:val="28"/>
        </w:rPr>
        <w:t>erovnosti ve zdraví a univerzální přístup ke zdravotní péči</w:t>
      </w:r>
    </w:p>
    <w:p w:rsidR="00524549" w:rsidP="006C359E" w14:paraId="4E344AFE" w14:textId="13FA6804">
      <w:pPr>
        <w:pStyle w:val="ListParagraph"/>
        <w:numPr>
          <w:ilvl w:val="0"/>
          <w:numId w:val="52"/>
        </w:numPr>
        <w:rPr>
          <w:sz w:val="24"/>
          <w:szCs w:val="28"/>
        </w:rPr>
      </w:pPr>
      <w:r>
        <w:rPr>
          <w:sz w:val="24"/>
          <w:szCs w:val="28"/>
        </w:rPr>
        <w:t>V</w:t>
      </w:r>
      <w:r>
        <w:rPr>
          <w:sz w:val="24"/>
          <w:szCs w:val="28"/>
        </w:rPr>
        <w:t>ýdaje na zdravotní péči a finanční udržitelnost</w:t>
      </w:r>
    </w:p>
    <w:p w:rsidR="00524549" w:rsidP="006C359E" w14:paraId="339731B2" w14:textId="0D21321D">
      <w:pPr>
        <w:pStyle w:val="ListParagraph"/>
        <w:numPr>
          <w:ilvl w:val="0"/>
          <w:numId w:val="52"/>
        </w:numPr>
        <w:rPr>
          <w:sz w:val="24"/>
          <w:szCs w:val="28"/>
        </w:rPr>
      </w:pPr>
      <w:r>
        <w:rPr>
          <w:sz w:val="24"/>
          <w:szCs w:val="28"/>
        </w:rPr>
        <w:t>Z</w:t>
      </w:r>
      <w:r>
        <w:rPr>
          <w:sz w:val="24"/>
          <w:szCs w:val="28"/>
        </w:rPr>
        <w:t>lepšení veřejného zdraví</w:t>
      </w:r>
    </w:p>
    <w:p w:rsidR="00524549" w:rsidP="006C359E" w14:paraId="5B970AAD" w14:textId="168B0811">
      <w:pPr>
        <w:pStyle w:val="ListParagraph"/>
        <w:numPr>
          <w:ilvl w:val="0"/>
          <w:numId w:val="52"/>
        </w:numPr>
        <w:rPr>
          <w:sz w:val="24"/>
          <w:szCs w:val="28"/>
        </w:rPr>
      </w:pPr>
      <w:r>
        <w:rPr>
          <w:sz w:val="24"/>
          <w:szCs w:val="28"/>
        </w:rPr>
        <w:t>T</w:t>
      </w:r>
      <w:r>
        <w:rPr>
          <w:sz w:val="24"/>
          <w:szCs w:val="28"/>
        </w:rPr>
        <w:t>echnologie ve zdravotnictví</w:t>
      </w:r>
    </w:p>
    <w:p w:rsidR="00524549" w:rsidRPr="00524549" w:rsidP="006C359E" w14:paraId="0ADDA9E0" w14:textId="055CC959">
      <w:pPr>
        <w:pStyle w:val="ListParagraph"/>
        <w:numPr>
          <w:ilvl w:val="0"/>
          <w:numId w:val="52"/>
        </w:numPr>
        <w:rPr>
          <w:sz w:val="24"/>
          <w:szCs w:val="28"/>
        </w:rPr>
      </w:pPr>
      <w:r>
        <w:rPr>
          <w:sz w:val="24"/>
          <w:szCs w:val="28"/>
        </w:rPr>
        <w:t>B</w:t>
      </w:r>
      <w:r>
        <w:rPr>
          <w:sz w:val="24"/>
          <w:szCs w:val="28"/>
        </w:rPr>
        <w:t>udoucnost zdravotních systémů</w:t>
      </w:r>
    </w:p>
    <w:p w:rsidR="00524549" w:rsidRPr="00524549" w:rsidP="00524549" w14:paraId="144192ED" w14:textId="77777777">
      <w:pPr>
        <w:rPr>
          <w:sz w:val="24"/>
          <w:szCs w:val="28"/>
        </w:rPr>
      </w:pPr>
    </w:p>
    <w:p w:rsidR="004C47A4" w:rsidRPr="005B59D4" w:rsidP="004C47A4" w14:paraId="46CA75C2" w14:textId="77777777">
      <w:pPr>
        <w:rPr>
          <w:sz w:val="24"/>
          <w:szCs w:val="28"/>
        </w:rPr>
      </w:pPr>
      <w:r w:rsidRPr="005B59D4">
        <w:rPr>
          <w:sz w:val="24"/>
          <w:szCs w:val="28"/>
        </w:rPr>
        <w:t xml:space="preserve">ČR se zapojila do mezinárodního projektu Patient Reported Indicator Surveys (PaRIS), který mezi lety 2023-2024 sbíral informace o kvalitě péče poskytované pacientům v primární péči. ČR dosáhla v porovnání s ostatními zúčastněnými státy OECD nadprůměrných výsledků. </w:t>
      </w:r>
    </w:p>
    <w:p w:rsidR="001601AD" w:rsidRPr="00524549" w:rsidP="00524549" w14:paraId="21D8D5F2" w14:textId="71EAE91E">
      <w:r w:rsidRPr="00524549">
        <w:br w:type="page"/>
      </w:r>
    </w:p>
    <w:p w:rsidR="006C359E" w:rsidRPr="00EE5797" w:rsidP="006C359E" w14:paraId="4E781177" w14:textId="77777777">
      <w:pPr>
        <w:pStyle w:val="Heading1"/>
        <w:numPr>
          <w:ilvl w:val="0"/>
          <w:numId w:val="45"/>
        </w:numPr>
        <w:rPr>
          <w:color w:val="FFFFFF" w:themeColor="background1"/>
        </w:rPr>
      </w:pPr>
      <w:bookmarkStart w:id="464" w:name="_Toc7705131"/>
      <w:bookmarkStart w:id="465" w:name="_Toc7705602"/>
      <w:bookmarkStart w:id="466" w:name="_Toc7705132"/>
      <w:bookmarkStart w:id="467" w:name="_Toc7705603"/>
      <w:bookmarkStart w:id="468" w:name="_Toc535312492"/>
      <w:bookmarkStart w:id="469" w:name="_Toc256000028"/>
      <w:r w:rsidRPr="00594575">
        <w:t>Analy</w:t>
      </w:r>
      <w:r w:rsidRPr="00A955AF">
        <w:t>tická část</w:t>
      </w:r>
      <w:bookmarkEnd w:id="469"/>
      <w:bookmarkEnd w:id="464"/>
      <w:bookmarkEnd w:id="465"/>
    </w:p>
    <w:p w:rsidR="005D4D73" w:rsidRPr="005D4D73" w:rsidP="005D4D73" w14:paraId="481A4607" w14:textId="77777777">
      <w:pPr>
        <w:pStyle w:val="ListParagraph"/>
        <w:keepNext/>
        <w:keepLines/>
        <w:numPr>
          <w:ilvl w:val="0"/>
          <w:numId w:val="8"/>
        </w:numPr>
        <w:autoSpaceDE/>
        <w:autoSpaceDN/>
        <w:adjustRightInd/>
        <w:jc w:val="left"/>
        <w:outlineLvl w:val="0"/>
        <w:rPr>
          <w:rFonts w:ascii="Calibri" w:hAnsi="Calibri" w:eastAsiaTheme="majorEastAsia" w:cstheme="majorBidi"/>
          <w:b/>
          <w:bCs w:val="0"/>
          <w:vanish/>
          <w:color w:val="205493"/>
          <w:sz w:val="28"/>
          <w:szCs w:val="32"/>
        </w:rPr>
      </w:pPr>
      <w:bookmarkStart w:id="470" w:name="_Toc7779508"/>
      <w:bookmarkStart w:id="471" w:name="_Toc10196769"/>
      <w:bookmarkStart w:id="472" w:name="_Toc10196896"/>
      <w:bookmarkStart w:id="473" w:name="_Toc10619788"/>
      <w:bookmarkStart w:id="474" w:name="_Toc23407257"/>
      <w:bookmarkStart w:id="475" w:name="_Toc26776964"/>
      <w:bookmarkStart w:id="476" w:name="_Toc40943342"/>
      <w:bookmarkStart w:id="477" w:name="_Toc41565641"/>
      <w:bookmarkStart w:id="478" w:name="_Toc41566174"/>
      <w:bookmarkStart w:id="479" w:name="_Toc201690633"/>
      <w:bookmarkStart w:id="480" w:name="_Toc201691352"/>
      <w:bookmarkStart w:id="481" w:name="_Toc203386441"/>
      <w:bookmarkEnd w:id="470"/>
      <w:bookmarkEnd w:id="471"/>
      <w:bookmarkEnd w:id="472"/>
      <w:bookmarkEnd w:id="473"/>
      <w:bookmarkEnd w:id="474"/>
      <w:bookmarkEnd w:id="475"/>
      <w:bookmarkEnd w:id="476"/>
      <w:bookmarkEnd w:id="477"/>
      <w:bookmarkEnd w:id="478"/>
      <w:bookmarkEnd w:id="479"/>
      <w:bookmarkEnd w:id="480"/>
      <w:bookmarkEnd w:id="481"/>
    </w:p>
    <w:p w:rsidR="006C359E" w:rsidRPr="00A955AF" w:rsidP="005D4D73" w14:paraId="66521A36" w14:textId="73BD8167">
      <w:pPr>
        <w:pStyle w:val="NA2"/>
      </w:pPr>
      <w:r>
        <w:t xml:space="preserve"> </w:t>
      </w:r>
      <w:bookmarkStart w:id="482" w:name="_Toc256000030"/>
      <w:r w:rsidR="3C824C36">
        <w:t>Cíle analytické části a zdroje dat</w:t>
      </w:r>
      <w:bookmarkEnd w:id="482"/>
      <w:r w:rsidR="3C824C36">
        <w:t xml:space="preserve"> </w:t>
      </w:r>
    </w:p>
    <w:p w:rsidR="006C359E" w:rsidRPr="00A955AF" w:rsidP="006C359E" w14:paraId="76C47822"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Analytická část Strategického rámce Zdraví </w:t>
      </w:r>
      <w:r>
        <w:rPr>
          <w:rFonts w:asciiTheme="minorHAnsi" w:hAnsiTheme="minorHAnsi"/>
          <w:sz w:val="24"/>
          <w:lang w:val="cs-CZ"/>
        </w:rPr>
        <w:t>2035</w:t>
      </w:r>
      <w:r w:rsidRPr="00A955AF">
        <w:rPr>
          <w:rFonts w:asciiTheme="minorHAnsi" w:hAnsiTheme="minorHAnsi"/>
          <w:sz w:val="24"/>
          <w:lang w:val="cs-CZ"/>
        </w:rPr>
        <w:t xml:space="preserve"> shrnuje hlavní nálezy analytických rozborů dostupných národních a mezinárodních zdrojů dat, zejména data demografických a zdravotních registrů a srovnávacích statistických šetření.  </w:t>
      </w:r>
    </w:p>
    <w:p w:rsidR="006C359E" w:rsidRPr="00A955AF" w:rsidP="006C359E" w14:paraId="6A41AD7B"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Analýza je zpracována s cílem popsat hlavní faktory určující stav a budoucí vývoj nemocnosti české populace, silná a slabá místa zdravotnického systému a hlavní závěry vyplývající z relevantních mezinárodních doporučení. Významná pozornost je věnována zdůvodnění specifických cílů Strategického rámce Zdraví </w:t>
      </w:r>
      <w:r>
        <w:rPr>
          <w:rFonts w:asciiTheme="minorHAnsi" w:hAnsiTheme="minorHAnsi"/>
          <w:sz w:val="24"/>
          <w:lang w:val="cs-CZ"/>
        </w:rPr>
        <w:t>2035,</w:t>
      </w:r>
      <w:r w:rsidRPr="00C40151">
        <w:rPr>
          <w:rFonts w:asciiTheme="minorHAnsi" w:hAnsiTheme="minorHAnsi"/>
          <w:sz w:val="24"/>
          <w:lang w:val="cs-CZ"/>
        </w:rPr>
        <w:t xml:space="preserve"> </w:t>
      </w:r>
      <w:r w:rsidRPr="00A955AF">
        <w:rPr>
          <w:rFonts w:asciiTheme="minorHAnsi" w:hAnsiTheme="minorHAnsi"/>
          <w:sz w:val="24"/>
          <w:lang w:val="cs-CZ"/>
        </w:rPr>
        <w:t xml:space="preserve">podloženému daty. </w:t>
      </w:r>
    </w:p>
    <w:p w:rsidR="006C359E" w:rsidRPr="00A955AF" w:rsidP="006C359E" w14:paraId="74A92EB5" w14:textId="77777777">
      <w:pPr>
        <w:pStyle w:val="Bntext"/>
        <w:spacing w:line="240" w:lineRule="auto"/>
        <w:ind w:firstLine="0"/>
        <w:rPr>
          <w:rFonts w:asciiTheme="minorHAnsi" w:hAnsiTheme="minorHAnsi"/>
          <w:bCs/>
          <w:sz w:val="24"/>
          <w:lang w:val="cs-CZ"/>
        </w:rPr>
      </w:pPr>
      <w:r w:rsidRPr="00A955AF">
        <w:rPr>
          <w:rFonts w:asciiTheme="minorHAnsi" w:hAnsiTheme="minorHAnsi"/>
          <w:bCs/>
          <w:sz w:val="24"/>
          <w:lang w:val="cs-CZ"/>
        </w:rPr>
        <w:t xml:space="preserve">Pro Analytickou studii Strategického rámce Zdraví </w:t>
      </w:r>
      <w:r>
        <w:rPr>
          <w:rFonts w:asciiTheme="minorHAnsi" w:hAnsiTheme="minorHAnsi"/>
          <w:bCs/>
          <w:sz w:val="24"/>
          <w:lang w:val="cs-CZ"/>
        </w:rPr>
        <w:t>2035</w:t>
      </w:r>
      <w:r w:rsidRPr="00A955AF">
        <w:rPr>
          <w:rFonts w:asciiTheme="minorHAnsi" w:hAnsiTheme="minorHAnsi"/>
          <w:bCs/>
          <w:sz w:val="24"/>
          <w:lang w:val="cs-CZ"/>
        </w:rPr>
        <w:t xml:space="preserve"> byly využity zejména datové zdroje Národního zdravotnického informačního systému (dále jen „</w:t>
      </w:r>
      <w:r w:rsidRPr="00A955AF">
        <w:rPr>
          <w:rFonts w:asciiTheme="minorHAnsi" w:hAnsiTheme="minorHAnsi"/>
          <w:bCs/>
          <w:i/>
          <w:sz w:val="24"/>
          <w:lang w:val="cs-CZ"/>
        </w:rPr>
        <w:t>NZIS</w:t>
      </w:r>
      <w:r w:rsidRPr="00A955AF">
        <w:rPr>
          <w:rFonts w:asciiTheme="minorHAnsi" w:hAnsiTheme="minorHAnsi"/>
          <w:bCs/>
          <w:sz w:val="24"/>
          <w:lang w:val="cs-CZ"/>
        </w:rPr>
        <w:t xml:space="preserve">“). NZIS je jednotný celostátní informační systém veřejné správy, v němž jsou shromažďovány a zpracovávány údaje ze základních registrů orgánů veřejné správy, ministerstev, od poskytovatelů zdravotních služeb, případně dalších osob předávajících údaje do NZIS. </w:t>
      </w:r>
    </w:p>
    <w:p w:rsidR="006C359E" w:rsidRPr="00A955AF" w:rsidP="006C359E" w14:paraId="1971CC98"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Zdrojem demografických dat jsou výstupy Českého statistického úřadu (dále jen „</w:t>
      </w:r>
      <w:r w:rsidRPr="00A955AF">
        <w:rPr>
          <w:rFonts w:asciiTheme="minorHAnsi" w:hAnsiTheme="minorHAnsi"/>
          <w:i/>
          <w:sz w:val="24"/>
          <w:lang w:val="cs-CZ"/>
        </w:rPr>
        <w:t>ČSÚ</w:t>
      </w:r>
      <w:r w:rsidRPr="00A955AF">
        <w:rPr>
          <w:rFonts w:asciiTheme="minorHAnsi" w:hAnsiTheme="minorHAnsi"/>
          <w:sz w:val="24"/>
          <w:lang w:val="cs-CZ"/>
        </w:rPr>
        <w:t>“). Tato data postihují hlavní demografické charakteristiky české populace, zejména celkový počet obyvatel, detailní věkovou strukturu, charakteristiky očekávané délky života i např. projekci vývoje věkové struktury obyvatelstva ČR až do roku 2050.</w:t>
      </w:r>
    </w:p>
    <w:p w:rsidR="006C359E" w:rsidRPr="00BF3F84" w:rsidP="006C359E" w14:paraId="3DC299FE" w14:textId="77777777">
      <w:pPr>
        <w:pStyle w:val="Bntext"/>
        <w:spacing w:line="240" w:lineRule="auto"/>
        <w:ind w:firstLine="0"/>
        <w:rPr>
          <w:rFonts w:asciiTheme="minorHAnsi" w:hAnsiTheme="minorHAnsi"/>
          <w:color w:val="auto"/>
          <w:sz w:val="24"/>
          <w:lang w:val="cs-CZ"/>
        </w:rPr>
      </w:pPr>
      <w:r w:rsidRPr="00BF3F84">
        <w:rPr>
          <w:rFonts w:asciiTheme="minorHAnsi" w:hAnsiTheme="minorHAnsi"/>
          <w:bCs/>
          <w:color w:val="auto"/>
          <w:sz w:val="24"/>
          <w:lang w:val="cs-CZ"/>
        </w:rPr>
        <w:t xml:space="preserve">Data o dostupnosti sociálních a zdravotně sociálních služeb jsou čerpána zejména z ročního výkazu </w:t>
      </w:r>
      <w:r w:rsidRPr="00BF3F84">
        <w:rPr>
          <w:rFonts w:asciiTheme="minorHAnsi" w:hAnsiTheme="minorHAnsi"/>
          <w:color w:val="auto"/>
          <w:sz w:val="24"/>
          <w:lang w:val="cs-CZ"/>
        </w:rPr>
        <w:t xml:space="preserve">o sociálních službách </w:t>
      </w:r>
      <w:r w:rsidRPr="00BF3F84">
        <w:rPr>
          <w:rFonts w:asciiTheme="minorHAnsi" w:hAnsiTheme="minorHAnsi" w:cstheme="minorBidi"/>
          <w:color w:val="auto"/>
          <w:sz w:val="24"/>
          <w:lang w:val="cs-CZ"/>
        </w:rPr>
        <w:t>‒</w:t>
      </w:r>
      <w:r w:rsidRPr="00BF3F84">
        <w:rPr>
          <w:rFonts w:asciiTheme="minorHAnsi" w:hAnsiTheme="minorHAnsi"/>
          <w:color w:val="auto"/>
          <w:sz w:val="24"/>
          <w:lang w:val="cs-CZ"/>
        </w:rPr>
        <w:t xml:space="preserve"> </w:t>
      </w:r>
      <w:r w:rsidRPr="00BF3F84">
        <w:rPr>
          <w:rFonts w:asciiTheme="minorHAnsi" w:hAnsiTheme="minorHAnsi"/>
          <w:iCs/>
          <w:color w:val="auto"/>
          <w:sz w:val="24"/>
          <w:lang w:val="cs-CZ"/>
        </w:rPr>
        <w:t>Soc (MPSV) V 1-01: p</w:t>
      </w:r>
      <w:r w:rsidRPr="00BF3F84">
        <w:rPr>
          <w:rFonts w:asciiTheme="minorHAnsi" w:hAnsiTheme="minorHAnsi"/>
          <w:color w:val="auto"/>
          <w:sz w:val="24"/>
          <w:lang w:val="cs-CZ"/>
        </w:rPr>
        <w:t xml:space="preserve">oskytovatelé sociálních služeb, kteří jsou definováni v § 6 zákona č. 108/2006 Sb., o sociálních službách. </w:t>
      </w:r>
    </w:p>
    <w:p w:rsidR="006C359E" w:rsidP="005D4D73" w14:paraId="59BAD820" w14:textId="0FFD0EDB">
      <w:pPr>
        <w:pStyle w:val="Bntext"/>
        <w:spacing w:line="240" w:lineRule="auto"/>
        <w:ind w:firstLine="0"/>
        <w:rPr>
          <w:rFonts w:asciiTheme="minorHAnsi" w:hAnsiTheme="minorHAnsi"/>
          <w:color w:val="auto"/>
          <w:sz w:val="24"/>
          <w:lang w:val="cs-CZ"/>
        </w:rPr>
      </w:pPr>
      <w:r w:rsidRPr="00BF3F84">
        <w:rPr>
          <w:rFonts w:asciiTheme="minorHAnsi" w:hAnsiTheme="minorHAnsi"/>
          <w:color w:val="auto"/>
          <w:sz w:val="24"/>
          <w:lang w:val="cs-CZ"/>
        </w:rPr>
        <w:t>Data o výskytu rizikových faktorů vychází z výběrového šetření o zdravotním stavu EHIS (European Health Interview Survey), které bylo provedeno v letech 2014 a 2019 ve všech zemích EU, v ČR se jej účastnilo cca 8 tis. Respondentů ve věku 15 a více let.</w:t>
      </w:r>
      <w:bookmarkStart w:id="483" w:name="_Toc41565644"/>
      <w:bookmarkStart w:id="484" w:name="_Toc41566177"/>
      <w:bookmarkStart w:id="485" w:name="_Toc201690636"/>
      <w:bookmarkStart w:id="486" w:name="_Toc201691355"/>
      <w:bookmarkEnd w:id="483"/>
      <w:bookmarkEnd w:id="484"/>
      <w:bookmarkEnd w:id="485"/>
      <w:bookmarkEnd w:id="486"/>
    </w:p>
    <w:p w:rsidR="005D4D73" w:rsidRPr="005D4D73" w:rsidP="005D4D73" w14:paraId="6C8DA5C7" w14:textId="77777777">
      <w:pPr>
        <w:pStyle w:val="Bntext"/>
        <w:spacing w:line="240" w:lineRule="auto"/>
        <w:ind w:firstLine="0"/>
        <w:rPr>
          <w:rFonts w:asciiTheme="minorHAnsi" w:hAnsiTheme="minorHAnsi"/>
          <w:color w:val="auto"/>
          <w:sz w:val="24"/>
          <w:lang w:val="cs-CZ"/>
        </w:rPr>
      </w:pPr>
    </w:p>
    <w:p w:rsidR="005D4D73" w:rsidRPr="005D4D73" w:rsidP="005D4D73" w14:paraId="0248AB89" w14:textId="77777777">
      <w:pPr>
        <w:pStyle w:val="ListParagraph"/>
        <w:keepNext/>
        <w:keepLines/>
        <w:numPr>
          <w:ilvl w:val="0"/>
          <w:numId w:val="44"/>
        </w:numPr>
        <w:autoSpaceDE/>
        <w:autoSpaceDN/>
        <w:adjustRightInd/>
        <w:jc w:val="left"/>
        <w:outlineLvl w:val="0"/>
        <w:rPr>
          <w:rFonts w:ascii="Calibri" w:hAnsi="Calibri" w:eastAsiaTheme="majorEastAsia" w:cstheme="majorBidi"/>
          <w:bCs w:val="0"/>
          <w:vanish/>
          <w:color w:val="205493"/>
          <w:sz w:val="24"/>
          <w:szCs w:val="32"/>
        </w:rPr>
      </w:pPr>
      <w:bookmarkStart w:id="487" w:name="_Toc203386443"/>
      <w:bookmarkEnd w:id="487"/>
    </w:p>
    <w:p w:rsidR="005D4D73" w:rsidRPr="005D4D73" w:rsidP="005D4D73" w14:paraId="69DF0414" w14:textId="77777777">
      <w:pPr>
        <w:pStyle w:val="ListParagraph"/>
        <w:keepNext/>
        <w:keepLines/>
        <w:numPr>
          <w:ilvl w:val="1"/>
          <w:numId w:val="44"/>
        </w:numPr>
        <w:autoSpaceDE/>
        <w:autoSpaceDN/>
        <w:adjustRightInd/>
        <w:jc w:val="left"/>
        <w:outlineLvl w:val="0"/>
        <w:rPr>
          <w:rFonts w:ascii="Calibri" w:hAnsi="Calibri" w:eastAsiaTheme="majorEastAsia" w:cstheme="majorBidi"/>
          <w:bCs w:val="0"/>
          <w:vanish/>
          <w:color w:val="205493"/>
          <w:sz w:val="24"/>
          <w:szCs w:val="32"/>
        </w:rPr>
      </w:pPr>
      <w:bookmarkStart w:id="488" w:name="_Toc203386444"/>
      <w:bookmarkEnd w:id="488"/>
    </w:p>
    <w:p w:rsidR="006C359E" w:rsidRPr="00A955AF" w:rsidP="005D4D73" w14:paraId="70021991" w14:textId="38E95141">
      <w:pPr>
        <w:pStyle w:val="Podkapitola111opaten"/>
        <w:numPr>
          <w:ilvl w:val="2"/>
          <w:numId w:val="44"/>
        </w:numPr>
        <w:ind w:left="1276" w:hanging="567"/>
      </w:pPr>
      <w:bookmarkStart w:id="489" w:name="_Toc256000033"/>
      <w:r w:rsidRPr="006B4A39">
        <w:t>Int</w:t>
      </w:r>
      <w:r w:rsidRPr="00A955AF">
        <w:t>egrální ukazatele zdravotního stavu obyvatelstva</w:t>
      </w:r>
      <w:bookmarkEnd w:id="489"/>
      <w:r w:rsidRPr="00A955AF">
        <w:t xml:space="preserve"> </w:t>
      </w:r>
    </w:p>
    <w:p w:rsidR="006C359E" w:rsidRPr="00A955AF" w:rsidP="006C359E" w14:paraId="1B9BB6A1" w14:textId="77777777">
      <w:pPr>
        <w:pStyle w:val="Bntext"/>
        <w:spacing w:line="240" w:lineRule="auto"/>
        <w:ind w:firstLine="0"/>
        <w:rPr>
          <w:rFonts w:asciiTheme="minorHAnsi" w:hAnsiTheme="minorHAnsi"/>
          <w:sz w:val="24"/>
          <w:lang w:val="cs-CZ"/>
        </w:rPr>
      </w:pPr>
      <w:r>
        <w:rPr>
          <w:rFonts w:asciiTheme="minorHAnsi" w:hAnsiTheme="minorHAnsi"/>
          <w:sz w:val="24"/>
          <w:lang w:val="cs-CZ"/>
        </w:rPr>
        <w:t>Pod</w:t>
      </w:r>
      <w:r w:rsidRPr="00A955AF">
        <w:rPr>
          <w:rFonts w:asciiTheme="minorHAnsi" w:hAnsiTheme="minorHAnsi"/>
          <w:sz w:val="24"/>
          <w:lang w:val="cs-CZ"/>
        </w:rPr>
        <w:t>le definice WHO (1948, tzv. biopsychosociální model) je „</w:t>
      </w:r>
      <w:r>
        <w:rPr>
          <w:rFonts w:asciiTheme="minorHAnsi" w:hAnsiTheme="minorHAnsi"/>
          <w:i/>
          <w:sz w:val="24"/>
          <w:lang w:val="cs-CZ"/>
        </w:rPr>
        <w:t>z</w:t>
      </w:r>
      <w:r w:rsidRPr="00A955AF">
        <w:rPr>
          <w:rFonts w:asciiTheme="minorHAnsi" w:hAnsiTheme="minorHAnsi"/>
          <w:i/>
          <w:sz w:val="24"/>
          <w:lang w:val="cs-CZ"/>
        </w:rPr>
        <w:t>draví stav úplné duševní, tělesné a sociální pohody a nejenom nepřítomnost nemoci nebo vady</w:t>
      </w:r>
      <w:r w:rsidRPr="00A955AF">
        <w:rPr>
          <w:rFonts w:asciiTheme="minorHAnsi" w:hAnsiTheme="minorHAnsi"/>
          <w:sz w:val="24"/>
          <w:lang w:val="cs-CZ"/>
        </w:rPr>
        <w:t xml:space="preserve">“. Definice ukazuje na komplexní aspekty zdraví, tedy stránku duševní, fyzickou i sociální. Z výše citované definice vychází i předložená koncepce analýz ukazatelů zdravotního stavu obyvatel, která zahrnuje nejen epidemiologické charakteristiky nemocí, ale kvantifikuje i vliv faktorů zdravého životního stylu a subjektivního vnímání zdravotního stavu občany. Zásadní význam však mají zejména tzv. integrální ukazatele zdravotního stavu, jako jsou např. střední doba života a doba života ve zdraví. Následující odstavce stručně shrnují vybrané závěry těchto analýz, ze kterých vyplývá pro českou populaci i zdravotní systém řada pozitiv, zejména srovnáme-li vývoj v posledních deseti a více letech. Na druhou stranu řada ukazatelů stále nedosahuje úrovně vyspělých zemí Evropy a předložený Strategický rámec Zdraví </w:t>
      </w:r>
      <w:r>
        <w:rPr>
          <w:rFonts w:asciiTheme="minorHAnsi" w:hAnsiTheme="minorHAnsi"/>
          <w:sz w:val="24"/>
          <w:lang w:val="cs-CZ"/>
        </w:rPr>
        <w:t>2035</w:t>
      </w:r>
      <w:r w:rsidRPr="00A955AF">
        <w:rPr>
          <w:rFonts w:asciiTheme="minorHAnsi" w:hAnsiTheme="minorHAnsi"/>
          <w:sz w:val="24"/>
          <w:lang w:val="cs-CZ"/>
        </w:rPr>
        <w:t xml:space="preserve"> tak cílí na jejich další zlepšování:</w:t>
      </w:r>
    </w:p>
    <w:p w:rsidR="006C359E" w:rsidRPr="00BF3F84" w:rsidP="006C359E" w14:paraId="3FBA0825" w14:textId="77777777">
      <w:pPr>
        <w:pStyle w:val="Bntext"/>
        <w:numPr>
          <w:ilvl w:val="0"/>
          <w:numId w:val="19"/>
        </w:numPr>
        <w:spacing w:line="240" w:lineRule="auto"/>
        <w:rPr>
          <w:rFonts w:asciiTheme="minorHAnsi" w:hAnsiTheme="minorHAnsi"/>
          <w:color w:val="auto"/>
          <w:sz w:val="24"/>
          <w:lang w:val="cs-CZ"/>
        </w:rPr>
      </w:pPr>
      <w:r w:rsidRPr="00BF3F84">
        <w:rPr>
          <w:rFonts w:eastAsia="Calibri" w:cs="Calibri"/>
          <w:b/>
          <w:color w:val="auto"/>
          <w:sz w:val="24"/>
          <w:lang w:val="cs-CZ"/>
        </w:rPr>
        <w:t xml:space="preserve">Střední délka života </w:t>
      </w:r>
      <w:r w:rsidRPr="00BF3F84">
        <w:rPr>
          <w:rFonts w:eastAsia="Calibri" w:cs="Calibri"/>
          <w:b/>
          <w:bCs/>
          <w:color w:val="auto"/>
          <w:sz w:val="24"/>
          <w:lang w:val="cs-CZ"/>
        </w:rPr>
        <w:t>při</w:t>
      </w:r>
      <w:r w:rsidRPr="00BF3F84">
        <w:rPr>
          <w:rFonts w:eastAsia="Calibri" w:cs="Calibri"/>
          <w:b/>
          <w:color w:val="auto"/>
          <w:sz w:val="24"/>
          <w:lang w:val="cs-CZ"/>
        </w:rPr>
        <w:t xml:space="preserve"> narození</w:t>
      </w:r>
      <w:r w:rsidRPr="00BF3F84">
        <w:rPr>
          <w:rFonts w:eastAsia="Calibri" w:cs="Calibri"/>
          <w:color w:val="auto"/>
          <w:sz w:val="24"/>
          <w:lang w:val="cs-CZ"/>
        </w:rPr>
        <w:t xml:space="preserve"> v české populaci dlouhodobě narůstá. Nicméně stále jsou hodnoty zjištěné u českých žen i mužů nižší než průměr zemí EU. V roce 2023 byla střední délka života při narození u žen 82,8 let, což je o 1,6 let více než v roce 2013, ale o 1,4 méně, než byl průměr EU v roce 2023. U mužů byla v roce 2023 střední délka života při narození 76,9 let, což je o 1,7 let více než v roce 2013, ale o 2,0 méně, než byl průměr mužů EU v roce 2023.</w:t>
      </w:r>
      <w:r w:rsidRPr="00BF3F84">
        <w:rPr>
          <w:rFonts w:asciiTheme="minorHAnsi" w:hAnsiTheme="minorHAnsi"/>
          <w:color w:val="auto"/>
          <w:sz w:val="24"/>
          <w:lang w:val="cs-CZ"/>
        </w:rPr>
        <w:t xml:space="preserve"> </w:t>
      </w:r>
    </w:p>
    <w:p w:rsidR="006C359E" w:rsidRPr="00BF3F84" w:rsidP="006C359E" w14:paraId="5ED73C1F" w14:textId="77777777">
      <w:pPr>
        <w:pStyle w:val="Bntext"/>
        <w:numPr>
          <w:ilvl w:val="0"/>
          <w:numId w:val="19"/>
        </w:numPr>
        <w:spacing w:line="240" w:lineRule="auto"/>
        <w:rPr>
          <w:rFonts w:asciiTheme="minorHAnsi" w:hAnsiTheme="minorHAnsi"/>
          <w:color w:val="auto"/>
          <w:sz w:val="24"/>
          <w:lang w:val="cs-CZ"/>
        </w:rPr>
      </w:pPr>
      <w:r w:rsidRPr="00BF3F84">
        <w:rPr>
          <w:rFonts w:asciiTheme="minorHAnsi" w:hAnsiTheme="minorHAnsi"/>
          <w:color w:val="auto"/>
          <w:sz w:val="24"/>
          <w:lang w:val="cs-CZ"/>
        </w:rPr>
        <w:t xml:space="preserve">Z hlediska zdravotní péče je významným parametrem </w:t>
      </w:r>
      <w:r w:rsidRPr="00BF3F84">
        <w:rPr>
          <w:rFonts w:asciiTheme="minorHAnsi" w:hAnsiTheme="minorHAnsi"/>
          <w:b/>
          <w:bCs/>
          <w:color w:val="auto"/>
          <w:sz w:val="24"/>
          <w:lang w:val="cs-CZ"/>
        </w:rPr>
        <w:t>délka života ve zdraví</w:t>
      </w:r>
      <w:r w:rsidRPr="00BF3F84">
        <w:rPr>
          <w:rFonts w:asciiTheme="minorHAnsi" w:hAnsiTheme="minorHAnsi"/>
          <w:color w:val="auto"/>
          <w:sz w:val="24"/>
          <w:lang w:val="cs-CZ"/>
        </w:rPr>
        <w:t>,</w:t>
      </w:r>
      <w:r w:rsidRPr="00BF3F84">
        <w:rPr>
          <w:rFonts w:asciiTheme="minorHAnsi" w:hAnsiTheme="minorHAnsi"/>
          <w:b/>
          <w:bCs/>
          <w:color w:val="auto"/>
          <w:sz w:val="24"/>
          <w:lang w:val="cs-CZ"/>
        </w:rPr>
        <w:t xml:space="preserve"> </w:t>
      </w:r>
      <w:r w:rsidRPr="00BF3F84">
        <w:rPr>
          <w:rFonts w:asciiTheme="minorHAnsi" w:hAnsiTheme="minorHAnsi"/>
          <w:color w:val="auto"/>
          <w:sz w:val="24"/>
          <w:lang w:val="cs-CZ"/>
        </w:rPr>
        <w:t xml:space="preserve">v tomto ohledu se však ČR řadí k zemím s podprůměrnou hodnotou ukazatele, přičemž pozitivní trend vývoje byl přerušen významným poklesem v době covidové pandemie. Celkový podíl let prožitých ve zdraví na celkové naději dožití při narození v roce 2021 činil 80,4 % a pohyboval se lehce nad průměrem EU (79,5 %). </w:t>
      </w:r>
    </w:p>
    <w:p w:rsidR="006C359E" w:rsidRPr="00BF3F84" w:rsidP="006C359E" w14:paraId="022A5273" w14:textId="217C1898">
      <w:pPr>
        <w:pStyle w:val="Bntext"/>
        <w:numPr>
          <w:ilvl w:val="0"/>
          <w:numId w:val="19"/>
        </w:numPr>
        <w:spacing w:line="240" w:lineRule="auto"/>
        <w:rPr>
          <w:rFonts w:asciiTheme="minorHAnsi" w:hAnsiTheme="minorHAnsi"/>
          <w:color w:val="auto"/>
          <w:sz w:val="24"/>
          <w:lang w:val="cs-CZ"/>
        </w:rPr>
      </w:pPr>
      <w:r w:rsidRPr="00BF3F84">
        <w:rPr>
          <w:rFonts w:asciiTheme="minorHAnsi" w:hAnsiTheme="minorHAnsi"/>
          <w:b/>
          <w:color w:val="auto"/>
          <w:sz w:val="24"/>
          <w:lang w:val="cs-CZ"/>
        </w:rPr>
        <w:t>Celková mortalita</w:t>
      </w:r>
      <w:r w:rsidRPr="00BF3F84">
        <w:rPr>
          <w:rFonts w:asciiTheme="minorHAnsi" w:hAnsiTheme="minorHAnsi"/>
          <w:color w:val="auto"/>
          <w:sz w:val="24"/>
          <w:lang w:val="cs-CZ"/>
        </w:rPr>
        <w:t xml:space="preserve"> vykazuje v období 2010–2023 mírně rostoucí trend, který je do značné míry dán stárnutím populace. Výjimku představují roky 2020 a 2021, kdy úmrtnost výrazně vzrostla v důsledku pandemie C</w:t>
      </w:r>
      <w:r w:rsidR="005D4D73">
        <w:rPr>
          <w:rFonts w:asciiTheme="minorHAnsi" w:hAnsiTheme="minorHAnsi"/>
          <w:color w:val="auto"/>
          <w:sz w:val="24"/>
          <w:lang w:val="cs-CZ"/>
        </w:rPr>
        <w:t>ovid</w:t>
      </w:r>
      <w:r w:rsidRPr="00BF3F84">
        <w:rPr>
          <w:rFonts w:asciiTheme="minorHAnsi" w:hAnsiTheme="minorHAnsi"/>
          <w:color w:val="auto"/>
          <w:sz w:val="24"/>
          <w:lang w:val="cs-CZ"/>
        </w:rPr>
        <w:t>-19. V roce 2023 bylo 59 % všech úmrtí tvořeno pacienty s dlouhodobým onemocněním bez přítomnosti akutní příčiny. Tento podíl odpovídá přibližně 67,2 tisícům osob, které by potenciálně mohly potřebovat dlouhodobou nebo paliativní péči. Přestože tento podíl zůstává významný, celkový trend počtu úmrtí pacientů s dlouhodobým onemocněním bez akutní příčiny v</w:t>
      </w:r>
      <w:r w:rsidR="005D4D73">
        <w:rPr>
          <w:rFonts w:asciiTheme="minorHAnsi" w:hAnsiTheme="minorHAnsi"/>
          <w:color w:val="auto"/>
          <w:sz w:val="24"/>
          <w:lang w:val="cs-CZ"/>
        </w:rPr>
        <w:t> </w:t>
      </w:r>
      <w:r w:rsidRPr="00BF3F84">
        <w:rPr>
          <w:rFonts w:asciiTheme="minorHAnsi" w:hAnsiTheme="minorHAnsi"/>
          <w:color w:val="auto"/>
          <w:sz w:val="24"/>
          <w:lang w:val="cs-CZ"/>
        </w:rPr>
        <w:t>čase mírně klesá.</w:t>
      </w:r>
    </w:p>
    <w:p w:rsidR="006C359E" w:rsidRPr="008E4F32" w:rsidP="008E4F32" w14:paraId="03D63F94" w14:textId="14CB8967">
      <w:pPr>
        <w:pStyle w:val="ListParagraph"/>
        <w:numPr>
          <w:ilvl w:val="0"/>
          <w:numId w:val="19"/>
        </w:numPr>
        <w:rPr>
          <w:rFonts w:cs="Times New Roman"/>
          <w:color w:val="auto"/>
          <w:sz w:val="24"/>
          <w:szCs w:val="24"/>
        </w:rPr>
      </w:pPr>
      <w:r w:rsidRPr="00BF3F84">
        <w:rPr>
          <w:rFonts w:eastAsia="Times New Roman" w:cs="Times New Roman"/>
          <w:b/>
          <w:color w:val="auto"/>
          <w:sz w:val="24"/>
          <w:szCs w:val="24"/>
          <w:lang w:eastAsia="cs-CZ"/>
        </w:rPr>
        <w:t xml:space="preserve">Předčasná úmrtí. </w:t>
      </w:r>
      <w:r w:rsidRPr="00BF3F84">
        <w:rPr>
          <w:rFonts w:cs="Times New Roman"/>
          <w:color w:val="auto"/>
          <w:sz w:val="24"/>
          <w:szCs w:val="24"/>
        </w:rPr>
        <w:t xml:space="preserve">Podle údajů Eurostatu za rok 2022 dosahovala míra úmrtí na preventabilní onemocnění v České republice hodnoty 195 úmrtí na 100 000 obyvatel, což je výrazně nad průměrem Evropské unie (168 na 100 000 obyvatel). </w:t>
      </w:r>
      <w:r w:rsidRPr="00BF3F84">
        <w:rPr>
          <w:rFonts w:cs="Times New Roman"/>
          <w:color w:val="auto"/>
          <w:sz w:val="24"/>
        </w:rPr>
        <w:t>Míra předčasné úmrtnosti není v ČR sice tak vysoká jako například v Litvě, Maďarsku nebo Lotyšsku, ale stále se</w:t>
      </w:r>
      <w:r w:rsidRPr="00BF3F84">
        <w:rPr>
          <w:color w:val="auto"/>
        </w:rPr>
        <w:t> </w:t>
      </w:r>
      <w:r w:rsidRPr="00BF3F84">
        <w:rPr>
          <w:rFonts w:cs="Times New Roman"/>
          <w:color w:val="auto"/>
          <w:sz w:val="24"/>
        </w:rPr>
        <w:t>nachází výrazně nad průměrem EU a nemůže se srovnávat se státy západní Evropy, jako je například Německo, Belgie nebo Dánsko. Napříč evropským regionem se konzistentně pozoruje výrazně vyšší počet preventabilních úmrtí u mužů než u žen. V rámci celé EU činí míra těchto úmrtí 244,9 na 100 000 mužů, zatímco u žen pouze 97,7 na 100 000. Tento výrazný rozdíl mezi pohlavími je do značné míry důsledkem rozdílů v životním stylu, a tedy i ovlivnitelná prostřednictvím zvyšování zdravotní gramotnosti a cílených preventivních programů.</w:t>
      </w:r>
      <w:r w:rsidR="008E4F32">
        <w:rPr>
          <w:rFonts w:cs="Times New Roman"/>
          <w:color w:val="auto"/>
          <w:sz w:val="24"/>
        </w:rPr>
        <w:t xml:space="preserve"> </w:t>
      </w:r>
      <w:r w:rsidRPr="008E4F32">
        <w:rPr>
          <w:rFonts w:cs="Times New Roman"/>
          <w:color w:val="auto"/>
          <w:sz w:val="24"/>
        </w:rPr>
        <w:t>V porovnání s evropským průměrem je na tom Česká republika hůře. U mužů zde v roce 2022 připadalo 287 preventabilních úmrtí na 100 000 mužů, zatímco u žen to bylo 112 na 100 000. Mezi tři nejčastější příčiny preventabilních úmrtí v Evropě patří rakovina plic, která si vyžádala 43 úmrtí na 100 000 mužů a 21 úmrtí na 100 000 žen, ischemická choroba srdeční s 28 úmrtími na 100 000 mužů a 8 úmrtími na 100 000 žen, a C</w:t>
      </w:r>
      <w:r w:rsidR="008E4F32">
        <w:rPr>
          <w:rFonts w:cs="Times New Roman"/>
          <w:color w:val="auto"/>
          <w:sz w:val="24"/>
        </w:rPr>
        <w:t>ovid</w:t>
      </w:r>
      <w:r w:rsidRPr="008E4F32">
        <w:rPr>
          <w:rFonts w:cs="Times New Roman"/>
          <w:color w:val="auto"/>
          <w:sz w:val="24"/>
        </w:rPr>
        <w:t>-19, který vedl k 22 úmrtím na 100 000 mužů a 12 úmrtím na 100 000 žen. Tyto údaje podtrhují význam prevence, zejména v oblasti životního stylu, screeningu a edukace veřejnosti.</w:t>
      </w:r>
    </w:p>
    <w:p w:rsidR="006C359E" w:rsidRPr="008E4F32" w:rsidP="008E4F32" w14:paraId="4D51CDFB" w14:textId="77777777">
      <w:pPr>
        <w:pStyle w:val="ListParagraph"/>
        <w:numPr>
          <w:ilvl w:val="0"/>
          <w:numId w:val="19"/>
        </w:numPr>
        <w:rPr>
          <w:rFonts w:cs="Times New Roman"/>
          <w:color w:val="auto"/>
          <w:sz w:val="24"/>
        </w:rPr>
      </w:pPr>
      <w:r w:rsidRPr="008E4F32">
        <w:rPr>
          <w:rFonts w:cs="Times New Roman"/>
          <w:b/>
          <w:color w:val="auto"/>
          <w:sz w:val="24"/>
        </w:rPr>
        <w:t xml:space="preserve">Subjektivní vnímání zdravotního stavu. </w:t>
      </w:r>
      <w:r w:rsidRPr="008E4F32">
        <w:rPr>
          <w:rFonts w:cs="Times New Roman"/>
          <w:color w:val="auto"/>
          <w:sz w:val="24"/>
        </w:rPr>
        <w:t xml:space="preserve">Česká populace subjektivně vnímá svůj zdravotní stav jako dobrý až velmi dobrý v relativně vysokém procentu, tj. z více než 66 % (SILC, 2024). Ačkoli jde o vysoký podíl populace, stále je to hodnota mírně podprůměrná ve srovnání s vyspělými zeměmi EU. Pozitivní hodnocení vlastního zdravotního stavu prudce klesá s věkem a u osob starších než 65 let již dosahuje pouze 28 %. </w:t>
      </w:r>
    </w:p>
    <w:p w:rsidR="006C359E" w:rsidRPr="008E4F32" w:rsidP="008E4F32" w14:paraId="5657FF62" w14:textId="1D1E6108">
      <w:pPr>
        <w:pStyle w:val="ListParagraph"/>
        <w:numPr>
          <w:ilvl w:val="0"/>
          <w:numId w:val="19"/>
        </w:numPr>
        <w:rPr>
          <w:rFonts w:cs="Times New Roman"/>
          <w:sz w:val="24"/>
        </w:rPr>
      </w:pPr>
      <w:r w:rsidRPr="008E4F32">
        <w:rPr>
          <w:rFonts w:cs="Times New Roman"/>
          <w:sz w:val="24"/>
        </w:rPr>
        <w:t xml:space="preserve">Mezi zásadní ukazatele zdravotního stavu obyvatelstva bezpochyby patří </w:t>
      </w:r>
      <w:r w:rsidRPr="008E4F32">
        <w:rPr>
          <w:rFonts w:cs="Times New Roman"/>
          <w:b/>
          <w:sz w:val="24"/>
        </w:rPr>
        <w:t>indikátory reprodukčního zdraví populace</w:t>
      </w:r>
      <w:r w:rsidRPr="008E4F32">
        <w:rPr>
          <w:rFonts w:cs="Times New Roman"/>
          <w:sz w:val="24"/>
        </w:rPr>
        <w:t>. Prenatální péče o těhotné ženy je v ČR dlouhodobě na vysoké úrovni. Dokládá to například časování prvních návštěv v souvislosti s</w:t>
      </w:r>
      <w:r w:rsidR="008E4F32">
        <w:rPr>
          <w:rFonts w:cs="Times New Roman"/>
          <w:sz w:val="24"/>
        </w:rPr>
        <w:t> </w:t>
      </w:r>
      <w:r w:rsidRPr="008E4F32">
        <w:rPr>
          <w:rFonts w:cs="Times New Roman"/>
          <w:sz w:val="24"/>
        </w:rPr>
        <w:t>těhotenstvím u praktického lékaře – gynekologa. Více než 80 % žen absolvuje první prohlídku již mezi 1.</w:t>
      </w:r>
      <w:r w:rsidRPr="008E4F32">
        <w:rPr>
          <w:sz w:val="24"/>
        </w:rPr>
        <w:t>‒</w:t>
      </w:r>
      <w:r w:rsidRPr="008E4F32">
        <w:rPr>
          <w:rFonts w:cs="Times New Roman"/>
          <w:sz w:val="24"/>
        </w:rPr>
        <w:t xml:space="preserve">12. týdnem těhotenství. Z dalších ukazatelů tohoto segmentu populačního zdraví lze vybrat následující: </w:t>
      </w:r>
    </w:p>
    <w:p w:rsidR="006C359E" w:rsidRPr="00A955AF" w:rsidP="006C359E" w14:paraId="08ED2D58" w14:textId="77777777">
      <w:pPr>
        <w:pStyle w:val="ListParagraph"/>
        <w:numPr>
          <w:ilvl w:val="0"/>
          <w:numId w:val="20"/>
        </w:numPr>
        <w:rPr>
          <w:rFonts w:cs="Times New Roman"/>
          <w:color w:val="000000" w:themeColor="text1"/>
          <w:kern w:val="24"/>
          <w:sz w:val="24"/>
          <w:szCs w:val="24"/>
          <w:lang w:eastAsia="cs-CZ"/>
        </w:rPr>
      </w:pPr>
      <w:r w:rsidRPr="00A955AF">
        <w:rPr>
          <w:rFonts w:cs="Times New Roman"/>
          <w:sz w:val="24"/>
          <w:szCs w:val="24"/>
        </w:rPr>
        <w:t xml:space="preserve">Hodnoty </w:t>
      </w:r>
      <w:r w:rsidRPr="00A955AF">
        <w:rPr>
          <w:rFonts w:cs="Times New Roman"/>
          <w:b/>
          <w:sz w:val="24"/>
          <w:szCs w:val="24"/>
        </w:rPr>
        <w:t>kojenecké úmrtnosti</w:t>
      </w:r>
      <w:r w:rsidRPr="00A955AF">
        <w:rPr>
          <w:rFonts w:cs="Times New Roman"/>
          <w:sz w:val="24"/>
          <w:szCs w:val="24"/>
        </w:rPr>
        <w:t xml:space="preserve">, tedy počet zemřelých do </w:t>
      </w:r>
      <w:r>
        <w:rPr>
          <w:rFonts w:cs="Times New Roman"/>
          <w:sz w:val="24"/>
          <w:szCs w:val="24"/>
        </w:rPr>
        <w:t>jednoho</w:t>
      </w:r>
      <w:r w:rsidRPr="00A955AF">
        <w:rPr>
          <w:rFonts w:cs="Times New Roman"/>
          <w:sz w:val="24"/>
          <w:szCs w:val="24"/>
        </w:rPr>
        <w:t xml:space="preserve"> roku věku na 1000 živě narozených, vykazuje ČR ve srovnání s evropskými zeměmi jedny z nejnižších. Od roku 1985 je hodnota kojenecké úmrtnosti v ČR nižší než průměrná hodnota v EU.</w:t>
      </w:r>
      <w:r w:rsidRPr="00A955AF">
        <w:rPr>
          <w:rFonts w:cs="Times New Roman"/>
          <w:color w:val="000000" w:themeColor="text1"/>
          <w:kern w:val="24"/>
          <w:sz w:val="24"/>
          <w:szCs w:val="24"/>
          <w:lang w:eastAsia="cs-CZ"/>
        </w:rPr>
        <w:t xml:space="preserve"> </w:t>
      </w:r>
    </w:p>
    <w:p w:rsidR="006C359E" w:rsidRPr="008E4F32" w:rsidP="008E4F32" w14:paraId="0DF13B2D" w14:textId="77777777">
      <w:pPr>
        <w:pStyle w:val="ListParagraph"/>
        <w:numPr>
          <w:ilvl w:val="0"/>
          <w:numId w:val="20"/>
        </w:numPr>
        <w:rPr>
          <w:rFonts w:cs="Times New Roman"/>
          <w:sz w:val="24"/>
        </w:rPr>
      </w:pPr>
      <w:r w:rsidRPr="008E4F32">
        <w:rPr>
          <w:rFonts w:cs="Times New Roman"/>
          <w:b/>
          <w:sz w:val="24"/>
        </w:rPr>
        <w:t xml:space="preserve">Porodní hmotnost </w:t>
      </w:r>
      <w:r w:rsidRPr="008E4F32">
        <w:rPr>
          <w:rFonts w:cs="Times New Roman"/>
          <w:sz w:val="24"/>
        </w:rPr>
        <w:t>je jedním ze základních ukazatelů viability narozeného a do značné míry determinuje jeho poporodní adaptaci. Podíl dětí s nízkou porodní hmotností do 2500 g („</w:t>
      </w:r>
      <w:r w:rsidRPr="008E4F32">
        <w:rPr>
          <w:rFonts w:cs="Times New Roman"/>
          <w:i/>
          <w:iCs/>
          <w:sz w:val="24"/>
        </w:rPr>
        <w:t>nedonošenost</w:t>
      </w:r>
      <w:r w:rsidRPr="008E4F32">
        <w:rPr>
          <w:rFonts w:cs="Times New Roman"/>
          <w:sz w:val="24"/>
        </w:rPr>
        <w:t>“) v posledních letech mírně klesá, pohybuje se okolo 7 % narozených. Rizikové porody, tedy porody dětí s nízkou porodní hmotností, jsou v ČR vysoce centralizovány do perinatologických a intermediárních center. Je to velmi pozitivní jev, který se významně podílí na kvalitě péče o tyto děti.</w:t>
      </w:r>
    </w:p>
    <w:p w:rsidR="006C359E" w:rsidRPr="00BF3F84" w:rsidP="006C359E" w14:paraId="7A77D548" w14:textId="77777777">
      <w:pPr>
        <w:rPr>
          <w:rFonts w:cs="Times New Roman"/>
          <w:color w:val="auto"/>
          <w:sz w:val="24"/>
        </w:rPr>
      </w:pPr>
      <w:r w:rsidRPr="00BF3F84">
        <w:rPr>
          <w:rFonts w:cs="Times New Roman"/>
          <w:color w:val="auto"/>
          <w:sz w:val="24"/>
        </w:rPr>
        <w:t>ČR zároveň předstihuje ekonomiky střední a východní Evropy, pokud jde o </w:t>
      </w:r>
      <w:r w:rsidRPr="00BF3F84">
        <w:rPr>
          <w:rFonts w:cs="Times New Roman"/>
          <w:b/>
          <w:color w:val="auto"/>
          <w:sz w:val="24"/>
        </w:rPr>
        <w:t>celkové výsledky zdravotní péče</w:t>
      </w:r>
      <w:r w:rsidRPr="00BF3F84">
        <w:rPr>
          <w:rFonts w:cs="Times New Roman"/>
          <w:color w:val="auto"/>
          <w:sz w:val="24"/>
        </w:rPr>
        <w:t xml:space="preserve">, jako je například míra přežívání po hospitalizaci z důvodu ischemické cévní mozkové příhody. Již sama celková hospitalizační mortalita je v ČR relativně nízká a nepřesahuje hranici 3 %. V čase jde o hodnotu neměnnou, pohybující se kolem hodnoty 2,4 %. Zlepšující se výsledky zdravotní péče v ČR nejlépe dokládají mezinárodní srovnávací studie kvantifikující přežití dosahované u onkologických pacientů. Studie EUROCARE-5 přinesla pozitivní zprávy pro českou onkologii. Úspěšnost léčby pacientů se zhoubnými nádory se obecně zvyšuje a u většiny diagnóz se hodnoty pětiletého relativního přežití blíží evropskému průměru nebo jsou těsně pod ním. Zároveň jsou výrazně nad hodnotami dosahovanými v ostatních státech bývalého východního bloku. Významné pozitivní trendy jsou zaznamenány zejména u pacientů diagnostikovaných se zhoubným novotvarem prostaty, ledviny a u pacientů se zhoubným nádorem tlustého střeva a konečníku, dále pak u pacientek se zhoubným novotvarem prsu, u pacientů se zhoubným melanomem kůže a zhoubným nádorem štítné žlázy. </w:t>
      </w:r>
    </w:p>
    <w:p w:rsidR="006C359E" w:rsidRPr="00BF3F84" w:rsidP="006C359E" w14:paraId="623E243D" w14:textId="77777777">
      <w:pPr>
        <w:rPr>
          <w:rFonts w:cs="Times New Roman"/>
          <w:color w:val="auto"/>
          <w:sz w:val="24"/>
        </w:rPr>
      </w:pPr>
      <w:r w:rsidRPr="00BF3F84">
        <w:rPr>
          <w:rFonts w:cs="Times New Roman"/>
          <w:color w:val="auto"/>
          <w:sz w:val="24"/>
        </w:rPr>
        <w:t xml:space="preserve">Časový vývoj hodnot výše uvedených ukazatelů populačního zdraví lze jednoznačně interpretovat jako výsledek zlepšující se úrovně zdravotní péče v ČR. Zároveň je nutné zdůraznit, že v řadě ukazatelů existuje významný prostor k dalšímu zlepšování, přičemž tato výzva neznamená pouze absolutní zlepšování populačních průměrných hodnot. Z tohoto hlediska je totiž rovněž velmi </w:t>
      </w:r>
      <w:r w:rsidRPr="00BF3F84">
        <w:rPr>
          <w:rFonts w:cs="Times New Roman"/>
          <w:b/>
          <w:color w:val="auto"/>
          <w:sz w:val="24"/>
        </w:rPr>
        <w:t>podstatná</w:t>
      </w:r>
      <w:r w:rsidRPr="00BF3F84">
        <w:rPr>
          <w:rFonts w:cs="Times New Roman"/>
          <w:color w:val="auto"/>
          <w:sz w:val="24"/>
        </w:rPr>
        <w:t xml:space="preserve"> </w:t>
      </w:r>
      <w:r w:rsidRPr="00BF3F84">
        <w:rPr>
          <w:rFonts w:cs="Times New Roman"/>
          <w:b/>
          <w:color w:val="auto"/>
          <w:sz w:val="24"/>
        </w:rPr>
        <w:t>variabilita hodnot ukazatelů mezi regiony ČR</w:t>
      </w:r>
      <w:r w:rsidRPr="00BF3F84">
        <w:rPr>
          <w:rFonts w:cs="Times New Roman"/>
          <w:color w:val="auto"/>
          <w:sz w:val="24"/>
        </w:rPr>
        <w:t>. Tyto rozdíly se týkají i tak významného parametru, jako je střední délka života při narození:</w:t>
      </w:r>
    </w:p>
    <w:p w:rsidR="006C359E" w:rsidRPr="00BF3F84" w:rsidP="006C359E" w14:paraId="05012662" w14:textId="436622A8">
      <w:pPr>
        <w:pStyle w:val="ListParagraph"/>
        <w:rPr>
          <w:rFonts w:cs="Times New Roman"/>
          <w:color w:val="auto"/>
          <w:sz w:val="24"/>
          <w:szCs w:val="24"/>
        </w:rPr>
      </w:pPr>
      <w:r w:rsidRPr="00BF3F84">
        <w:rPr>
          <w:rFonts w:cs="Times New Roman"/>
          <w:color w:val="auto"/>
          <w:sz w:val="24"/>
          <w:szCs w:val="24"/>
        </w:rPr>
        <w:t>Nejvyšší střední délka života při narození u mužů i žen byla za roky 2023–2024 zjištěna v hlavním městě Praze (muži 78,8 let, ženy 84,4 let). Naopak nejnižší střední délkou života při narození se vyznačoval v případě mužů i žen Ústecký kraj (muži 75,0 let, ženy 80,9 let). Rozdíl mezi krajem s nejvyšší a nejnižší střední délkou života činí 3,8 roku v</w:t>
      </w:r>
      <w:r w:rsidR="00451C89">
        <w:rPr>
          <w:rFonts w:cs="Times New Roman"/>
          <w:color w:val="auto"/>
          <w:sz w:val="24"/>
          <w:szCs w:val="24"/>
        </w:rPr>
        <w:t> </w:t>
      </w:r>
      <w:r w:rsidRPr="00BF3F84">
        <w:rPr>
          <w:rFonts w:cs="Times New Roman"/>
          <w:color w:val="auto"/>
          <w:sz w:val="24"/>
          <w:szCs w:val="24"/>
        </w:rPr>
        <w:t>případě mužů a 3,5 roku v případě žen.</w:t>
      </w:r>
    </w:p>
    <w:p w:rsidR="006C359E" w:rsidP="006C359E" w14:paraId="182A387F" w14:textId="2B0547A9">
      <w:pPr>
        <w:pStyle w:val="ListParagraph"/>
        <w:rPr>
          <w:rFonts w:cs="Times New Roman"/>
          <w:color w:val="FF0000"/>
          <w:sz w:val="24"/>
          <w:szCs w:val="24"/>
        </w:rPr>
      </w:pPr>
      <w:r w:rsidRPr="00BF3F84">
        <w:rPr>
          <w:rFonts w:cs="Times New Roman"/>
          <w:color w:val="auto"/>
          <w:sz w:val="24"/>
          <w:szCs w:val="24"/>
        </w:rPr>
        <w:t>Zjištěné rozdíly mezi regiony ČR jsou podstatné a statisticky významné. Hodnoty střední délky života tak mohou ukazovat na problémy životního stylu, nedostatečnou prevenci vážných chorob a také na rozdílnou dostupnost zdravotní péče v některých regionech. Jde o faktor hodný zřetele při formování zdravotních politik a strategií v</w:t>
      </w:r>
      <w:r w:rsidR="00451C89">
        <w:rPr>
          <w:rFonts w:cs="Times New Roman"/>
          <w:color w:val="auto"/>
          <w:sz w:val="24"/>
          <w:szCs w:val="24"/>
        </w:rPr>
        <w:t> </w:t>
      </w:r>
      <w:r w:rsidRPr="00BF3F84">
        <w:rPr>
          <w:rFonts w:cs="Times New Roman"/>
          <w:color w:val="auto"/>
          <w:sz w:val="24"/>
          <w:szCs w:val="24"/>
        </w:rPr>
        <w:t>jednotlivých regionech. Nicméně tento ukazatel je významně ovlivněn i historickým vývojem životních podmínek, životního stylu a zdravotní péče v regionech a určitou roli zde může hrát také migrace.</w:t>
      </w:r>
    </w:p>
    <w:p w:rsidR="006C359E" w:rsidRPr="00A955AF" w:rsidP="006C359E" w14:paraId="26C63123"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V porovnání s většinou ostatních zemí EU je dostupnost lékařské péče ve všech regionech relativně vysoká, a proto rozdíly ve výsledcích v oblasti zdraví, s největší pravděpodobností, odrážejí regionální rozdíly v socioekonomických podmínkách. Střední délka života významně negativně koreluje s mírou registrované nezaměstnanosti a podílem obyvatelstva s pouze základním vzděláním. Počet ambulantních či nemocničních lékařů však vykazuje pouze slabou pozitivní korelaci se střední délkou života, což odráží celkově vysokou dostupnost lékařské péče napříč regiony.</w:t>
      </w:r>
    </w:p>
    <w:p w:rsidR="006C359E" w:rsidRPr="00A955AF" w:rsidP="006C359E" w14:paraId="1C57CCC1"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Pochopení faktorů, které způsobují regionální rozdíly zdravotních výsledků, je důležité pro vypracování cílených politicky řízených řešení. Dosavadní práce OECD zaměřená </w:t>
      </w:r>
      <w:r w:rsidRPr="00A955AF">
        <w:rPr>
          <w:rFonts w:asciiTheme="minorHAnsi" w:hAnsiTheme="minorHAnsi"/>
          <w:sz w:val="24"/>
          <w:lang w:val="cs-CZ"/>
        </w:rPr>
        <w:t xml:space="preserve">na efektivitu sektoru zdravotní péče v různých zemích vedla ke zjištění, že hlavními vysvětlujícími faktory jsou systémy správy a institucionální prvky a dále charakteristiky týkající se životního stylu a socioekonomického prostředí. Na všechny regiony v rámci téže </w:t>
      </w:r>
      <w:r w:rsidRPr="00A955AF">
        <w:rPr>
          <w:rFonts w:asciiTheme="minorHAnsi" w:eastAsiaTheme="minorEastAsia" w:hAnsiTheme="minorHAnsi"/>
          <w:sz w:val="24"/>
          <w:lang w:val="cs-CZ" w:eastAsia="en-US"/>
        </w:rPr>
        <w:t>země se vztahují tytéž rámcové podmínky – například institucionální uspořádání, právní a jiné předpisy –</w:t>
      </w:r>
      <w:r>
        <w:rPr>
          <w:rFonts w:asciiTheme="minorHAnsi" w:eastAsiaTheme="minorEastAsia" w:hAnsiTheme="minorHAnsi"/>
          <w:sz w:val="24"/>
          <w:lang w:val="cs-CZ" w:eastAsia="en-US"/>
        </w:rPr>
        <w:t>,</w:t>
      </w:r>
      <w:r w:rsidRPr="00A955AF">
        <w:rPr>
          <w:rFonts w:asciiTheme="minorHAnsi" w:eastAsiaTheme="minorEastAsia" w:hAnsiTheme="minorHAnsi"/>
          <w:sz w:val="24"/>
          <w:lang w:val="cs-CZ" w:eastAsia="en-US"/>
        </w:rPr>
        <w:t xml:space="preserve"> takže rozdílné zdravotní výsledky pravděpodobně pramení ze strukturálních odlišností. V závislosti na tom, jaké faktory vedou k rozdílům ve výsledcích v oblasti zdraví, je nutné vypracovat cílené politiky. Vyplývají-li například pozorované odchylky ve zdravotních výsledcích</w:t>
      </w:r>
      <w:r w:rsidRPr="00A955AF">
        <w:rPr>
          <w:rFonts w:asciiTheme="minorHAnsi" w:hAnsiTheme="minorHAnsi"/>
          <w:sz w:val="24"/>
          <w:lang w:val="cs-CZ"/>
        </w:rPr>
        <w:t xml:space="preserve"> ze sociodemografických charakteristik, politiky zaměřené na zvyšování zdravotní gramotnosti ohrožených skupin obyvatel mohou vést k vyrovnanějším výsledkům. </w:t>
      </w:r>
    </w:p>
    <w:p w:rsidR="006C359E" w:rsidRPr="00A955AF" w:rsidP="006C359E" w14:paraId="6F56D510" w14:textId="6F4F3706">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V rámci okresů ČR se střední délka života významně liší. Geografické pokrytí poskytovatelů zdravotních služeb je rozloženo rovnoměrně. Rozdíly ve výsledcích v oblasti zdraví proto pravděpodobně odrážejí odlišnou kvalitu služeb, zdravotní stav obyvatelstva, nižší zdravotní gramotnost nebo prevalenci rizikových faktorů chování. Z těchto důvodů má velký význam meziresortní zaměření řady specifických cílů předloženého Strategického rámce Zdraví </w:t>
      </w:r>
      <w:r>
        <w:rPr>
          <w:rFonts w:asciiTheme="minorHAnsi" w:hAnsiTheme="minorHAnsi"/>
          <w:sz w:val="24"/>
          <w:lang w:val="cs-CZ"/>
        </w:rPr>
        <w:t>2035</w:t>
      </w:r>
      <w:r w:rsidRPr="00A955AF">
        <w:rPr>
          <w:rFonts w:asciiTheme="minorHAnsi" w:hAnsiTheme="minorHAnsi"/>
          <w:sz w:val="24"/>
          <w:lang w:val="cs-CZ"/>
        </w:rPr>
        <w:t>, zejména pak integrace zdravotního, zdravotně</w:t>
      </w:r>
      <w:r w:rsidR="00871905">
        <w:rPr>
          <w:rFonts w:asciiTheme="minorHAnsi" w:hAnsiTheme="minorHAnsi"/>
          <w:sz w:val="24"/>
          <w:lang w:val="cs-CZ"/>
        </w:rPr>
        <w:t xml:space="preserve"> </w:t>
      </w:r>
      <w:r w:rsidRPr="00A955AF">
        <w:rPr>
          <w:rFonts w:asciiTheme="minorHAnsi" w:hAnsiTheme="minorHAnsi"/>
          <w:sz w:val="24"/>
          <w:lang w:val="cs-CZ"/>
        </w:rPr>
        <w:t xml:space="preserve">sociálního a sociálního sektoru služeb. </w:t>
      </w:r>
    </w:p>
    <w:p w:rsidR="006C359E" w:rsidRPr="00BF3F84" w:rsidP="006C359E" w14:paraId="7138B58E" w14:textId="77777777">
      <w:pPr>
        <w:pStyle w:val="Bntext"/>
        <w:spacing w:line="240" w:lineRule="auto"/>
        <w:ind w:firstLine="0"/>
        <w:rPr>
          <w:rFonts w:asciiTheme="minorHAnsi" w:hAnsiTheme="minorHAnsi"/>
          <w:color w:val="auto"/>
          <w:sz w:val="24"/>
          <w:lang w:val="cs-CZ"/>
        </w:rPr>
      </w:pPr>
      <w:r w:rsidRPr="00BF3F84">
        <w:rPr>
          <w:rFonts w:eastAsia="Calibri" w:cs="Calibri"/>
          <w:color w:val="auto"/>
          <w:sz w:val="24"/>
          <w:lang w:val="cs-CZ"/>
        </w:rPr>
        <w:t xml:space="preserve">Studium rozdílů ve zdravotním stavu obyvatel mezi regiony ČR odhalilo jako jeden z dalších velmi vlivných determinantů </w:t>
      </w:r>
      <w:r w:rsidRPr="00BF3F84">
        <w:rPr>
          <w:rFonts w:eastAsia="Calibri" w:cs="Calibri"/>
          <w:b/>
          <w:bCs/>
          <w:color w:val="auto"/>
          <w:sz w:val="24"/>
          <w:lang w:val="cs-CZ"/>
        </w:rPr>
        <w:t>nerovnoměrný regionální vývoj sociální a demografické skladby obyvatel</w:t>
      </w:r>
      <w:r w:rsidRPr="00BF3F84">
        <w:rPr>
          <w:rFonts w:eastAsia="Calibri" w:cs="Calibri"/>
          <w:color w:val="auto"/>
          <w:sz w:val="24"/>
          <w:lang w:val="cs-CZ"/>
        </w:rPr>
        <w:t xml:space="preserve">, resp. vnitro-republikovou asymetrickou migraci obyvatel. </w:t>
      </w:r>
    </w:p>
    <w:p w:rsidR="006C359E" w:rsidRPr="00BF3F84" w:rsidP="006C359E" w14:paraId="2799F469" w14:textId="44E1ED9F">
      <w:pPr>
        <w:pStyle w:val="ListParagraph"/>
        <w:rPr>
          <w:rFonts w:cs="Times New Roman"/>
          <w:color w:val="auto"/>
          <w:sz w:val="24"/>
          <w:szCs w:val="24"/>
        </w:rPr>
      </w:pPr>
      <w:r w:rsidRPr="00BF3F84">
        <w:rPr>
          <w:rFonts w:cs="Times New Roman"/>
          <w:color w:val="auto"/>
          <w:sz w:val="24"/>
          <w:szCs w:val="24"/>
        </w:rPr>
        <w:t>Z analýzy trendových změn 2014–2024 je zřejmý odlišný vývoj v počtu obyvatel v</w:t>
      </w:r>
      <w:r w:rsidR="00451C89">
        <w:rPr>
          <w:rFonts w:cs="Times New Roman"/>
          <w:color w:val="auto"/>
          <w:sz w:val="24"/>
          <w:szCs w:val="24"/>
        </w:rPr>
        <w:t> </w:t>
      </w:r>
      <w:r w:rsidRPr="00BF3F84">
        <w:rPr>
          <w:rFonts w:cs="Times New Roman"/>
          <w:color w:val="auto"/>
          <w:sz w:val="24"/>
          <w:szCs w:val="24"/>
        </w:rPr>
        <w:t>jednotlivých částech ČR. Snížení počtu obyvatel v Moravskoslezském (-2,9 %), Karlovarském (-2,2 %), Ústeckém (-1,9 %) a Zlínském kraji (-1,1 %). V ostatních krajích pak zejména na úrovni okresů v Domažlice (-8,5 %), Jeseník (-7,7 %), Karviná (-6,9 %), Bruntál (-6,5 %), Sokolov (-5,7 %), Most (-5,6 %) a Děčín (-4,3 %). Výrazné nárůsty zaznamenaly vlivem migrace zejména Středočeský kraj (11,5 %), Hl. m. Praha (10,9 %), Plzeňský (6,6 %) a Jihomoravský kraj (4,7 %).</w:t>
      </w:r>
    </w:p>
    <w:p w:rsidR="006C359E" w:rsidRPr="00BF3F84" w:rsidP="006C359E" w14:paraId="5842224E" w14:textId="2F083D61">
      <w:pPr>
        <w:pStyle w:val="ListParagraph"/>
        <w:rPr>
          <w:rFonts w:cs="Times New Roman"/>
          <w:color w:val="auto"/>
          <w:sz w:val="24"/>
          <w:szCs w:val="24"/>
        </w:rPr>
      </w:pPr>
      <w:r w:rsidRPr="00BF3F84">
        <w:rPr>
          <w:rFonts w:cs="Times New Roman"/>
          <w:color w:val="auto"/>
          <w:sz w:val="24"/>
          <w:szCs w:val="24"/>
        </w:rPr>
        <w:t>Migrace obyvatel v ČR mezi rokem 2014 a 2024 má kladné saldo především v okolí velkých měst. Při porovnání krajských měst byl zaznamenán největší nárůst v počtu obyvatel v Praze a jejím okolí, dále v Brně, Liberci, Plzni, Hradci Králové, Pardubicích, Jihlavě, Olomouci. Záporné saldo v počtu obyvatel mají dlouhodobě pouze okresy Karviná, Bruntál a Jeseník. Lze očekávat, že bez intervencí státu k udržení obyvatel v</w:t>
      </w:r>
      <w:r w:rsidR="00451C89">
        <w:rPr>
          <w:rFonts w:cs="Times New Roman"/>
          <w:color w:val="auto"/>
          <w:sz w:val="24"/>
          <w:szCs w:val="24"/>
        </w:rPr>
        <w:t> </w:t>
      </w:r>
      <w:r w:rsidRPr="00BF3F84">
        <w:rPr>
          <w:rFonts w:cs="Times New Roman"/>
          <w:color w:val="auto"/>
          <w:sz w:val="24"/>
          <w:szCs w:val="24"/>
        </w:rPr>
        <w:t>menších městech může docházet k přetlaku na zdravotní služby v některých krajských městech, kde je saldo migrace výrazně kladné. To se týká především Prahy, kde jsou z</w:t>
      </w:r>
      <w:r w:rsidR="00451C89">
        <w:rPr>
          <w:rFonts w:cs="Times New Roman"/>
          <w:color w:val="auto"/>
          <w:sz w:val="24"/>
          <w:szCs w:val="24"/>
        </w:rPr>
        <w:t> </w:t>
      </w:r>
      <w:r w:rsidRPr="00BF3F84">
        <w:rPr>
          <w:rFonts w:cs="Times New Roman"/>
          <w:color w:val="auto"/>
          <w:sz w:val="24"/>
          <w:szCs w:val="24"/>
        </w:rPr>
        <w:t>velké části využívány zdravotní služby i obyvateli Středočeského kraje a dalších regionů. V důsledku meziregionální migrace je podíl vysokoškolsky vzdělaných lidí v</w:t>
      </w:r>
      <w:r w:rsidR="00451C89">
        <w:rPr>
          <w:rFonts w:cs="Times New Roman"/>
          <w:color w:val="auto"/>
          <w:sz w:val="24"/>
          <w:szCs w:val="24"/>
        </w:rPr>
        <w:t> </w:t>
      </w:r>
      <w:r w:rsidRPr="00BF3F84">
        <w:rPr>
          <w:rFonts w:cs="Times New Roman"/>
          <w:color w:val="auto"/>
          <w:sz w:val="24"/>
          <w:szCs w:val="24"/>
        </w:rPr>
        <w:t>krajích ČR velmi nerovnoměrně rozložený, což může nepřímo negativně ovlivňovat i</w:t>
      </w:r>
      <w:r w:rsidR="00451C89">
        <w:rPr>
          <w:rFonts w:cs="Times New Roman"/>
          <w:color w:val="auto"/>
          <w:sz w:val="24"/>
          <w:szCs w:val="24"/>
        </w:rPr>
        <w:t> </w:t>
      </w:r>
      <w:r w:rsidRPr="00BF3F84">
        <w:rPr>
          <w:rFonts w:cs="Times New Roman"/>
          <w:color w:val="auto"/>
          <w:sz w:val="24"/>
          <w:szCs w:val="24"/>
        </w:rPr>
        <w:t xml:space="preserve">dostupnost zdravotní péče (problémy s dostupnou kapacitou lékařů v krajích s nízkým podílem vysokoškoláků). </w:t>
      </w:r>
    </w:p>
    <w:p w:rsidR="006C359E" w:rsidRPr="0070747B" w:rsidP="0070747B" w14:paraId="7C2AF315" w14:textId="77777777">
      <w:pPr>
        <w:rPr>
          <w:rFonts w:cs="Times New Roman"/>
          <w:color w:val="auto"/>
          <w:sz w:val="24"/>
        </w:rPr>
      </w:pPr>
      <w:r w:rsidRPr="0070747B">
        <w:rPr>
          <w:rFonts w:cs="Times New Roman"/>
          <w:color w:val="auto"/>
          <w:sz w:val="24"/>
        </w:rPr>
        <w:t xml:space="preserve">Střední délka života v okresech ČR významně negativně koreluje s mírou registrované nezaměstnanosti a podílem obyvatelstva s pouze základním vzděláním. Výsledky dosud provedených analýz tak ukazují na význam preventivních programů a programů zvyšování zdravotní gramotnosti zejména v sociálně slabších skupinách obyvatel. </w:t>
      </w:r>
    </w:p>
    <w:p w:rsidR="00C53CE3" w:rsidRPr="003C7F59" w:rsidP="00C53CE3" w14:paraId="12B5B9F8" w14:textId="77777777">
      <w:pPr>
        <w:rPr>
          <w:rFonts w:cs="Times New Roman"/>
          <w:color w:val="auto"/>
          <w:sz w:val="24"/>
        </w:rPr>
      </w:pPr>
      <w:r w:rsidRPr="003C7F59">
        <w:rPr>
          <w:rFonts w:cs="Times New Roman"/>
          <w:color w:val="auto"/>
          <w:sz w:val="24"/>
        </w:rPr>
        <w:t>Globální změny akcelerovaly potřebu ochrany kritické infrastruktury, proto je, stejně jako v celém evropském regionu, nutno i v České republice adekvátně reagovat v oblasti řízení a rozvoje lékové politiky. Kromě mitigace zranitelnosti vhodně vybraná a realizovaná opatření přispějí i k ekonomické transformaci České republiky při rozvoji sektorů s vysokou přidanou hodnotou.</w:t>
      </w:r>
    </w:p>
    <w:p w:rsidR="00C53CE3" w:rsidRPr="00DE33D8" w:rsidP="00DE33D8" w14:paraId="48169F3E" w14:textId="77777777">
      <w:pPr>
        <w:pStyle w:val="ListParagraph"/>
        <w:numPr>
          <w:ilvl w:val="0"/>
          <w:numId w:val="0"/>
        </w:numPr>
        <w:ind w:left="720"/>
        <w:rPr>
          <w:rFonts w:cs="Times New Roman"/>
          <w:color w:val="FF0000"/>
          <w:sz w:val="24"/>
          <w:szCs w:val="24"/>
        </w:rPr>
      </w:pPr>
    </w:p>
    <w:p w:rsidR="00DE33D8" w:rsidRPr="003C7F59" w:rsidP="003C7F59" w14:paraId="77BD06C7" w14:textId="77777777">
      <w:pPr>
        <w:rPr>
          <w:rFonts w:cs="Times New Roman"/>
          <w:color w:val="FF0000"/>
          <w:sz w:val="24"/>
        </w:rPr>
      </w:pPr>
    </w:p>
    <w:p w:rsidR="006C359E" w:rsidRPr="00A955AF" w:rsidP="00451C89" w14:paraId="16BC6A49" w14:textId="77777777">
      <w:pPr>
        <w:pStyle w:val="Podkapitola111opaten"/>
        <w:numPr>
          <w:ilvl w:val="2"/>
          <w:numId w:val="44"/>
        </w:numPr>
        <w:ind w:left="1134" w:hanging="360"/>
      </w:pPr>
      <w:bookmarkStart w:id="490" w:name="_Toc256000034"/>
      <w:r w:rsidRPr="00A955AF">
        <w:t>Faktory determinující potřeby zdravotní péče v budoucnosti</w:t>
      </w:r>
      <w:bookmarkEnd w:id="490"/>
      <w:r w:rsidRPr="00A955AF">
        <w:t xml:space="preserve"> </w:t>
      </w:r>
    </w:p>
    <w:p w:rsidR="006C359E" w:rsidRPr="00A955AF" w:rsidP="006C359E" w14:paraId="55463D86"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Tato kapitola stručně shrnuje hlavní faktory přímo či nepřímo determinující zdravotní stav české populace a určující budoucí vývoj potřeb. Detailní informace týkající se vybraných faktorů jsou ve vazbě na plánovaná opatření popsány v částech věnovaných jednotlivým specifickým cílům Strategického rámce Zdraví </w:t>
      </w:r>
      <w:r>
        <w:rPr>
          <w:rFonts w:asciiTheme="minorHAnsi" w:hAnsiTheme="minorHAnsi"/>
          <w:sz w:val="24"/>
          <w:lang w:val="cs-CZ"/>
        </w:rPr>
        <w:t>2035</w:t>
      </w:r>
      <w:r w:rsidRPr="00A955AF">
        <w:rPr>
          <w:rFonts w:asciiTheme="minorHAnsi" w:hAnsiTheme="minorHAnsi"/>
          <w:sz w:val="24"/>
          <w:lang w:val="cs-CZ"/>
        </w:rPr>
        <w:t xml:space="preserve">. </w:t>
      </w:r>
    </w:p>
    <w:p w:rsidR="006C359E" w:rsidRPr="00BF3F84" w:rsidP="006C359E" w14:paraId="02B310B4" w14:textId="65844787">
      <w:pPr>
        <w:rPr>
          <w:rFonts w:ascii="Calibri" w:eastAsia="Calibri" w:hAnsi="Calibri" w:cs="Calibri"/>
          <w:color w:val="auto"/>
          <w:sz w:val="24"/>
        </w:rPr>
      </w:pPr>
      <w:r w:rsidRPr="00BF3F84">
        <w:rPr>
          <w:rFonts w:ascii="Calibri" w:eastAsia="Calibri" w:hAnsi="Calibri" w:cs="Calibri"/>
          <w:color w:val="auto"/>
          <w:sz w:val="24"/>
        </w:rPr>
        <w:t xml:space="preserve">Jednoznačně nejvýznamnějším faktorem je </w:t>
      </w:r>
      <w:r w:rsidRPr="00BF3F84">
        <w:rPr>
          <w:rFonts w:ascii="Calibri" w:eastAsia="Calibri" w:hAnsi="Calibri" w:cs="Calibri"/>
          <w:b/>
          <w:color w:val="auto"/>
          <w:sz w:val="24"/>
        </w:rPr>
        <w:t>stárnutí české populace</w:t>
      </w:r>
      <w:r w:rsidRPr="00BF3F84">
        <w:rPr>
          <w:rFonts w:ascii="Calibri" w:eastAsia="Calibri" w:hAnsi="Calibri" w:cs="Calibri"/>
          <w:color w:val="auto"/>
          <w:sz w:val="24"/>
        </w:rPr>
        <w:t>. Struktura populace s</w:t>
      </w:r>
      <w:r w:rsidR="00451C89">
        <w:rPr>
          <w:rFonts w:ascii="Calibri" w:eastAsia="Calibri" w:hAnsi="Calibri" w:cs="Calibri"/>
          <w:color w:val="auto"/>
          <w:sz w:val="24"/>
        </w:rPr>
        <w:t> </w:t>
      </w:r>
      <w:r w:rsidRPr="00BF3F84">
        <w:rPr>
          <w:rFonts w:ascii="Calibri" w:eastAsia="Calibri" w:hAnsi="Calibri" w:cs="Calibri"/>
          <w:color w:val="auto"/>
          <w:sz w:val="24"/>
        </w:rPr>
        <w:t>vysokým podílem starších obyvatel jak u mužů, tak i u žen je významným faktorem určujícím budoucí vývoj českého zdravotnictví a očekávatelné potřeby zdravotních a sociálních služeb. Průměrný věk populace českých mužů je 41,6 let, u žen 44,5 let. U pětiny obyvatel věk přesahuje 64 let. Demografické predikce ukazují (</w:t>
      </w:r>
      <w:hyperlink r:id="rId25" w:history="1">
        <w:r w:rsidRPr="782D4999">
          <w:rPr>
            <w:rStyle w:val="Hyperlink"/>
            <w:rFonts w:ascii="Calibri" w:eastAsia="Calibri" w:hAnsi="Calibri" w:cs="Calibri"/>
            <w:color w:val="0563C1"/>
            <w:sz w:val="24"/>
          </w:rPr>
          <w:t>Projekce obyvatelstva České republiky - 2023–2100 | Produkty</w:t>
        </w:r>
      </w:hyperlink>
      <w:r w:rsidRPr="00BF3F84">
        <w:rPr>
          <w:rFonts w:ascii="Calibri" w:eastAsia="Calibri" w:hAnsi="Calibri" w:cs="Calibri"/>
          <w:color w:val="auto"/>
          <w:sz w:val="24"/>
        </w:rPr>
        <w:t>), že v následujících třiceti letech dojde k významnému nárůstu podílu obyvatel starších než šedesát let a obyvatel starších než 65 let.  S tímto vývojem bude nevyhnutelně spojena vyšší nemocnost typická pro populaci seniorů. Populační modely v</w:t>
      </w:r>
      <w:r w:rsidR="00451C89">
        <w:rPr>
          <w:rFonts w:ascii="Calibri" w:eastAsia="Calibri" w:hAnsi="Calibri" w:cs="Calibri"/>
          <w:color w:val="auto"/>
          <w:sz w:val="24"/>
        </w:rPr>
        <w:t> </w:t>
      </w:r>
      <w:r w:rsidRPr="00BF3F84">
        <w:rPr>
          <w:rFonts w:ascii="Calibri" w:eastAsia="Calibri" w:hAnsi="Calibri" w:cs="Calibri"/>
          <w:color w:val="auto"/>
          <w:sz w:val="24"/>
        </w:rPr>
        <w:t>souvislosti s tím ukazují na očekávatelný nárůst počtu pacientů se zhoubnými nádory, nemocemi oběhové, svalové a kosterní soustavy a pojivové tkáně a s diabetem. Podstatný bude rovněž růst počtu nemocných seniorů s neurodegenerativními onemocněními (demence, Alzheimerova choroba apod.). Tato podstatná část populace bude potřebovat dlouhodobou a téměř celodenní zdravotně</w:t>
      </w:r>
      <w:r w:rsidR="00871905">
        <w:rPr>
          <w:rFonts w:ascii="Calibri" w:eastAsia="Calibri" w:hAnsi="Calibri" w:cs="Calibri"/>
          <w:color w:val="auto"/>
          <w:sz w:val="24"/>
        </w:rPr>
        <w:t xml:space="preserve"> </w:t>
      </w:r>
      <w:r w:rsidRPr="00BF3F84">
        <w:rPr>
          <w:rFonts w:ascii="Calibri" w:eastAsia="Calibri" w:hAnsi="Calibri" w:cs="Calibri"/>
          <w:color w:val="auto"/>
          <w:sz w:val="24"/>
        </w:rPr>
        <w:t xml:space="preserve">sociální péči. Budoucí demografický vývoj české populace tak bude výzvou i pro segment paliativní medicíny a obecně i pro segment zdravotně sociálních služeb v závěru života. </w:t>
      </w:r>
    </w:p>
    <w:p w:rsidR="006C359E" w:rsidRPr="00BF3F84" w:rsidP="006C359E" w14:paraId="2A9486C2" w14:textId="2E84E326">
      <w:pPr>
        <w:pStyle w:val="ListParagraph"/>
        <w:spacing w:before="0" w:after="0"/>
        <w:rPr>
          <w:rFonts w:ascii="Calibri" w:eastAsia="Calibri" w:hAnsi="Calibri" w:cs="Calibri"/>
          <w:color w:val="auto"/>
          <w:sz w:val="24"/>
          <w:szCs w:val="24"/>
        </w:rPr>
      </w:pPr>
      <w:r w:rsidRPr="00BF3F84">
        <w:rPr>
          <w:rFonts w:ascii="Calibri" w:eastAsia="Calibri" w:hAnsi="Calibri" w:cs="Calibri"/>
          <w:color w:val="auto"/>
          <w:sz w:val="24"/>
          <w:szCs w:val="24"/>
        </w:rPr>
        <w:t>Index stáří vyjadřuje počet seniorů ve věku 65+ na 100 dětí ve věku 0–14 let. Ve</w:t>
      </w:r>
      <w:r w:rsidR="00451C89">
        <w:rPr>
          <w:rFonts w:ascii="Calibri" w:eastAsia="Calibri" w:hAnsi="Calibri" w:cs="Calibri"/>
          <w:color w:val="auto"/>
          <w:sz w:val="24"/>
          <w:szCs w:val="24"/>
        </w:rPr>
        <w:t> </w:t>
      </w:r>
      <w:r w:rsidRPr="00BF3F84">
        <w:rPr>
          <w:rFonts w:ascii="Calibri" w:eastAsia="Calibri" w:hAnsi="Calibri" w:cs="Calibri"/>
          <w:color w:val="auto"/>
          <w:sz w:val="24"/>
          <w:szCs w:val="24"/>
        </w:rPr>
        <w:t xml:space="preserve">stárnoucí české populaci hodnota indexu stáří dlouhodobě významně narůstá, a to i přesto, že se podíl osob ve věku 0–14 let do roku 2022 vrátil na úroveň 16 % z roku 2000. Nicméně podíl seniorů starších než 65 let roste konzistentně a významněji než podíl dětí. Rovněž dlouhodobé predikce dokládají další pokračování stárnutí populace ČR. Do roku 2050 lze očekávat nárůst podílu seniorů až na 29 % a index stáří se zvýší ze současných 133 na 219 seniorů na 100 dětí, tj. o 64 %. </w:t>
      </w:r>
    </w:p>
    <w:p w:rsidR="006C359E" w:rsidRPr="00BF3F84" w:rsidP="006C359E" w14:paraId="1F029141" w14:textId="77777777">
      <w:pPr>
        <w:pStyle w:val="ListParagraph"/>
        <w:spacing w:before="0" w:after="0"/>
        <w:rPr>
          <w:rFonts w:ascii="Calibri" w:eastAsia="Calibri" w:hAnsi="Calibri" w:cs="Calibri"/>
          <w:color w:val="auto"/>
          <w:sz w:val="24"/>
          <w:szCs w:val="24"/>
        </w:rPr>
      </w:pPr>
      <w:r w:rsidRPr="00BF3F84">
        <w:rPr>
          <w:rFonts w:ascii="Calibri" w:eastAsia="Calibri" w:hAnsi="Calibri" w:cs="Calibri"/>
          <w:color w:val="auto"/>
          <w:sz w:val="24"/>
          <w:szCs w:val="24"/>
        </w:rPr>
        <w:t>Index závislosti vyjadřuje počet seniorů ve věku 65+ na 100 obyvatel v produktivním věku 15-64 let. Tento ukazatel v roce 2024 dosahuje hodnoty 32,4 seniorů na 100 osob v produktivním věku. Dle poslední dostupné projekce z roku 2023 vzroste tento ukazatel až na hodnotu 49,5 seniorů na 100 osob v produktivním věku, tj. o 53 %.</w:t>
      </w:r>
    </w:p>
    <w:p w:rsidR="006C359E" w:rsidRPr="00BF3F84" w:rsidP="006C359E" w14:paraId="408B2DC0" w14:textId="31099EC3">
      <w:pPr>
        <w:rPr>
          <w:rFonts w:ascii="Calibri" w:eastAsia="Calibri" w:hAnsi="Calibri" w:cs="Calibri"/>
          <w:color w:val="auto"/>
          <w:sz w:val="24"/>
        </w:rPr>
      </w:pPr>
      <w:r w:rsidRPr="00BF3F84">
        <w:rPr>
          <w:rFonts w:ascii="Calibri" w:eastAsia="Calibri" w:hAnsi="Calibri" w:cs="Calibri"/>
          <w:color w:val="auto"/>
          <w:sz w:val="24"/>
        </w:rPr>
        <w:t>Relativní struktura obyvatelstva ČR viditelně ukazuje tři zásadní věkové třídy, jejichž další posun v čase bude mít významný dopad na zdravotnický systém. Jde o velmi četnou třídu obyvatel ve věku 65–75 let a zejména ve věku 45–55 let. První skupina seniorů zatíží zásadně potřebu dlouhodobé, domácí a paliativní péče do roku 2040. Mladší a výrazně početnější populační kategorie 45–55 zestárne do věku 65 a více let do roku 2045, tj. v následujících 10–20 letech, a nevyhnutelně také významně znásobí potřebu zdravotně sociálních služeb. Velmi podstatný je také propad počtu obyvatel ve věku 20–30 let, který v důsledku odkládání dítěte do vyššího věku matky vytvořil demografické riziko nedostatku osob v produktivním věku už v</w:t>
      </w:r>
      <w:r w:rsidR="00451C89">
        <w:rPr>
          <w:rFonts w:ascii="Calibri" w:eastAsia="Calibri" w:hAnsi="Calibri" w:cs="Calibri"/>
          <w:color w:val="auto"/>
          <w:sz w:val="24"/>
        </w:rPr>
        <w:t> </w:t>
      </w:r>
      <w:r w:rsidRPr="00BF3F84">
        <w:rPr>
          <w:rFonts w:ascii="Calibri" w:eastAsia="Calibri" w:hAnsi="Calibri" w:cs="Calibri"/>
          <w:color w:val="auto"/>
          <w:sz w:val="24"/>
        </w:rPr>
        <w:t>následujících 10 letech. S ohledem k celkově nízké porodnosti jsou následující věkové skupiny dětí a mladistvých také výrazně méně početné než nastupující výše uvedené generace seniorů.</w:t>
      </w:r>
    </w:p>
    <w:p w:rsidR="006C359E" w:rsidRPr="00BF3F84" w:rsidP="006C359E" w14:paraId="3666EF00" w14:textId="77777777">
      <w:pPr>
        <w:rPr>
          <w:rFonts w:ascii="Calibri" w:eastAsia="Calibri" w:hAnsi="Calibri" w:cs="Calibri"/>
          <w:color w:val="auto"/>
          <w:sz w:val="24"/>
        </w:rPr>
      </w:pPr>
      <w:r w:rsidRPr="00BF3F84">
        <w:rPr>
          <w:rFonts w:ascii="Calibri" w:eastAsia="Calibri" w:hAnsi="Calibri" w:cs="Calibri"/>
          <w:color w:val="auto"/>
          <w:sz w:val="24"/>
        </w:rPr>
        <w:t xml:space="preserve">Tlak na změnu struktury nabízených zdravotních a sociálních služeb dále zesílí </w:t>
      </w:r>
      <w:r w:rsidRPr="00BF3F84">
        <w:rPr>
          <w:rFonts w:ascii="Calibri" w:eastAsia="Calibri" w:hAnsi="Calibri" w:cs="Calibri"/>
          <w:b/>
          <w:color w:val="auto"/>
          <w:sz w:val="24"/>
        </w:rPr>
        <w:t>predikované prodlužování střední délky života</w:t>
      </w:r>
      <w:r w:rsidRPr="00BF3F84">
        <w:rPr>
          <w:rFonts w:ascii="Calibri" w:eastAsia="Calibri" w:hAnsi="Calibri" w:cs="Calibri"/>
          <w:color w:val="auto"/>
          <w:sz w:val="24"/>
        </w:rPr>
        <w:t xml:space="preserve">. Podle střední varianty demografické projekce ČSÚ se </w:t>
      </w:r>
      <w:r w:rsidRPr="00BF3F84">
        <w:rPr>
          <w:rFonts w:ascii="Calibri" w:eastAsia="Calibri" w:hAnsi="Calibri" w:cs="Calibri"/>
          <w:color w:val="auto"/>
          <w:sz w:val="24"/>
        </w:rPr>
        <w:t xml:space="preserve">střední délka života při narození bude zvyšovat a v roce 2050 by měla dosahovat hodnoty 82,2 let pro muže a 87,1 let pro ženy. Tento pozitivní vývoj musí být podpořen zvyšováním zdravotní gramotnosti a odpovědnosti občanů za své zdraví. Je nezbytné se střední délkou života prodlužovat i dobu života ve zdraví. Delší střední doba života s sebou ovšem přinese i nový </w:t>
      </w:r>
      <w:r w:rsidRPr="00451C89">
        <w:rPr>
          <w:rFonts w:eastAsia="Calibri" w:cstheme="minorHAnsi"/>
          <w:color w:val="auto"/>
          <w:sz w:val="24"/>
        </w:rPr>
        <w:t>rozměr zdravotních problémů stárnoucí populace.</w:t>
      </w:r>
    </w:p>
    <w:p w:rsidR="006C359E" w:rsidRPr="00A955AF" w:rsidP="006C359E" w14:paraId="25EB9B15" w14:textId="77777777">
      <w:pPr>
        <w:rPr>
          <w:rFonts w:cs="Times New Roman"/>
          <w:sz w:val="24"/>
        </w:rPr>
      </w:pPr>
      <w:r w:rsidRPr="00A955AF">
        <w:rPr>
          <w:rFonts w:cs="Times New Roman"/>
          <w:sz w:val="24"/>
        </w:rPr>
        <w:t xml:space="preserve">Jako příklad lze uvést významný epidemiologický trend, který bude v budoucnosti podstatně zvyšovat onkologickou zátěž populace, a sice výskyt vícečetných malignit u onkologických pacientů. Významně se zlepšující výsledky protinádorové léčby vedou k signifikantně delšímu přežití </w:t>
      </w:r>
      <w:r w:rsidRPr="00BF3F84">
        <w:rPr>
          <w:rFonts w:cs="Times New Roman"/>
          <w:color w:val="auto"/>
          <w:sz w:val="24"/>
        </w:rPr>
        <w:t xml:space="preserve">onkologických pacientů a tito tak s rostoucí pravděpodobností onemocní dalšími primárními nádory. Tato </w:t>
      </w:r>
      <w:r w:rsidRPr="00BF3F84">
        <w:rPr>
          <w:rFonts w:cs="Times New Roman"/>
          <w:b/>
          <w:bCs/>
          <w:color w:val="auto"/>
          <w:sz w:val="24"/>
        </w:rPr>
        <w:t>sekundární incidence nádorů již v současnosti tvoří téměř 20 % celkové incidence zhoubných novotvarů</w:t>
      </w:r>
      <w:r w:rsidRPr="00BF3F84">
        <w:rPr>
          <w:rFonts w:cs="Times New Roman"/>
          <w:color w:val="auto"/>
          <w:sz w:val="24"/>
        </w:rPr>
        <w:t xml:space="preserve">. Rostoucí incidence následných zhoubných novotvarů u pacientů již léčených pro nádorové onemocnění </w:t>
      </w:r>
      <w:r w:rsidRPr="00A955AF">
        <w:rPr>
          <w:rFonts w:cs="Times New Roman"/>
          <w:sz w:val="24"/>
        </w:rPr>
        <w:t xml:space="preserve">se týká všech nádorových skupin. Velmi podstatné zjištění je, že významně vysoký podíl následných malignit u onkologických pacientů je stále zjišťován v pokročilých stadiích, a to při dostatečném čase na jejich včasný záchyt. </w:t>
      </w:r>
      <w:r w:rsidRPr="00BF3F84">
        <w:rPr>
          <w:rFonts w:cs="Times New Roman"/>
          <w:b/>
          <w:bCs/>
          <w:sz w:val="24"/>
        </w:rPr>
        <w:t>Tato situace je výzvou ke změnám v organizaci onkologické péče a k posílení screeningu u onkologických pacientů</w:t>
      </w:r>
      <w:r w:rsidRPr="00A955AF">
        <w:rPr>
          <w:rFonts w:cs="Times New Roman"/>
          <w:sz w:val="24"/>
        </w:rPr>
        <w:t>.</w:t>
      </w:r>
    </w:p>
    <w:p w:rsidR="006C359E" w:rsidRPr="00A955AF" w:rsidP="006C359E" w14:paraId="5AA9446D" w14:textId="77777777">
      <w:pPr>
        <w:rPr>
          <w:rFonts w:cs="Times New Roman"/>
          <w:sz w:val="24"/>
        </w:rPr>
      </w:pPr>
      <w:r w:rsidRPr="00A955AF">
        <w:rPr>
          <w:rFonts w:cs="Times New Roman"/>
          <w:sz w:val="24"/>
        </w:rPr>
        <w:t xml:space="preserve">Dopad stárnutí již dnes představuje výzvu pro </w:t>
      </w:r>
      <w:r w:rsidRPr="00A955AF">
        <w:rPr>
          <w:rFonts w:cs="Times New Roman"/>
          <w:b/>
          <w:sz w:val="24"/>
        </w:rPr>
        <w:t>kapacitu poskytování dlouhodobé i následné péče</w:t>
      </w:r>
      <w:r w:rsidRPr="00A955AF">
        <w:rPr>
          <w:rFonts w:cs="Times New Roman"/>
          <w:sz w:val="24"/>
        </w:rPr>
        <w:t>. Poptávka po dlouhodobé péči se v Č</w:t>
      </w:r>
      <w:r w:rsidRPr="00A955AF">
        <w:rPr>
          <w:sz w:val="24"/>
        </w:rPr>
        <w:t>R</w:t>
      </w:r>
      <w:r w:rsidRPr="00A955AF">
        <w:rPr>
          <w:rFonts w:cs="Times New Roman"/>
          <w:sz w:val="24"/>
        </w:rPr>
        <w:t xml:space="preserve"> v posledních letech zvýšila</w:t>
      </w:r>
      <w:r w:rsidRPr="00A955AF">
        <w:rPr>
          <w:sz w:val="24"/>
        </w:rPr>
        <w:t xml:space="preserve">. </w:t>
      </w:r>
      <w:r w:rsidRPr="00A955AF">
        <w:rPr>
          <w:rFonts w:cs="Times New Roman"/>
          <w:sz w:val="24"/>
        </w:rPr>
        <w:t>Současná organizace a financování dlouhodobé péče není připravena takové zvýšení poptávky absorbovat.</w:t>
      </w:r>
    </w:p>
    <w:p w:rsidR="006C359E" w:rsidRPr="00A955AF" w:rsidP="06339645" w14:paraId="2AB2F499" w14:textId="3B50BAA9">
      <w:pPr>
        <w:rPr>
          <w:rFonts w:cs="Times New Roman"/>
          <w:sz w:val="24"/>
        </w:rPr>
      </w:pPr>
      <w:r w:rsidRPr="06339645">
        <w:rPr>
          <w:rFonts w:cs="Times New Roman"/>
          <w:sz w:val="24"/>
        </w:rPr>
        <w:t>Sociální a zdravotní aspekty dlouhodobé péče mají odlišnou strukturu organizace a financování (MZ</w:t>
      </w:r>
      <w:r w:rsidRPr="06339645" w:rsidR="630398E7">
        <w:rPr>
          <w:rFonts w:cs="Times New Roman"/>
          <w:sz w:val="24"/>
        </w:rPr>
        <w:t>D</w:t>
      </w:r>
      <w:r w:rsidRPr="06339645">
        <w:rPr>
          <w:rFonts w:cs="Times New Roman"/>
          <w:sz w:val="24"/>
        </w:rPr>
        <w:t xml:space="preserve"> a MPSV). Navzdory úsilí o posílení spolupráce mezi oběma ministerstvy s cílem optimalizovat efektivitu péče o pacienty existují podstatné rozdíly ve financování, které vytvářejí negativní pobídky při využívání nemocničních zařízení. Rezidenční zařízení dlouhodobé péče a ostatní sociální služby jsou financovány z</w:t>
      </w:r>
      <w:r w:rsidR="009B786E">
        <w:rPr>
          <w:rFonts w:cs="Times New Roman"/>
          <w:sz w:val="24"/>
        </w:rPr>
        <w:t>e</w:t>
      </w:r>
      <w:r w:rsidRPr="06339645">
        <w:rPr>
          <w:rFonts w:cs="Times New Roman"/>
          <w:sz w:val="24"/>
        </w:rPr>
        <w:t> </w:t>
      </w:r>
      <w:r w:rsidR="009B786E">
        <w:rPr>
          <w:rFonts w:cs="Times New Roman"/>
          <w:sz w:val="24"/>
        </w:rPr>
        <w:t>státního</w:t>
      </w:r>
      <w:r w:rsidRPr="06339645">
        <w:rPr>
          <w:rFonts w:cs="Times New Roman"/>
          <w:sz w:val="24"/>
        </w:rPr>
        <w:t>, krajského nebo obecního rozpočtu, zatímco poskytovatelé dlouhodobé lůžkové péče jsou financováni především prostřednictvím zdravotního pojištění.</w:t>
      </w:r>
    </w:p>
    <w:p w:rsidR="006C359E" w:rsidRPr="00A955AF" w:rsidP="006C359E" w14:paraId="2E5E53BF" w14:textId="77777777">
      <w:pPr>
        <w:rPr>
          <w:rFonts w:cs="Times New Roman"/>
          <w:sz w:val="24"/>
        </w:rPr>
      </w:pPr>
      <w:r w:rsidRPr="00A955AF">
        <w:rPr>
          <w:rFonts w:cs="Times New Roman"/>
          <w:sz w:val="24"/>
        </w:rPr>
        <w:t>Nedostatečná koordinace a rozdílné úhrady zdravotní péče poskytované v nemocnicích a zařízeních dlouhodobé sociální péče přispívají k neefektivnímu využívání nemocničních služeb</w:t>
      </w:r>
      <w:r w:rsidRPr="00A955AF">
        <w:t xml:space="preserve"> </w:t>
      </w:r>
      <w:r w:rsidRPr="00A955AF">
        <w:rPr>
          <w:rFonts w:cs="Times New Roman"/>
          <w:sz w:val="24"/>
        </w:rPr>
        <w:t>a pobytových služeb sociální péče. U zdravotních služeb byly například poplatky hrazené pacienty zrušeny, zatímco u sociální péče existují úhrady za pobyt a stravu, a tento stav motivuje k vyhledávání dlouhodobé péče v rámci nákladnější zdravotní péče, a nikoli sociální péče. To vedlo k nadužívání dlouhodobé lůžkové péče. Míra obsazenosti těchto nemocničních lůžek je velmi vysoká. Jedním z důvodů vysoké průměrné délky hospitalizace může být nedostatek míst v pobytových zařízeních sociální péče.</w:t>
      </w:r>
      <w:r w:rsidRPr="00A955AF">
        <w:rPr>
          <w:rFonts w:cs="Times New Roman"/>
          <w:sz w:val="24"/>
        </w:rPr>
        <w:t xml:space="preserve"> </w:t>
      </w:r>
      <w:r w:rsidRPr="00A955AF">
        <w:rPr>
          <w:rFonts w:cs="Times New Roman"/>
          <w:sz w:val="24"/>
        </w:rPr>
        <w:t>Tuto situaci dále zhoršuje politika úhrad, která je výhodnější v systému zdravotní péče a je založena na denních úhradách, což motivuje k delší hospitalizaci.</w:t>
      </w:r>
    </w:p>
    <w:p w:rsidR="006C359E" w:rsidRPr="00A955AF" w:rsidP="006C359E" w14:paraId="73BF88C5" w14:textId="77777777">
      <w:pPr>
        <w:rPr>
          <w:rFonts w:ascii="Calibri" w:hAnsi="Calibri" w:eastAsiaTheme="majorEastAsia" w:cstheme="majorBidi"/>
          <w:b/>
          <w:color w:val="205493"/>
          <w:sz w:val="32"/>
          <w:szCs w:val="32"/>
        </w:rPr>
      </w:pPr>
      <w:r w:rsidRPr="00A955AF">
        <w:rPr>
          <w:rFonts w:cs="Times New Roman"/>
          <w:sz w:val="24"/>
        </w:rPr>
        <w:t>Je zapotřebí podporovat rozvoj pečovatelských zařízení a harmonizovat politiku úhrad zdravotní péče poskytované v nemocnicích a jiných zařízeních. Krajské úřady je vhodné motivovat k zajištění dostatečného počtu institucí dlouhodobé péče na jejich území, a to s přihlédnutím k budoucímu vývoji. Rozvoj komplexní domácí péče nabízí alternativu k hospitalizaci. Domácí péčí je ošetřovatelská péče, léčebně rehabilitační péče nebo paliativní péče poskytovaná pacientům v jejich vlastním sociálním prostředí.</w:t>
      </w:r>
      <w:r w:rsidRPr="00A955AF">
        <w:rPr>
          <w:rFonts w:cs="Times New Roman"/>
          <w:sz w:val="24"/>
        </w:rPr>
        <w:t xml:space="preserve"> </w:t>
      </w:r>
      <w:r w:rsidRPr="00A955AF">
        <w:rPr>
          <w:rFonts w:cs="Times New Roman"/>
          <w:sz w:val="24"/>
        </w:rPr>
        <w:t>Jedná se o zdravotní službu poskytovanou všeobecnými sestrami na základě indikace lékaře a hrazenou zdravotními pojišťovnami. Rozvoj komplexní domácí péče by měl být upřednostňován jako alternativa k dlouhé hospitalizaci. Úroveň příspěvku na sociální péči by měla zohledňovat potřebnost, aby</w:t>
      </w:r>
      <w:r>
        <w:rPr>
          <w:rFonts w:cs="Times New Roman"/>
          <w:sz w:val="24"/>
        </w:rPr>
        <w:t> </w:t>
      </w:r>
      <w:r w:rsidRPr="00A955AF">
        <w:rPr>
          <w:rFonts w:cs="Times New Roman"/>
          <w:sz w:val="24"/>
        </w:rPr>
        <w:t xml:space="preserve">se zajistilo, aby jedinci mající zájem nastoupit do zařízení sociální péče, si toto mohli </w:t>
      </w:r>
      <w:r w:rsidRPr="00A955AF">
        <w:rPr>
          <w:rFonts w:cs="Times New Roman"/>
          <w:sz w:val="24"/>
        </w:rPr>
        <w:t>dovolit. Za účelem omezení nadměrného nárůstu nákladů zařízení sociální péče lze s těmito zařízeními nastavit smluvní politiku ohledně stanovení cen.</w:t>
      </w:r>
      <w:r w:rsidRPr="00A955AF">
        <w:br w:type="page"/>
      </w:r>
    </w:p>
    <w:p w:rsidR="006C359E" w:rsidRPr="00A955AF" w:rsidP="006C359E" w14:paraId="15EEEB39" w14:textId="77777777">
      <w:pPr>
        <w:pStyle w:val="NA2"/>
      </w:pPr>
      <w:bookmarkStart w:id="491" w:name="_Toc256000035"/>
      <w:r>
        <w:t>Analytické zdůvodnění specifických cílů Strategického rámce Zdraví 2035</w:t>
      </w:r>
      <w:bookmarkEnd w:id="491"/>
    </w:p>
    <w:p w:rsidR="006C359E" w:rsidP="06339645" w14:paraId="5F1E652F" w14:textId="1F7679B8">
      <w:pPr>
        <w:keepNext/>
        <w:keepLines/>
        <w:rPr>
          <w:rFonts w:cs="Times New Roman"/>
          <w:sz w:val="24"/>
        </w:rPr>
      </w:pPr>
      <w:r w:rsidRPr="06339645">
        <w:rPr>
          <w:rFonts w:cs="Times New Roman"/>
          <w:sz w:val="24"/>
        </w:rPr>
        <w:t>Specifické cíle Strategického rámce Zdraví 2035 byly nastaveny s ohledem na aktuální potřeby a slabá místa systému poskytování zdravotních služeb v ČR. Hlavní cíle a s nimi související aktivity vycházejí z provedeného auditu dostupných datových zdrojů českého zdravotnictví a</w:t>
      </w:r>
      <w:r>
        <w:t> </w:t>
      </w:r>
      <w:r w:rsidRPr="06339645">
        <w:rPr>
          <w:rFonts w:cs="Times New Roman"/>
          <w:sz w:val="24"/>
        </w:rPr>
        <w:t xml:space="preserve">z mezinárodních komparací, které jasně ukázaly rezervy v organizaci, dostupnosti i výkonnosti sítě poskytovatelů. Objektivní závěry analytických rozborů se však netýkají pouze organizace péče, ale jsou také výzvou pro změnu postoje české populace v odpovědnosti za vlastní zdraví a silným podnětem k posilování zdravotní gramotnosti. Tato kapitola shrnuje hlavní závěry analytických rozborů dat ve formě zdůvodnění potřebnosti a významu nastavených cílů Strategického rámce Zdraví 2035. </w:t>
      </w:r>
    </w:p>
    <w:p w:rsidR="003C7F59" w:rsidRPr="00D43172" w:rsidP="06339645" w14:paraId="541A2F5A" w14:textId="77777777">
      <w:pPr>
        <w:keepNext/>
        <w:keepLines/>
        <w:rPr>
          <w:rFonts w:cs="Times New Roman"/>
          <w:sz w:val="24"/>
        </w:rPr>
      </w:pPr>
    </w:p>
    <w:p w:rsidR="00FD59FF" w:rsidRPr="00FD59FF" w:rsidP="00FD59FF" w14:paraId="4CE54325" w14:textId="77777777">
      <w:pPr>
        <w:pStyle w:val="ListParagraph"/>
        <w:keepNext/>
        <w:keepLines/>
        <w:numPr>
          <w:ilvl w:val="1"/>
          <w:numId w:val="44"/>
        </w:numPr>
        <w:autoSpaceDE/>
        <w:autoSpaceDN/>
        <w:adjustRightInd/>
        <w:jc w:val="left"/>
        <w:outlineLvl w:val="0"/>
        <w:rPr>
          <w:rFonts w:ascii="Calibri" w:hAnsi="Calibri" w:eastAsiaTheme="majorEastAsia" w:cstheme="majorBidi"/>
          <w:bCs w:val="0"/>
          <w:vanish/>
          <w:color w:val="205493"/>
          <w:sz w:val="24"/>
          <w:szCs w:val="32"/>
        </w:rPr>
      </w:pPr>
      <w:bookmarkStart w:id="492" w:name="_Toc203386448"/>
      <w:bookmarkEnd w:id="492"/>
    </w:p>
    <w:p w:rsidR="006C359E" w:rsidRPr="00A955AF" w:rsidP="00FD59FF" w14:paraId="2C1CB4EF" w14:textId="7201DF6D">
      <w:pPr>
        <w:pStyle w:val="Podkapitola111opaten"/>
        <w:numPr>
          <w:ilvl w:val="2"/>
          <w:numId w:val="44"/>
        </w:numPr>
        <w:ind w:left="1276"/>
      </w:pPr>
      <w:bookmarkStart w:id="493" w:name="_Toc256000037"/>
      <w:r w:rsidRPr="00A955AF">
        <w:t>Specifický cíl 1.</w:t>
      </w:r>
      <w:r w:rsidR="00DE33D8">
        <w:t>1</w:t>
      </w:r>
      <w:r>
        <w:t xml:space="preserve"> </w:t>
      </w:r>
      <w:r w:rsidRPr="00D43172">
        <w:t>‒</w:t>
      </w:r>
      <w:r w:rsidRPr="00A955AF">
        <w:t xml:space="preserve"> </w:t>
      </w:r>
      <w:r w:rsidRPr="005436D9">
        <w:t>Primární prevence a ochrana veřejného zdraví</w:t>
      </w:r>
      <w:bookmarkEnd w:id="493"/>
      <w:r w:rsidRPr="005436D9">
        <w:t xml:space="preserve"> </w:t>
      </w:r>
      <w:r w:rsidRPr="00CA1266">
        <w:t xml:space="preserve"> </w:t>
      </w:r>
    </w:p>
    <w:p w:rsidR="006C359E" w:rsidRPr="005436D9" w:rsidP="006C359E" w14:paraId="64560E23" w14:textId="77777777">
      <w:pPr>
        <w:rPr>
          <w:rFonts w:cs="Times New Roman"/>
          <w:sz w:val="24"/>
        </w:rPr>
      </w:pPr>
      <w:r w:rsidRPr="00B031B5">
        <w:rPr>
          <w:rFonts w:cs="Times New Roman"/>
          <w:sz w:val="24"/>
        </w:rPr>
        <w:t>Význam tohoto specifického cíle vyplývá z dostupných mezinárodních srovnání a národních statistických šetření, a z</w:t>
      </w:r>
      <w:r>
        <w:rPr>
          <w:rFonts w:cs="Times New Roman"/>
          <w:sz w:val="24"/>
        </w:rPr>
        <w:t xml:space="preserve"> </w:t>
      </w:r>
      <w:r w:rsidRPr="00B031B5">
        <w:rPr>
          <w:rFonts w:cs="Times New Roman"/>
          <w:sz w:val="24"/>
        </w:rPr>
        <w:t xml:space="preserve">vyhodnocení epidemiologické situace v ČR. </w:t>
      </w:r>
      <w:r w:rsidRPr="005436D9">
        <w:rPr>
          <w:rFonts w:cs="Times New Roman"/>
          <w:sz w:val="24"/>
        </w:rPr>
        <w:t xml:space="preserve"> </w:t>
      </w:r>
    </w:p>
    <w:p w:rsidR="006C359E" w:rsidP="006C359E" w14:paraId="54694256" w14:textId="77777777">
      <w:pPr>
        <w:rPr>
          <w:rFonts w:cs="Times New Roman"/>
          <w:sz w:val="24"/>
        </w:rPr>
      </w:pPr>
      <w:r w:rsidRPr="005436D9">
        <w:rPr>
          <w:rFonts w:cs="Times New Roman"/>
          <w:sz w:val="24"/>
        </w:rPr>
        <w:t>V současné době rostou nároky na vytvoření funkčního a udržitelného systému epidemiologické bdělosti a připravenosti</w:t>
      </w:r>
      <w:r w:rsidRPr="00B031B5">
        <w:rPr>
          <w:rFonts w:cs="Times New Roman"/>
          <w:sz w:val="24"/>
        </w:rPr>
        <w:t xml:space="preserve"> systému ochrany veřejného zdraví na řešení možných hrozeb v oblasti infekčních onemocnění, a to nejen nových, ale i znovu se</w:t>
      </w:r>
      <w:r>
        <w:rPr>
          <w:rFonts w:cs="Times New Roman"/>
          <w:sz w:val="24"/>
        </w:rPr>
        <w:t> </w:t>
      </w:r>
      <w:r w:rsidRPr="00B031B5">
        <w:rPr>
          <w:rFonts w:cs="Times New Roman"/>
          <w:sz w:val="24"/>
        </w:rPr>
        <w:t>opakujících. Klesající proočkovanost a narůstající antimikrobiální</w:t>
      </w:r>
      <w:r w:rsidRPr="005519E0">
        <w:rPr>
          <w:rFonts w:cs="Times New Roman"/>
          <w:sz w:val="24"/>
        </w:rPr>
        <w:t xml:space="preserve"> rezistence spolu s</w:t>
      </w:r>
      <w:r>
        <w:rPr>
          <w:rFonts w:cs="Times New Roman"/>
          <w:sz w:val="24"/>
        </w:rPr>
        <w:t xml:space="preserve"> postupující </w:t>
      </w:r>
      <w:r w:rsidRPr="005519E0">
        <w:rPr>
          <w:rFonts w:cs="Times New Roman"/>
          <w:sz w:val="24"/>
        </w:rPr>
        <w:t>globalizací</w:t>
      </w:r>
      <w:r>
        <w:rPr>
          <w:rFonts w:cs="Times New Roman"/>
          <w:sz w:val="24"/>
        </w:rPr>
        <w:t>,</w:t>
      </w:r>
      <w:r w:rsidRPr="005519E0">
        <w:rPr>
          <w:rFonts w:cs="Times New Roman"/>
          <w:sz w:val="24"/>
        </w:rPr>
        <w:t xml:space="preserve"> a s ní </w:t>
      </w:r>
      <w:r>
        <w:rPr>
          <w:rFonts w:cs="Times New Roman"/>
          <w:sz w:val="24"/>
        </w:rPr>
        <w:t>souvisejícím</w:t>
      </w:r>
      <w:r w:rsidRPr="005519E0">
        <w:rPr>
          <w:rFonts w:cs="Times New Roman"/>
          <w:sz w:val="24"/>
        </w:rPr>
        <w:t xml:space="preserve"> pohybem obyvatelstva</w:t>
      </w:r>
      <w:r>
        <w:rPr>
          <w:rFonts w:cs="Times New Roman"/>
          <w:sz w:val="24"/>
        </w:rPr>
        <w:t xml:space="preserve"> zvyšují riziko přeshraničních hrozeb pro veřejné zdraví.</w:t>
      </w:r>
      <w:r w:rsidRPr="005519E0">
        <w:rPr>
          <w:rFonts w:cs="Times New Roman"/>
          <w:sz w:val="24"/>
        </w:rPr>
        <w:t xml:space="preserve"> </w:t>
      </w:r>
    </w:p>
    <w:p w:rsidR="003C7F59" w:rsidP="006C359E" w14:paraId="4BFA7E0D" w14:textId="0739E86A">
      <w:pPr>
        <w:rPr>
          <w:rFonts w:cs="Times New Roman"/>
          <w:sz w:val="24"/>
        </w:rPr>
      </w:pPr>
      <w:r w:rsidRPr="00434BDD">
        <w:rPr>
          <w:rFonts w:cs="Times New Roman"/>
          <w:sz w:val="24"/>
        </w:rPr>
        <w:t>Je zřejmé, že vedle nových nepřed</w:t>
      </w:r>
      <w:r>
        <w:rPr>
          <w:rFonts w:cs="Times New Roman"/>
          <w:sz w:val="24"/>
        </w:rPr>
        <w:t>vídatel</w:t>
      </w:r>
      <w:r w:rsidRPr="00434BDD">
        <w:rPr>
          <w:rFonts w:cs="Times New Roman"/>
          <w:sz w:val="24"/>
        </w:rPr>
        <w:t>ných hrozeb</w:t>
      </w:r>
      <w:r>
        <w:rPr>
          <w:rFonts w:cs="Times New Roman"/>
          <w:sz w:val="24"/>
        </w:rPr>
        <w:t xml:space="preserve"> (např. C</w:t>
      </w:r>
      <w:r w:rsidR="00451C89">
        <w:rPr>
          <w:rFonts w:cs="Times New Roman"/>
          <w:sz w:val="24"/>
        </w:rPr>
        <w:t>ovid</w:t>
      </w:r>
      <w:r>
        <w:rPr>
          <w:rFonts w:cs="Times New Roman"/>
          <w:sz w:val="24"/>
        </w:rPr>
        <w:t>-19)</w:t>
      </w:r>
      <w:r w:rsidRPr="00434BDD">
        <w:rPr>
          <w:rFonts w:cs="Times New Roman"/>
          <w:sz w:val="24"/>
        </w:rPr>
        <w:t xml:space="preserve"> mají </w:t>
      </w:r>
      <w:r>
        <w:rPr>
          <w:rFonts w:cs="Times New Roman"/>
          <w:sz w:val="24"/>
        </w:rPr>
        <w:t>na</w:t>
      </w:r>
      <w:r w:rsidRPr="00434BDD">
        <w:rPr>
          <w:rFonts w:cs="Times New Roman"/>
          <w:sz w:val="24"/>
        </w:rPr>
        <w:t xml:space="preserve"> zdravotní stav obyvatelstva výrazný vliv i </w:t>
      </w:r>
      <w:r w:rsidRPr="00CA1EA9">
        <w:rPr>
          <w:rFonts w:cs="Times New Roman"/>
          <w:sz w:val="24"/>
        </w:rPr>
        <w:t xml:space="preserve">další níže zmíněné </w:t>
      </w:r>
      <w:r w:rsidRPr="00434BDD">
        <w:rPr>
          <w:rFonts w:cs="Times New Roman"/>
          <w:sz w:val="24"/>
        </w:rPr>
        <w:t>rizi</w:t>
      </w:r>
      <w:r w:rsidRPr="00CA1EA9">
        <w:rPr>
          <w:rFonts w:cs="Times New Roman"/>
          <w:sz w:val="24"/>
        </w:rPr>
        <w:t>kové faktory a vzorce chování.  V populaci</w:t>
      </w:r>
      <w:r w:rsidRPr="00A955AF">
        <w:rPr>
          <w:rFonts w:cs="Times New Roman"/>
          <w:sz w:val="24"/>
        </w:rPr>
        <w:t xml:space="preserve"> ČR přibývá osob, které se nacházejí v dlouhodobě nepříznivém zdravotním stavu (v důsledku chronických a</w:t>
      </w:r>
      <w:r>
        <w:rPr>
          <w:rFonts w:cs="Times New Roman"/>
          <w:sz w:val="24"/>
        </w:rPr>
        <w:t> </w:t>
      </w:r>
      <w:r w:rsidRPr="00A955AF">
        <w:rPr>
          <w:rFonts w:cs="Times New Roman"/>
          <w:sz w:val="24"/>
        </w:rPr>
        <w:t>nevyléčitelných chorob, stárnutí, stále relativně krátké době života ve zdraví). Ačkoli hlavním faktorem zvyšujícím nemocnost populace je demografické stárnutí, velký podíl zde má i špatný životní styl a silný vliv rizikových faktorů</w:t>
      </w:r>
      <w:r>
        <w:rPr>
          <w:rFonts w:cs="Times New Roman"/>
          <w:sz w:val="24"/>
        </w:rPr>
        <w:t>,</w:t>
      </w:r>
      <w:r w:rsidRPr="00A955AF">
        <w:rPr>
          <w:rFonts w:cs="Times New Roman"/>
          <w:sz w:val="24"/>
        </w:rPr>
        <w:t xml:space="preserve"> jako je konzumace alkoholu, </w:t>
      </w:r>
      <w:r w:rsidRPr="005436D9">
        <w:rPr>
          <w:rFonts w:cs="Times New Roman"/>
          <w:sz w:val="24"/>
        </w:rPr>
        <w:t>užívání tabáku</w:t>
      </w:r>
      <w:r w:rsidRPr="00A955AF">
        <w:rPr>
          <w:rFonts w:cs="Times New Roman"/>
          <w:sz w:val="24"/>
        </w:rPr>
        <w:t>, nesprávné stravovací návyky apod. ČR má míru úmrtí na preventabilní onemocnění zřetelně vyšší (285 na 100 000 obyvatel)</w:t>
      </w:r>
      <w:r>
        <w:rPr>
          <w:rFonts w:cs="Times New Roman"/>
          <w:sz w:val="24"/>
        </w:rPr>
        <w:t>,</w:t>
      </w:r>
      <w:r w:rsidRPr="00A955AF">
        <w:rPr>
          <w:rFonts w:cs="Times New Roman"/>
          <w:sz w:val="24"/>
        </w:rPr>
        <w:t xml:space="preserve"> než je průměr EU28 (216 na 100 000 obyvatel). </w:t>
      </w:r>
    </w:p>
    <w:p w:rsidR="00C53CE3" w:rsidRPr="00BB7C6B" w:rsidP="00C53CE3" w14:paraId="1F45D746" w14:textId="77777777">
      <w:pPr>
        <w:pStyle w:val="Caption"/>
        <w:rPr>
          <w:rFonts w:cs="Times New Roman"/>
          <w:sz w:val="24"/>
        </w:rPr>
      </w:pPr>
      <w:bookmarkStart w:id="494" w:name="_Toc256000081"/>
      <w:r w:rsidRPr="00BB7C6B">
        <w:t xml:space="preserve">Graf </w:t>
      </w:r>
      <w:r w:rsidRPr="008729A1">
        <w:fldChar w:fldCharType="begin"/>
      </w:r>
      <w:r w:rsidRPr="008729A1">
        <w:instrText xml:space="preserve"> SEQ Graf \* ARABIC </w:instrText>
      </w:r>
      <w:r w:rsidRPr="008729A1">
        <w:fldChar w:fldCharType="separate"/>
      </w:r>
      <w:r w:rsidRPr="008729A1">
        <w:t>7</w:t>
      </w:r>
      <w:r w:rsidRPr="008729A1">
        <w:fldChar w:fldCharType="end"/>
      </w:r>
      <w:r w:rsidRPr="008729A1">
        <w:t xml:space="preserve"> Podíl dětí narozených v daném roce a očkovaných alespoň jednou dávkou očkovací látky proti pneumokokové infekci v letech 2012–2023</w:t>
      </w:r>
      <w:bookmarkEnd w:id="494"/>
    </w:p>
    <w:p w:rsidR="006C359E" w:rsidP="006C359E" w14:paraId="7E58237F" w14:textId="77777777">
      <w:pPr>
        <w:spacing w:before="0" w:after="160" w:line="257" w:lineRule="auto"/>
        <w:rPr>
          <w:rFonts w:ascii="Calibri" w:eastAsia="Calibri" w:hAnsi="Calibri" w:cs="Calibri"/>
          <w:sz w:val="20"/>
          <w:szCs w:val="20"/>
        </w:rPr>
      </w:pPr>
      <w:r>
        <w:rPr>
          <w:noProof/>
        </w:rPr>
        <w:drawing>
          <wp:inline distT="0" distB="0" distL="0" distR="0">
            <wp:extent cx="5475681" cy="2781300"/>
            <wp:effectExtent l="0" t="0" r="0" b="0"/>
            <wp:docPr id="582204630" name="Obrázek 582204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04630" name=""/>
                    <pic:cNvPicPr/>
                  </pic:nvPicPr>
                  <pic:blipFill>
                    <a:blip xmlns:r="http://schemas.openxmlformats.org/officeDocument/2006/relationships" r:embed="rId26">
                      <a:extLst>
                        <a:ext xmlns:a="http://schemas.openxmlformats.org/drawingml/2006/main" uri="{28A0092B-C50C-407E-A947-70E740481C1C}">
                          <a14:useLocalDpi xmlns:a14="http://schemas.microsoft.com/office/drawing/2010/main" val="0"/>
                        </a:ext>
                      </a:extLst>
                    </a:blip>
                    <a:stretch>
                      <a:fillRect/>
                    </a:stretch>
                  </pic:blipFill>
                  <pic:spPr>
                    <a:xfrm>
                      <a:off x="0" y="0"/>
                      <a:ext cx="5526631" cy="2807179"/>
                    </a:xfrm>
                    <a:prstGeom prst="rect">
                      <a:avLst/>
                    </a:prstGeom>
                  </pic:spPr>
                </pic:pic>
              </a:graphicData>
            </a:graphic>
          </wp:inline>
        </w:drawing>
      </w:r>
      <w:r w:rsidRPr="3FB65DA6">
        <w:rPr>
          <w:rFonts w:ascii="Calibri" w:eastAsia="Calibri" w:hAnsi="Calibri" w:cs="Calibri"/>
          <w:sz w:val="20"/>
          <w:szCs w:val="20"/>
        </w:rPr>
        <w:t xml:space="preserve"> </w:t>
      </w:r>
    </w:p>
    <w:p w:rsidR="003C7F59" w:rsidP="006C359E" w14:paraId="620101EF" w14:textId="77777777">
      <w:pPr>
        <w:rPr>
          <w:rFonts w:ascii="Calibri" w:eastAsia="Calibri" w:hAnsi="Calibri" w:cs="Calibri"/>
          <w:sz w:val="20"/>
          <w:szCs w:val="20"/>
        </w:rPr>
      </w:pPr>
      <w:bookmarkStart w:id="495" w:name="_Hlk203313669"/>
      <w:r w:rsidRPr="00BB7C6B">
        <w:rPr>
          <w:rFonts w:ascii="Calibri" w:eastAsia="Calibri" w:hAnsi="Calibri" w:cs="Calibri"/>
          <w:sz w:val="20"/>
          <w:szCs w:val="20"/>
        </w:rPr>
        <w:t xml:space="preserve">Zdroj: ÚZIS </w:t>
      </w:r>
      <w:bookmarkEnd w:id="495"/>
    </w:p>
    <w:p w:rsidR="006C359E" w:rsidP="006C359E" w14:paraId="1A8C8C0C" w14:textId="51BD30AB">
      <w:pPr>
        <w:rPr>
          <w:rFonts w:cs="Times New Roman"/>
          <w:sz w:val="24"/>
        </w:rPr>
      </w:pPr>
      <w:r w:rsidRPr="3FB65DA6">
        <w:rPr>
          <w:rFonts w:ascii="Calibri" w:eastAsia="Calibri" w:hAnsi="Calibri" w:cs="Calibri"/>
          <w:sz w:val="24"/>
        </w:rPr>
        <w:t xml:space="preserve">Reprezentativní šetření o úrovni </w:t>
      </w:r>
      <w:r w:rsidRPr="3FB65DA6">
        <w:rPr>
          <w:rFonts w:ascii="Calibri" w:eastAsia="Calibri" w:hAnsi="Calibri" w:cs="Calibri"/>
          <w:b/>
          <w:bCs/>
          <w:sz w:val="24"/>
        </w:rPr>
        <w:t>proočkovanosti české populace</w:t>
      </w:r>
      <w:r w:rsidRPr="3FB65DA6">
        <w:rPr>
          <w:rFonts w:ascii="Calibri" w:eastAsia="Calibri" w:hAnsi="Calibri" w:cs="Calibri"/>
          <w:sz w:val="24"/>
        </w:rPr>
        <w:t xml:space="preserve"> ukazují na klesající proočkovanost. V oblasti očkování je v současnosti také velký prostor pro zvyšování úrovně zdravotní gramotnosti obyvatelstva. Hlavní nálezy analýz lze shrnout následovně: </w:t>
      </w:r>
    </w:p>
    <w:p w:rsidR="006C359E" w:rsidP="006C359E" w14:paraId="1CE555C5" w14:textId="77777777">
      <w:pPr>
        <w:pStyle w:val="ListParagraph"/>
        <w:spacing w:before="0" w:after="0" w:line="257" w:lineRule="auto"/>
        <w:rPr>
          <w:rFonts w:ascii="Calibri" w:eastAsia="Calibri" w:hAnsi="Calibri" w:cs="Calibri"/>
        </w:rPr>
      </w:pPr>
      <w:r w:rsidRPr="3FB65DA6">
        <w:rPr>
          <w:rFonts w:ascii="Calibri" w:eastAsia="Calibri" w:hAnsi="Calibri" w:cs="Calibri"/>
          <w:sz w:val="24"/>
          <w:szCs w:val="24"/>
        </w:rPr>
        <w:t xml:space="preserve">Proočkovanost dětí do dvou let věku narozených v období 2019–2022 proti pneumokokové infekci se zvyšuje (z 72,6 % na 76,6 %). Pro děti narozené v roce 2022 a očkované do dvou let věku je viditelná velká heterogenita očkování podle kraje bydliště (regionu). </w:t>
      </w:r>
    </w:p>
    <w:p w:rsidR="006C359E" w:rsidP="006C359E" w14:paraId="25181CE4" w14:textId="77777777">
      <w:pPr>
        <w:pStyle w:val="ListParagraph"/>
        <w:spacing w:before="0" w:after="0" w:line="257" w:lineRule="auto"/>
        <w:rPr>
          <w:rFonts w:ascii="Calibri" w:eastAsia="Calibri" w:hAnsi="Calibri" w:cs="Calibri"/>
        </w:rPr>
      </w:pPr>
      <w:r w:rsidRPr="3FB65DA6">
        <w:rPr>
          <w:rFonts w:ascii="Calibri" w:eastAsia="Calibri" w:hAnsi="Calibri" w:cs="Calibri"/>
          <w:sz w:val="24"/>
          <w:szCs w:val="24"/>
        </w:rPr>
        <w:t xml:space="preserve">Proočkovanost dětí na spalničky, zarděnky a příušnice do dvou let včetně narozených v letech 2019–2022 mírně klesá (z původních 97 % na 92 %). Klesající trend v proočkovanosti je patrný ve všech regionech ČR, avšak významně nejnižších hodnot dosahuje populace v Praze, tj. 81,0 %.  </w:t>
      </w:r>
    </w:p>
    <w:p w:rsidR="006C359E" w:rsidP="006C359E" w14:paraId="291924C1" w14:textId="77777777">
      <w:pPr>
        <w:pStyle w:val="ListParagraph"/>
        <w:spacing w:before="0" w:after="0" w:line="257" w:lineRule="auto"/>
        <w:rPr>
          <w:rFonts w:ascii="Calibri" w:eastAsia="Calibri" w:hAnsi="Calibri" w:cs="Calibri"/>
        </w:rPr>
      </w:pPr>
      <w:r w:rsidRPr="3FB65DA6">
        <w:rPr>
          <w:rFonts w:ascii="Calibri" w:eastAsia="Calibri" w:hAnsi="Calibri" w:cs="Calibri"/>
          <w:sz w:val="24"/>
          <w:szCs w:val="24"/>
        </w:rPr>
        <w:t>Proočkovanost 13letých dívek proti papilomavirům od roku 2019 do roku 2023 roste (z 63,7 % na 69,6 %). Podobně i proočkovanost 13letých chlapců proti papilomavirům od roku 2019 do roku 2023 roste (z 36,3 % na 49,7 %). Nově od roku 2024 je rozšířené očkovací schéma od 11 do 15 let věku.</w:t>
      </w:r>
    </w:p>
    <w:p w:rsidR="006C359E" w:rsidP="006C359E" w14:paraId="44A3D65B" w14:textId="77777777">
      <w:pPr>
        <w:pStyle w:val="ListParagraph"/>
        <w:spacing w:before="0" w:after="0" w:line="257" w:lineRule="auto"/>
        <w:rPr>
          <w:rFonts w:ascii="Calibri" w:eastAsia="Calibri" w:hAnsi="Calibri" w:cs="Calibri"/>
        </w:rPr>
      </w:pPr>
      <w:r w:rsidRPr="3FB65DA6">
        <w:rPr>
          <w:rFonts w:ascii="Calibri" w:eastAsia="Calibri" w:hAnsi="Calibri" w:cs="Calibri"/>
          <w:sz w:val="24"/>
          <w:szCs w:val="24"/>
        </w:rPr>
        <w:t xml:space="preserve">Proočkovanost seniorů nad šedesát pět let věku proti chřipce dosahuje celorepublikově v sezóně 2023–2024 25,5 % a v čase v sezónách 2019–2024 stagnuje. Avšak ve shodě s dalšími ukazateli proočkovanosti i zde pozorujeme značné rozdíly mezi regiony ČR. Nejnižší regionální hodnoty padají pod 22 % a naopak nejvyšší přesahují hranici 29 %.  </w:t>
      </w:r>
    </w:p>
    <w:p w:rsidR="006C359E" w:rsidP="006C359E" w14:paraId="5C633D85" w14:textId="0B0387E7">
      <w:pPr>
        <w:pStyle w:val="ListParagraph"/>
        <w:spacing w:before="0" w:after="0" w:line="257" w:lineRule="auto"/>
        <w:rPr>
          <w:rFonts w:ascii="Calibri" w:eastAsia="Calibri" w:hAnsi="Calibri" w:cs="Calibri"/>
        </w:rPr>
      </w:pPr>
      <w:r w:rsidRPr="3FB65DA6">
        <w:rPr>
          <w:rFonts w:ascii="Calibri" w:eastAsia="Calibri" w:hAnsi="Calibri" w:cs="Calibri"/>
          <w:sz w:val="24"/>
          <w:szCs w:val="24"/>
        </w:rPr>
        <w:t>Proočkovanost seniorů nad šedesát pět let věku proti chřipce u pacientů s vybranými onemocněními v letech 2019–2024 stagnuje, avšak u žádného ze sledovaných onemocnění výrazně nepřevyšuje 35 %. Nejvýznamnější posun lze pozorovat u</w:t>
      </w:r>
      <w:r w:rsidR="00451C89">
        <w:rPr>
          <w:rFonts w:ascii="Calibri" w:eastAsia="Calibri" w:hAnsi="Calibri" w:cs="Calibri"/>
          <w:sz w:val="24"/>
          <w:szCs w:val="24"/>
        </w:rPr>
        <w:t> </w:t>
      </w:r>
      <w:r w:rsidRPr="3FB65DA6">
        <w:rPr>
          <w:rFonts w:ascii="Calibri" w:eastAsia="Calibri" w:hAnsi="Calibri" w:cs="Calibri"/>
          <w:sz w:val="24"/>
          <w:szCs w:val="24"/>
        </w:rPr>
        <w:t>pacientů s diabetes mellitus (nárůst ze sezóny 2019–2020 z 26,3 % na 29,4 %).</w:t>
      </w:r>
    </w:p>
    <w:p w:rsidR="006C359E" w:rsidRPr="00DE33D8" w:rsidP="006C359E" w14:paraId="663BF6B3" w14:textId="77777777">
      <w:pPr>
        <w:rPr>
          <w:rFonts w:cs="Times New Roman"/>
          <w:sz w:val="24"/>
        </w:rPr>
      </w:pPr>
      <w:r w:rsidRPr="00DE33D8">
        <w:rPr>
          <w:rFonts w:cs="Times New Roman"/>
          <w:b/>
          <w:sz w:val="24"/>
        </w:rPr>
        <w:t>Úroveň zdravotní gramotnosti.</w:t>
      </w:r>
      <w:r w:rsidRPr="00DE33D8">
        <w:rPr>
          <w:rFonts w:cs="Times New Roman"/>
          <w:sz w:val="24"/>
        </w:rPr>
        <w:t xml:space="preserve"> ČR zaostává za průměrem evropských zemí nejen v celkové úrovni zdravotní gramotnosti, ale také v jednotlivých oblastech zdravotní gramotnosti. Zvláště nepříznivá situace je v oblasti podpory zdraví, tedy ve schopnosti získat informace týkající se chování posilujícího zdraví, schopnosti vyhodnotit je, interpretovat je a chovat se v intencích těchto informací. Ačkoli jsou průměrné hodnoty zdravotní gramotnosti dosahované českou populací ve standardizované škále mírně nadprůměrné (třicet bodů z celkových padesáti), situace není uspokojivá. Celkově lze u více než 40 % respondentů hodnotit zdravotní gramotnost jako problematickou až neadekvátní, v případě dimenze „podpora zdraví“ vykazuje toto snížené hodnocení až 60 % občanů ČR. Podle průzkumu z roku 2014 se různé části české populace značně liší v úrovni zdravotní gramotnosti. Podle očekávání zdravotní gramotnost klesá s věkem a roste s úrovní vzdělání a sociálním statusem. Výsledky ukazují na nutnost vyšší osvěty zejména v rizikových skupinách obyvatelstva.</w:t>
      </w:r>
    </w:p>
    <w:p w:rsidR="006C359E" w:rsidP="006C359E" w14:paraId="257413A3" w14:textId="77777777">
      <w:pPr>
        <w:rPr>
          <w:rFonts w:cs="Times New Roman"/>
          <w:sz w:val="24"/>
        </w:rPr>
      </w:pPr>
      <w:r w:rsidRPr="00DE33D8">
        <w:rPr>
          <w:rFonts w:cs="Times New Roman"/>
          <w:b/>
          <w:sz w:val="24"/>
        </w:rPr>
        <w:t xml:space="preserve">Významná prevalence rizikového chování a vliv rizikových faktorů. </w:t>
      </w:r>
      <w:r w:rsidRPr="00DE33D8">
        <w:rPr>
          <w:rFonts w:cs="Times New Roman"/>
          <w:sz w:val="24"/>
        </w:rPr>
        <w:t xml:space="preserve">Z dat „Global Health Observatory Data Repository“ vyplývá, že česká populace v podílu dospělých s obezitou obsazuje čelní pozice v mezinárodních srovnáních. Relativní podíl </w:t>
      </w:r>
      <w:r w:rsidRPr="00DE33D8">
        <w:rPr>
          <w:rFonts w:cs="Times New Roman"/>
          <w:color w:val="auto"/>
          <w:sz w:val="24"/>
        </w:rPr>
        <w:t>obézních obyvatel dosahuje 26 % a v čase významně narůstá. Vysoký podíl preobézních až obézních lidí v ČR a jejich stoupající podíl v čase je jedním z významných problémů zdravotnictví</w:t>
      </w:r>
      <w:r w:rsidRPr="00DE33D8">
        <w:rPr>
          <w:rFonts w:cs="Times New Roman"/>
          <w:sz w:val="24"/>
        </w:rPr>
        <w:t xml:space="preserve">. Provedené mezinárodně srovnatelné populační predikce předpovídají v české populaci další růst prevalence obezity, a to pro rok 2030 až k hranici 35 %. Z dosavadních trendů a tempa růstu prevalence obézních osob lze rovněž věrohodně predikovat růst incidence řady vážných zdravotních problémů a onemocnění, zejména diabetu. S vysokou prevalencí obezity úzce </w:t>
      </w:r>
      <w:r w:rsidRPr="00DE33D8">
        <w:rPr>
          <w:rFonts w:cs="Times New Roman"/>
          <w:sz w:val="24"/>
        </w:rPr>
        <w:t xml:space="preserve">souvisí i vysoký podíl dospělých bez dostatečné fyzické aktivity. Podle dat mezinárodních srovnání WHO jde až o 25 % české populace. Za zvláště alarmující je nutné považovat data dokládající vysokou prevalenci obezity u relativně malých dětí (dostupné standardizované průzkumy ukazují na hodnoty vyšší než 22–25 %). Jde o problém, kterému čelí populace a zdravotnické systémy většiny vyspělých západních států. ČR patří v rámci EU ke státům s nejmenší konzumací ovoce a zeleniny. Nesprávné stravovací návyky provází naopak vysoký denní příjem soli, který se u dospělé populace v ČR blíží hranici 14–15 g / den, což je dávka až třikrát překračující doporučený denní limit (doporučení WHO/FAO). Z dostupných mezinárodních srovnání WHO je česká populace v tomto parametru mezi cca pěti státy s nejvyšším naměřeným příjmem. Tyto skutečnosti mají negativní vliv na zdravotní stav české populace. </w:t>
      </w:r>
    </w:p>
    <w:p w:rsidR="003C7F59" w:rsidP="006C359E" w14:paraId="7E52BAFE" w14:textId="77777777">
      <w:pPr>
        <w:rPr>
          <w:rFonts w:cs="Times New Roman"/>
          <w:sz w:val="24"/>
        </w:rPr>
      </w:pPr>
    </w:p>
    <w:p w:rsidR="00C53CE3" w:rsidRPr="00DE33D8" w:rsidP="0070747B" w14:paraId="786F17A7" w14:textId="45D6D336">
      <w:pPr>
        <w:pStyle w:val="Caption"/>
        <w:rPr>
          <w:rFonts w:cs="Times New Roman"/>
          <w:sz w:val="24"/>
        </w:rPr>
      </w:pPr>
      <w:bookmarkStart w:id="496" w:name="_Toc256000082"/>
      <w:r w:rsidRPr="008729A1">
        <w:t xml:space="preserve">Graf </w:t>
      </w:r>
      <w:r w:rsidRPr="008729A1">
        <w:fldChar w:fldCharType="begin"/>
      </w:r>
      <w:r w:rsidRPr="008729A1">
        <w:instrText xml:space="preserve"> SEQ Graf \* ARABIC </w:instrText>
      </w:r>
      <w:r w:rsidRPr="008729A1">
        <w:fldChar w:fldCharType="separate"/>
      </w:r>
      <w:r w:rsidRPr="008729A1">
        <w:t>8</w:t>
      </w:r>
      <w:r w:rsidRPr="008729A1">
        <w:fldChar w:fldCharType="end"/>
      </w:r>
      <w:r w:rsidRPr="008729A1">
        <w:t xml:space="preserve"> Porovnání BMI populace</w:t>
      </w:r>
      <w:bookmarkEnd w:id="496"/>
    </w:p>
    <w:p w:rsidR="003C7F59" w:rsidP="006C359E" w14:paraId="422E0046" w14:textId="77777777">
      <w:r w:rsidRPr="00DE33D8">
        <w:rPr>
          <w:noProof/>
        </w:rPr>
        <w:drawing>
          <wp:inline distT="0" distB="0" distL="0" distR="0">
            <wp:extent cx="5762626" cy="3133725"/>
            <wp:effectExtent l="0" t="0" r="0" b="0"/>
            <wp:docPr id="754304323" name="Picture 75430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04323" name=""/>
                    <pic:cNvPicPr/>
                  </pic:nvPicPr>
                  <pic:blipFill>
                    <a:blip xmlns:r="http://schemas.openxmlformats.org/officeDocument/2006/relationships" r:embed="rId27" cstate="print">
                      <a:extLst>
                        <a:ext xmlns:a="http://schemas.openxmlformats.org/drawingml/2006/main" uri="{28A0092B-C50C-407E-A947-70E740481C1C}">
                          <a14:useLocalDpi xmlns:a14="http://schemas.microsoft.com/office/drawing/2010/main" val="0"/>
                        </a:ext>
                      </a:extLst>
                    </a:blip>
                    <a:stretch>
                      <a:fillRect/>
                    </a:stretch>
                  </pic:blipFill>
                  <pic:spPr>
                    <a:xfrm>
                      <a:off x="0" y="0"/>
                      <a:ext cx="5762626" cy="3133725"/>
                    </a:xfrm>
                    <a:prstGeom prst="rect">
                      <a:avLst/>
                    </a:prstGeom>
                  </pic:spPr>
                </pic:pic>
              </a:graphicData>
            </a:graphic>
          </wp:inline>
        </w:drawing>
      </w:r>
      <w:bookmarkStart w:id="497" w:name="_Hlk203313868"/>
      <w:r w:rsidRPr="00C53CE3" w:rsidR="00C53CE3">
        <w:t xml:space="preserve"> </w:t>
      </w:r>
      <w:r w:rsidRPr="00BB7C6B" w:rsidR="00C53CE3">
        <w:t xml:space="preserve">Zdroj: </w:t>
      </w:r>
      <w:r w:rsidRPr="008729A1" w:rsidR="00C53CE3">
        <w:t>EHIS 2019</w:t>
      </w:r>
      <w:r w:rsidRPr="00722F15" w:rsidR="00C53CE3">
        <w:t xml:space="preserve"> </w:t>
      </w:r>
      <w:bookmarkEnd w:id="497"/>
    </w:p>
    <w:p w:rsidR="006C359E" w:rsidRPr="00DE33D8" w:rsidP="006C359E" w14:paraId="41C76063" w14:textId="6D0DB6E2">
      <w:pPr>
        <w:rPr>
          <w:rFonts w:cs="Times New Roman"/>
          <w:sz w:val="24"/>
        </w:rPr>
      </w:pPr>
      <w:r w:rsidRPr="00DE33D8">
        <w:rPr>
          <w:rFonts w:cs="Times New Roman"/>
          <w:sz w:val="24"/>
        </w:rPr>
        <w:t>Expozice návykovým látkám v kontextu působení dalších nepříznivých socioekonomických faktorů představuje významnou zdravotní a sociální determinantu, dokáže významně ovlivnit naději dožití i přispět k sociálnímu vyloučení. Vliv užívání návykových látek, dalších forem rizikového chování a socioekonomických determinant zdraví (chudoba, nezaměstnanost, ztráta sociální koheze, nízká dostupnost zdravotní péče) se přitom syndemicky vzájemně kombinují a potencují.</w:t>
      </w:r>
    </w:p>
    <w:p w:rsidR="006C359E" w:rsidRPr="00DE33D8" w:rsidP="006C359E" w14:paraId="18C989D0" w14:textId="77777777">
      <w:pPr>
        <w:rPr>
          <w:rFonts w:cs="Times New Roman"/>
          <w:sz w:val="24"/>
        </w:rPr>
      </w:pPr>
      <w:r w:rsidRPr="00DE33D8">
        <w:rPr>
          <w:rFonts w:cs="Times New Roman"/>
          <w:sz w:val="24"/>
        </w:rPr>
        <w:t>Ve vyspělých zemích zaujímá užívání návykových látek na pomyslném žebříčku rizikových faktorů zdraví přední místa, např. užívání tabáku je v nejvyspělejších zemích nejvýznamnějším rizikovým preventabilním faktorem.</w:t>
      </w:r>
    </w:p>
    <w:p w:rsidR="001D3469" w:rsidP="001D3469" w14:paraId="7E2052D3" w14:textId="0FBEFD64">
      <w:pPr>
        <w:rPr>
          <w:rFonts w:eastAsia="Times New Roman" w:cs="Arial"/>
          <w:color w:val="auto"/>
          <w:sz w:val="24"/>
          <w:lang w:eastAsia="cs-CZ"/>
        </w:rPr>
      </w:pPr>
      <w:r w:rsidRPr="00DE33D8">
        <w:rPr>
          <w:rFonts w:cs="Times New Roman"/>
          <w:sz w:val="24"/>
        </w:rPr>
        <w:t xml:space="preserve">Míra současného kouření (v posledních třiceti dnech) v dospělé populaci (15+) je přibližně 25–30 %. Míra denního kouření (denně či téměř denně) je přibližně 18–25 %. Lze pozorovat dlouhodobě mírně klesající trend kouření v dospělé populaci, který v posledních letech stagnuje. Zkušenosti s užíváním tabáku uvádí více než polovina třináctiletých a tři čtvrtiny patnáctiletých. Pravidelnými kuřáky je více než 20 % patnáctiletých. Zkušenosti s kouřením tabáku mezi dospívajícími se snižují, rostou zkušenosti s elektronickými cigaretami. Vysoký podíl mladistvých denních kuřáků je problémem, který přispěje k budoucí zátěži českého </w:t>
      </w:r>
      <w:r w:rsidRPr="00DE33D8">
        <w:rPr>
          <w:rFonts w:cs="Times New Roman"/>
          <w:sz w:val="24"/>
        </w:rPr>
        <w:t xml:space="preserve">zdravotnictví. </w:t>
      </w:r>
      <w:r w:rsidRPr="00DE33D8">
        <w:rPr>
          <w:rFonts w:eastAsia="Times New Roman" w:cs="Arial"/>
          <w:color w:val="auto"/>
          <w:sz w:val="24"/>
          <w:lang w:eastAsia="cs-CZ"/>
        </w:rPr>
        <w:t>Tabákovému kouři v prostředí je sekundárně exponována přibližně jedna pětina populace</w:t>
      </w:r>
      <w:r>
        <w:rPr>
          <w:rFonts w:eastAsia="Times New Roman" w:cs="Arial"/>
          <w:color w:val="auto"/>
          <w:sz w:val="24"/>
          <w:lang w:eastAsia="cs-CZ"/>
        </w:rPr>
        <w:t xml:space="preserve">. </w:t>
      </w:r>
      <w:r w:rsidRPr="008729A1">
        <w:rPr>
          <w:rFonts w:eastAsia="Times New Roman" w:cs="Arial"/>
          <w:color w:val="auto"/>
          <w:sz w:val="24"/>
          <w:lang w:eastAsia="cs-CZ"/>
        </w:rPr>
        <w:t>Jakkoliv je</w:t>
      </w:r>
      <w:r w:rsidRPr="00BB7C6B">
        <w:rPr>
          <w:rFonts w:eastAsia="Times New Roman" w:cs="Arial"/>
          <w:color w:val="auto"/>
          <w:sz w:val="24"/>
          <w:lang w:eastAsia="cs-CZ"/>
        </w:rPr>
        <w:t xml:space="preserve"> trend je mírně sestupný</w:t>
      </w:r>
      <w:r w:rsidRPr="008729A1">
        <w:rPr>
          <w:rFonts w:eastAsia="Times New Roman" w:cs="Arial"/>
          <w:color w:val="auto"/>
          <w:sz w:val="24"/>
          <w:lang w:eastAsia="cs-CZ"/>
        </w:rPr>
        <w:t>, v mezinárodním srovnání vykazuje Č</w:t>
      </w:r>
      <w:r w:rsidR="004433F0">
        <w:rPr>
          <w:rFonts w:eastAsia="Times New Roman" w:cs="Arial"/>
          <w:color w:val="auto"/>
          <w:sz w:val="24"/>
          <w:lang w:eastAsia="cs-CZ"/>
        </w:rPr>
        <w:t xml:space="preserve">R </w:t>
      </w:r>
      <w:r w:rsidRPr="008729A1">
        <w:rPr>
          <w:rFonts w:eastAsia="Times New Roman" w:cs="Arial"/>
          <w:color w:val="auto"/>
          <w:sz w:val="24"/>
          <w:lang w:eastAsia="cs-CZ"/>
        </w:rPr>
        <w:t>stále nadprůměrný podíl denních kuřáků</w:t>
      </w:r>
      <w:r w:rsidR="004433F0">
        <w:rPr>
          <w:rFonts w:eastAsia="Times New Roman" w:cs="Arial"/>
          <w:color w:val="auto"/>
          <w:sz w:val="24"/>
          <w:lang w:eastAsia="cs-CZ"/>
        </w:rPr>
        <w:t>.</w:t>
      </w:r>
    </w:p>
    <w:p w:rsidR="003C7F59" w:rsidRPr="00BB7C6B" w:rsidP="001D3469" w14:paraId="226E563E" w14:textId="77777777">
      <w:pPr>
        <w:rPr>
          <w:rFonts w:eastAsia="Times New Roman" w:cs="Arial"/>
          <w:color w:val="auto"/>
          <w:sz w:val="24"/>
          <w:lang w:eastAsia="cs-CZ"/>
        </w:rPr>
      </w:pPr>
    </w:p>
    <w:p w:rsidR="001D3469" w:rsidRPr="00BB7C6B" w:rsidP="001D3469" w14:paraId="391656A6" w14:textId="77777777">
      <w:pPr>
        <w:pStyle w:val="Caption"/>
        <w:rPr>
          <w:rFonts w:eastAsia="Times New Roman" w:cs="Arial"/>
          <w:color w:val="auto"/>
          <w:sz w:val="24"/>
          <w:lang w:eastAsia="cs-CZ"/>
        </w:rPr>
      </w:pPr>
      <w:bookmarkStart w:id="498" w:name="_Toc256000083"/>
      <w:r w:rsidRPr="00BB7C6B">
        <w:t xml:space="preserve">Graf </w:t>
      </w:r>
      <w:r w:rsidRPr="008729A1">
        <w:fldChar w:fldCharType="begin"/>
      </w:r>
      <w:r w:rsidRPr="008729A1">
        <w:instrText xml:space="preserve"> SEQ Graf \* ARABIC </w:instrText>
      </w:r>
      <w:r w:rsidRPr="008729A1">
        <w:fldChar w:fldCharType="separate"/>
      </w:r>
      <w:r w:rsidRPr="008729A1">
        <w:t>9</w:t>
      </w:r>
      <w:r w:rsidRPr="008729A1">
        <w:fldChar w:fldCharType="end"/>
      </w:r>
      <w:r w:rsidRPr="008729A1">
        <w:t xml:space="preserve"> Podíl denních kuřáků – mezinárodní srovnání</w:t>
      </w:r>
      <w:bookmarkEnd w:id="498"/>
    </w:p>
    <w:p w:rsidR="006C359E" w:rsidRPr="00DE33D8" w:rsidP="006C359E" w14:paraId="7166EA66" w14:textId="77777777">
      <w:r w:rsidRPr="00DE33D8">
        <w:rPr>
          <w:noProof/>
        </w:rPr>
        <w:drawing>
          <wp:inline distT="0" distB="0" distL="0" distR="0">
            <wp:extent cx="5762626" cy="2514600"/>
            <wp:effectExtent l="0" t="0" r="0" b="0"/>
            <wp:docPr id="265371194" name="Picture 26537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371194" name=""/>
                    <pic:cNvPicPr/>
                  </pic:nvPicPr>
                  <pic:blipFill>
                    <a:blip xmlns:r="http://schemas.openxmlformats.org/officeDocument/2006/relationships" r:embed="rId28">
                      <a:extLst>
                        <a:ext xmlns:a="http://schemas.openxmlformats.org/drawingml/2006/main" uri="{28A0092B-C50C-407E-A947-70E740481C1C}">
                          <a14:useLocalDpi xmlns:a14="http://schemas.microsoft.com/office/drawing/2010/main" val="0"/>
                        </a:ext>
                      </a:extLst>
                    </a:blip>
                    <a:stretch>
                      <a:fillRect/>
                    </a:stretch>
                  </pic:blipFill>
                  <pic:spPr>
                    <a:xfrm>
                      <a:off x="0" y="0"/>
                      <a:ext cx="5762626" cy="2514600"/>
                    </a:xfrm>
                    <a:prstGeom prst="rect">
                      <a:avLst/>
                    </a:prstGeom>
                  </pic:spPr>
                </pic:pic>
              </a:graphicData>
            </a:graphic>
          </wp:inline>
        </w:drawing>
      </w:r>
    </w:p>
    <w:p w:rsidR="003C7F59" w:rsidP="006C359E" w14:paraId="07D83C22" w14:textId="77777777">
      <w:pPr>
        <w:rPr>
          <w:rFonts w:cs="Times New Roman"/>
          <w:sz w:val="20"/>
          <w:szCs w:val="20"/>
        </w:rPr>
      </w:pPr>
      <w:bookmarkStart w:id="499" w:name="_Hlk203313929"/>
      <w:r w:rsidRPr="00BB7C6B">
        <w:rPr>
          <w:rFonts w:cs="Times New Roman"/>
          <w:sz w:val="20"/>
          <w:szCs w:val="20"/>
        </w:rPr>
        <w:t xml:space="preserve">Zdroj: </w:t>
      </w:r>
      <w:r w:rsidRPr="008729A1">
        <w:rPr>
          <w:rFonts w:cs="Times New Roman"/>
          <w:sz w:val="20"/>
          <w:szCs w:val="20"/>
        </w:rPr>
        <w:t xml:space="preserve">EHIS, 2019 </w:t>
      </w:r>
      <w:bookmarkEnd w:id="499"/>
    </w:p>
    <w:p w:rsidR="006C359E" w:rsidRPr="00DE33D8" w:rsidP="006C359E" w14:paraId="41A07647" w14:textId="1E8FA5CC">
      <w:pPr>
        <w:rPr>
          <w:rFonts w:cs="Times New Roman"/>
          <w:color w:val="000000" w:themeColor="text1"/>
          <w:kern w:val="24"/>
          <w:sz w:val="24"/>
          <w:lang w:eastAsia="cs-CZ"/>
        </w:rPr>
      </w:pPr>
      <w:r w:rsidRPr="00DE33D8">
        <w:rPr>
          <w:rFonts w:cs="Times New Roman"/>
          <w:sz w:val="24"/>
        </w:rPr>
        <w:t>Rovněž vysoký podíl rizikové konzumace alkoholu (14,9 %) je závažným problémem české populace.</w:t>
      </w:r>
      <w:r w:rsidRPr="00DE33D8">
        <w:rPr>
          <w:rFonts w:cs="Times New Roman"/>
          <w:color w:val="000000" w:themeColor="text1"/>
          <w:kern w:val="24"/>
          <w:sz w:val="24"/>
          <w:lang w:eastAsia="cs-CZ"/>
        </w:rPr>
        <w:t xml:space="preserve"> Užití alkoholu v životě uvádí více než 96 % populace a 82 % dospělé populace uvedlo užívání alkoholu za poslední rok. Vyšší prevalence užívání alkoholu je sledována mezi muži (87–89 %) než mezi ženami (76–78 %). Přibližně 70 % dospělých uvedlo užívání alkoholu v posledních třiceti dnech.</w:t>
      </w:r>
    </w:p>
    <w:p w:rsidR="006C359E" w:rsidP="006C359E" w14:paraId="43E646E0" w14:textId="77777777">
      <w:pPr>
        <w:rPr>
          <w:rFonts w:cs="Times New Roman"/>
          <w:sz w:val="24"/>
        </w:rPr>
      </w:pPr>
      <w:r w:rsidRPr="00DE33D8">
        <w:rPr>
          <w:rFonts w:eastAsia="Times New Roman" w:cs="Arial"/>
          <w:color w:val="auto"/>
          <w:sz w:val="24"/>
          <w:lang w:eastAsia="cs-CZ"/>
        </w:rPr>
        <w:t>Mezi dětmi a dospívajícími byl v posledních letech zaznamenán pokles užívání alkoholu. V ČR je však spotřeba alkoholu velmi vysoká a užívání alkoholu patří mezi nejrozšířenější rizikové chování dospívajících</w:t>
      </w:r>
      <w:r w:rsidRPr="00DE33D8">
        <w:rPr>
          <w:rFonts w:cs="Times New Roman"/>
          <w:sz w:val="24"/>
        </w:rPr>
        <w:t>, kteří mají zkušenost s alkoholem již ve velmi nízkém věku. Podíl dětí, které v průzkumech uvádějí konzumaci jednoho druhu alkoholu alespoň jednou týdně, narůstá již od věku 10–11 let (10 % chlapci, 5 % dívky) a v patnácti letech věku dosahuje 44 % u chlapců a 33 % u dívek. ČR se tak v mezinárodních průzkumech (např. studie ESPAD) řadí na přední příčky v konzumaci alkoholu u adolescentů.</w:t>
      </w:r>
    </w:p>
    <w:p w:rsidR="001D3469" w:rsidRPr="00BB7C6B" w:rsidP="001D3469" w14:paraId="46C18FFE" w14:textId="77777777">
      <w:pPr>
        <w:pStyle w:val="Caption"/>
      </w:pPr>
      <w:bookmarkStart w:id="500" w:name="_Toc256000084"/>
      <w:r w:rsidRPr="00BB7C6B">
        <w:t xml:space="preserve">Graf </w:t>
      </w:r>
      <w:r w:rsidRPr="008729A1">
        <w:fldChar w:fldCharType="begin"/>
      </w:r>
      <w:r w:rsidRPr="008729A1">
        <w:instrText xml:space="preserve"> SEQ Graf \* ARABIC </w:instrText>
      </w:r>
      <w:r w:rsidRPr="008729A1">
        <w:fldChar w:fldCharType="separate"/>
      </w:r>
      <w:r w:rsidRPr="008729A1">
        <w:t>10</w:t>
      </w:r>
      <w:r w:rsidRPr="008729A1">
        <w:fldChar w:fldCharType="end"/>
      </w:r>
      <w:r w:rsidRPr="008729A1">
        <w:t xml:space="preserve"> Konzumace alkoholu – mezinárodní srovnání.</w:t>
      </w:r>
      <w:bookmarkEnd w:id="500"/>
      <w:r w:rsidRPr="008729A1">
        <w:t xml:space="preserve"> </w:t>
      </w:r>
    </w:p>
    <w:p w:rsidR="006C359E" w:rsidRPr="00DE33D8" w:rsidP="006C359E" w14:paraId="6D06855A" w14:textId="77777777">
      <w:r w:rsidRPr="00DE33D8">
        <w:rPr>
          <w:noProof/>
        </w:rPr>
        <w:drawing>
          <wp:inline distT="0" distB="0" distL="0" distR="0">
            <wp:extent cx="5762626" cy="2409825"/>
            <wp:effectExtent l="0" t="0" r="0" b="0"/>
            <wp:docPr id="964978247" name="Picture 96497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78247" name=""/>
                    <pic:cNvPicPr/>
                  </pic:nvPicPr>
                  <pic:blipFill>
                    <a:blip xmlns:r="http://schemas.openxmlformats.org/officeDocument/2006/relationships" r:embed="rId29">
                      <a:extLst>
                        <a:ext xmlns:a="http://schemas.openxmlformats.org/drawingml/2006/main" uri="{28A0092B-C50C-407E-A947-70E740481C1C}">
                          <a14:useLocalDpi xmlns:a14="http://schemas.microsoft.com/office/drawing/2010/main" val="0"/>
                        </a:ext>
                      </a:extLst>
                    </a:blip>
                    <a:stretch>
                      <a:fillRect/>
                    </a:stretch>
                  </pic:blipFill>
                  <pic:spPr>
                    <a:xfrm>
                      <a:off x="0" y="0"/>
                      <a:ext cx="5762626" cy="2409825"/>
                    </a:xfrm>
                    <a:prstGeom prst="rect">
                      <a:avLst/>
                    </a:prstGeom>
                  </pic:spPr>
                </pic:pic>
              </a:graphicData>
            </a:graphic>
          </wp:inline>
        </w:drawing>
      </w:r>
    </w:p>
    <w:p w:rsidR="003C7F59" w:rsidP="006C359E" w14:paraId="7A1415CC" w14:textId="77777777">
      <w:pPr>
        <w:rPr>
          <w:rFonts w:cs="Times New Roman"/>
          <w:sz w:val="20"/>
          <w:szCs w:val="20"/>
        </w:rPr>
      </w:pPr>
      <w:bookmarkStart w:id="501" w:name="_Hlk203313955"/>
      <w:r w:rsidRPr="00BB7C6B">
        <w:rPr>
          <w:rFonts w:cs="Times New Roman"/>
          <w:sz w:val="20"/>
          <w:szCs w:val="20"/>
        </w:rPr>
        <w:t xml:space="preserve">Zdroj: EHIS, 2014 </w:t>
      </w:r>
      <w:bookmarkEnd w:id="501"/>
    </w:p>
    <w:p w:rsidR="006C359E" w:rsidRPr="00DE33D8" w:rsidP="006C359E" w14:paraId="077A42D3" w14:textId="3B0CEE05">
      <w:pPr>
        <w:rPr>
          <w:rFonts w:cs="Times New Roman"/>
          <w:sz w:val="24"/>
        </w:rPr>
      </w:pPr>
      <w:r w:rsidRPr="00DE33D8">
        <w:rPr>
          <w:rFonts w:cs="Times New Roman"/>
          <w:sz w:val="24"/>
        </w:rPr>
        <w:t xml:space="preserve">Také riziková konzumace konopí je v ČR velmi rozšířená a zasahuje i věkové kategorie adolescentů. Podle dostupných mezinárodních průzkumů týkajících se dětí ve věku patnácti let vyzkoušelo v ČR konopí až 30 % této populace, přičemž tento podíl je shodný pro dívky i chlapce. </w:t>
      </w:r>
    </w:p>
    <w:p w:rsidR="006C359E" w:rsidRPr="00DE33D8" w:rsidP="006C359E" w14:paraId="78623CC4" w14:textId="3DF20056">
      <w:pPr>
        <w:widowControl w:val="0"/>
        <w:suppressAutoHyphens/>
        <w:spacing w:before="0" w:after="0"/>
        <w:rPr>
          <w:rFonts w:eastAsia="Times New Roman" w:cs="Arial"/>
          <w:color w:val="auto"/>
          <w:sz w:val="24"/>
          <w:lang w:eastAsia="cs-CZ"/>
        </w:rPr>
      </w:pPr>
      <w:r w:rsidRPr="00DE33D8">
        <w:rPr>
          <w:rFonts w:eastAsia="Times New Roman" w:cs="Arial"/>
          <w:color w:val="auto"/>
          <w:sz w:val="24"/>
          <w:lang w:eastAsia="cs-CZ"/>
        </w:rPr>
        <w:t xml:space="preserve">V r. </w:t>
      </w:r>
      <w:r w:rsidRPr="00DE33D8" w:rsidR="001D3469">
        <w:rPr>
          <w:rFonts w:eastAsia="Times New Roman" w:cs="Arial"/>
          <w:color w:val="auto"/>
          <w:sz w:val="24"/>
          <w:lang w:eastAsia="cs-CZ"/>
        </w:rPr>
        <w:t>20</w:t>
      </w:r>
      <w:r w:rsidR="001D3469">
        <w:rPr>
          <w:rFonts w:eastAsia="Times New Roman" w:cs="Arial"/>
          <w:color w:val="auto"/>
          <w:sz w:val="24"/>
          <w:lang w:eastAsia="cs-CZ"/>
        </w:rPr>
        <w:t>23</w:t>
      </w:r>
      <w:r w:rsidRPr="00DE33D8" w:rsidR="001D3469">
        <w:rPr>
          <w:rFonts w:eastAsia="Times New Roman" w:cs="Arial"/>
          <w:color w:val="auto"/>
          <w:sz w:val="24"/>
          <w:lang w:eastAsia="cs-CZ"/>
        </w:rPr>
        <w:t xml:space="preserve"> </w:t>
      </w:r>
      <w:r w:rsidRPr="00DE33D8">
        <w:rPr>
          <w:rFonts w:eastAsia="Times New Roman" w:cs="Arial"/>
          <w:color w:val="auto"/>
          <w:sz w:val="24"/>
          <w:lang w:eastAsia="cs-CZ"/>
        </w:rPr>
        <w:t xml:space="preserve">zkušenost s užitím nelegální drogy někdy v životě uvedla </w:t>
      </w:r>
      <w:r w:rsidR="001D3469">
        <w:rPr>
          <w:rFonts w:eastAsia="Times New Roman" w:cs="Arial"/>
          <w:color w:val="auto"/>
          <w:sz w:val="24"/>
          <w:lang w:eastAsia="cs-CZ"/>
        </w:rPr>
        <w:t>28,8 %</w:t>
      </w:r>
      <w:r w:rsidRPr="00DE33D8">
        <w:rPr>
          <w:rFonts w:eastAsia="Times New Roman" w:cs="Arial"/>
          <w:color w:val="auto"/>
          <w:sz w:val="24"/>
          <w:lang w:eastAsia="cs-CZ"/>
        </w:rPr>
        <w:t xml:space="preserve"> populace ve věku 15–64 let (</w:t>
      </w:r>
      <w:r w:rsidRPr="001D3469" w:rsidR="001D3469">
        <w:rPr>
          <w:rFonts w:eastAsia="Times New Roman" w:cs="Arial"/>
          <w:color w:val="auto"/>
          <w:sz w:val="24"/>
          <w:lang w:eastAsia="cs-CZ"/>
        </w:rPr>
        <w:t>36,6 % mužů a 21,2 % žen</w:t>
      </w:r>
      <w:r w:rsidRPr="00DE33D8">
        <w:rPr>
          <w:rFonts w:eastAsia="Times New Roman" w:cs="Arial"/>
          <w:color w:val="auto"/>
          <w:sz w:val="24"/>
          <w:lang w:eastAsia="cs-CZ"/>
        </w:rPr>
        <w:t xml:space="preserve">Mezi dětmi a mládeží aktuálně klesá míra užívání návykových látek, zkušenosti s užíváním nelegálních drog mezi dětmi a mládeží jsou poměrně nízké. </w:t>
      </w:r>
    </w:p>
    <w:p w:rsidR="006C359E" w:rsidRPr="00DE33D8" w:rsidP="006C359E" w14:paraId="6BC21A2B" w14:textId="77777777">
      <w:pPr>
        <w:widowControl w:val="0"/>
        <w:suppressAutoHyphens/>
        <w:spacing w:before="0" w:after="0"/>
        <w:rPr>
          <w:rFonts w:eastAsia="Times New Roman" w:cs="Arial"/>
          <w:color w:val="auto"/>
          <w:sz w:val="24"/>
          <w:lang w:eastAsia="cs-CZ"/>
        </w:rPr>
      </w:pPr>
    </w:p>
    <w:p w:rsidR="001D3469" w:rsidRPr="001D3469" w:rsidP="001D3469" w14:paraId="3915C537" w14:textId="77777777">
      <w:pPr>
        <w:widowControl w:val="0"/>
        <w:suppressAutoHyphens/>
        <w:spacing w:before="0" w:after="0"/>
        <w:rPr>
          <w:rFonts w:eastAsia="Times New Roman" w:cs="Arial"/>
          <w:color w:val="auto"/>
          <w:sz w:val="24"/>
          <w:lang w:eastAsia="cs-CZ"/>
        </w:rPr>
      </w:pPr>
      <w:r w:rsidRPr="001D3469">
        <w:rPr>
          <w:rFonts w:eastAsia="Times New Roman" w:cs="Arial"/>
          <w:color w:val="auto"/>
          <w:sz w:val="24"/>
          <w:lang w:eastAsia="cs-CZ"/>
        </w:rPr>
        <w:t xml:space="preserve">Užívání nelegálních drog v posledních 30 dnech je v populaci 15+ let na minimální úrovni </w:t>
      </w:r>
    </w:p>
    <w:p w:rsidR="001D3469" w:rsidRPr="001D3469" w:rsidP="001D3469" w14:paraId="725DF6BE" w14:textId="34706F48">
      <w:pPr>
        <w:widowControl w:val="0"/>
        <w:suppressAutoHyphens/>
        <w:spacing w:before="0" w:after="0"/>
        <w:rPr>
          <w:rFonts w:eastAsia="Times New Roman" w:cs="Arial"/>
          <w:color w:val="auto"/>
          <w:sz w:val="24"/>
          <w:lang w:eastAsia="cs-CZ"/>
        </w:rPr>
      </w:pPr>
      <w:r w:rsidRPr="001D3469">
        <w:rPr>
          <w:rFonts w:eastAsia="Times New Roman" w:cs="Arial"/>
          <w:color w:val="auto"/>
          <w:sz w:val="24"/>
          <w:lang w:eastAsia="cs-CZ"/>
        </w:rPr>
        <w:t>a s výjimkou konopných látek (4,9 %) nepřesahuje hranici 0,7 %. Ve věkové skupině 15–34 let se nad touto hranicí pohybovalo užití extáze (2,2 %) a halucinogenních hub (0,8 %)</w:t>
      </w:r>
      <w:r>
        <w:rPr>
          <w:rFonts w:eastAsia="Times New Roman" w:cs="Arial"/>
          <w:color w:val="auto"/>
          <w:sz w:val="24"/>
          <w:lang w:eastAsia="cs-CZ"/>
        </w:rPr>
        <w:t>.</w:t>
      </w:r>
    </w:p>
    <w:p w:rsidR="001D3469" w:rsidRPr="001D3469" w:rsidP="001D3469" w14:paraId="19CFD5CE" w14:textId="77777777">
      <w:pPr>
        <w:widowControl w:val="0"/>
        <w:suppressAutoHyphens/>
        <w:spacing w:before="0" w:after="0"/>
        <w:rPr>
          <w:rFonts w:eastAsia="Times New Roman" w:cs="Arial"/>
          <w:color w:val="auto"/>
          <w:sz w:val="24"/>
          <w:lang w:eastAsia="cs-CZ"/>
        </w:rPr>
      </w:pPr>
      <w:r w:rsidRPr="001D3469">
        <w:rPr>
          <w:rFonts w:eastAsia="Times New Roman" w:cs="Arial"/>
          <w:color w:val="auto"/>
          <w:sz w:val="24"/>
          <w:lang w:eastAsia="cs-CZ"/>
        </w:rPr>
        <w:t xml:space="preserve">Ve srovnání s předchozí vlnou studie došlo v r. 2023 v populaci 15+ let k mírnému snížení míry </w:t>
      </w:r>
    </w:p>
    <w:p w:rsidR="006C359E" w:rsidRPr="00DE33D8" w:rsidP="006C359E" w14:paraId="22AC26A0" w14:textId="679FC746">
      <w:pPr>
        <w:widowControl w:val="0"/>
        <w:suppressAutoHyphens/>
        <w:spacing w:before="0" w:after="0"/>
        <w:rPr>
          <w:rFonts w:eastAsia="Times New Roman" w:cs="Arial"/>
          <w:color w:val="auto"/>
          <w:sz w:val="24"/>
          <w:lang w:eastAsia="cs-CZ"/>
        </w:rPr>
      </w:pPr>
      <w:r w:rsidRPr="001D3469">
        <w:rPr>
          <w:rFonts w:eastAsia="Times New Roman" w:cs="Arial"/>
          <w:color w:val="auto"/>
          <w:sz w:val="24"/>
          <w:lang w:eastAsia="cs-CZ"/>
        </w:rPr>
        <w:t>aktuálního užívání konopných látek (tj. v posledních 12 měsících), a to jak u mužů (12,8 % v</w:t>
      </w:r>
      <w:r w:rsidR="004433F0">
        <w:rPr>
          <w:rFonts w:eastAsia="Times New Roman" w:cs="Arial"/>
          <w:color w:val="auto"/>
          <w:sz w:val="24"/>
          <w:lang w:eastAsia="cs-CZ"/>
        </w:rPr>
        <w:t> </w:t>
      </w:r>
      <w:r w:rsidRPr="001D3469">
        <w:rPr>
          <w:rFonts w:eastAsia="Times New Roman" w:cs="Arial"/>
          <w:color w:val="auto"/>
          <w:sz w:val="24"/>
          <w:lang w:eastAsia="cs-CZ"/>
        </w:rPr>
        <w:t>r.</w:t>
      </w:r>
      <w:r w:rsidR="004433F0">
        <w:rPr>
          <w:rFonts w:eastAsia="Times New Roman" w:cs="Arial"/>
          <w:color w:val="auto"/>
          <w:sz w:val="24"/>
          <w:lang w:eastAsia="cs-CZ"/>
        </w:rPr>
        <w:t> </w:t>
      </w:r>
      <w:r w:rsidRPr="001D3469">
        <w:rPr>
          <w:rFonts w:eastAsia="Times New Roman" w:cs="Arial"/>
          <w:color w:val="auto"/>
          <w:sz w:val="24"/>
          <w:lang w:eastAsia="cs-CZ"/>
        </w:rPr>
        <w:t>2020 vs. 11,2 % v r. 2023), tak u žen (4,6 % vs. 3,8 %).</w:t>
      </w:r>
    </w:p>
    <w:p w:rsidR="006C359E" w:rsidRPr="00A955AF" w:rsidP="006C359E" w14:paraId="1761D1D5" w14:textId="01B11371">
      <w:pPr>
        <w:widowControl w:val="0"/>
        <w:suppressAutoHyphens/>
        <w:spacing w:before="0" w:after="0"/>
        <w:rPr>
          <w:rFonts w:cs="Times New Roman"/>
          <w:sz w:val="24"/>
        </w:rPr>
      </w:pPr>
      <w:r w:rsidRPr="00DE33D8">
        <w:rPr>
          <w:rFonts w:eastAsia="Times New Roman" w:cs="Arial"/>
          <w:color w:val="auto"/>
          <w:sz w:val="24"/>
          <w:lang w:eastAsia="cs-CZ"/>
        </w:rPr>
        <w:t>Podíl uživatelů nelegálních drog v kontaktu se systémem péče je poměrně vysoký. V kontaktu s adiktologickými službami je odhadem 45 tis. uživatelů nelegálních drog ročně.</w:t>
      </w:r>
      <w:r w:rsidR="00DE33D8">
        <w:rPr>
          <w:rFonts w:eastAsia="Times New Roman" w:cs="Arial"/>
          <w:color w:val="auto"/>
          <w:sz w:val="24"/>
          <w:lang w:eastAsia="cs-CZ"/>
        </w:rPr>
        <w:t xml:space="preserve"> </w:t>
      </w:r>
      <w:r w:rsidRPr="00DE33D8">
        <w:rPr>
          <w:rFonts w:eastAsia="Times New Roman" w:cs="Arial"/>
          <w:color w:val="auto"/>
          <w:sz w:val="24"/>
          <w:lang w:eastAsia="cs-CZ"/>
        </w:rPr>
        <w:t>Podrobnější charakteristiku současné situace v oblasti užívání návykových látek a jeho dopadů v ČR poskytuje např. Evaluace Národní strategie protidrogové politiky na období 2010–2018.</w:t>
      </w:r>
      <w:r w:rsidRPr="00DE33D8">
        <w:t xml:space="preserve"> </w:t>
      </w:r>
      <w:r w:rsidRPr="00DE33D8">
        <w:rPr>
          <w:rFonts w:eastAsia="Times New Roman" w:cs="Arial"/>
          <w:color w:val="auto"/>
          <w:sz w:val="24"/>
          <w:lang w:eastAsia="cs-CZ"/>
        </w:rPr>
        <w:t>Současná situace v oblasti užívání návykových látek a jeho dopadů v ČR podtrhuje potřebu významné intervence mimo jiné v posilování zdravotní gramotnosti nebo v programech odvykání užívání tabáku apod. Komplexní soubor cílů a priorit v této oblasti je detailněji rozpracován v Národní strategii prevence a snižování škod spojených se závislostním chováním 2019–2027 a jejím Akčním plánu.</w:t>
      </w:r>
    </w:p>
    <w:p w:rsidR="006C359E" w:rsidRPr="00A955AF" w:rsidP="006C359E" w14:paraId="1EBB8F61" w14:textId="77777777">
      <w:pPr>
        <w:rPr>
          <w:rFonts w:cs="Times New Roman"/>
          <w:sz w:val="24"/>
        </w:rPr>
      </w:pPr>
      <w:r w:rsidRPr="00A955AF">
        <w:rPr>
          <w:rFonts w:cs="Times New Roman"/>
          <w:sz w:val="24"/>
        </w:rPr>
        <w:t>Mezi rizikové faktory, které lidé ovlivňují sami svým chováním, lze zahrnout také vliv negativního působení světla v noci na cirkadiánní rytmus člověka, jakožto základní nástroj synchronizace lidského organismu s vnějším prostředím, a také vliv zejména modré složky světla na lidský organismus (ovlivnění cirkadiánního rytmu, psychického zdraví, sekrece některých hormonů atd.).</w:t>
      </w:r>
    </w:p>
    <w:p w:rsidR="006C359E" w:rsidRPr="00A955AF" w:rsidP="006C359E" w14:paraId="1C783C28" w14:textId="77777777">
      <w:pPr>
        <w:rPr>
          <w:rFonts w:cs="Times New Roman"/>
          <w:sz w:val="24"/>
        </w:rPr>
      </w:pPr>
      <w:r w:rsidRPr="00A955AF">
        <w:rPr>
          <w:rFonts w:cs="Times New Roman"/>
          <w:sz w:val="24"/>
        </w:rPr>
        <w:t>Podstatnou roli pro lidské zdraví hrají rizikové faktory vycházející z vnějšího prostředí, jako je vliv světla krátkých vlnových délek ve večerních a nočních hodinách a světelného znečištění obecně, znečištění jednotlivých složek životního prostředí, včetně problematiky mikroplastů, nanomateriálů aj. Nelze opomenout ani změnu klimatu a vliv z ní vyplývajících rizik pro lidské zdraví.</w:t>
      </w:r>
    </w:p>
    <w:p w:rsidR="006C359E" w:rsidRPr="00A955AF" w:rsidP="006C359E" w14:paraId="4BA87BAF" w14:textId="77777777">
      <w:pPr>
        <w:rPr>
          <w:rFonts w:cs="Times New Roman"/>
          <w:sz w:val="24"/>
        </w:rPr>
      </w:pPr>
      <w:r w:rsidRPr="00A955AF">
        <w:rPr>
          <w:rFonts w:cs="Times New Roman"/>
          <w:sz w:val="24"/>
        </w:rPr>
        <w:t xml:space="preserve">Negativní působení světla v noci na cirkadiánní rytmus člověka, jakožto základní nástroj synchronizace lidského organismu s vnějším prostředím, lze zahrnout mezi rizikové faktory, které lidé ovlivňují sami svým chováním, zejména co se týče účinků modré složky světla na lidský organismus (negativní ovlivnění cirkadiánního rytmu a psychického zdraví, přispění k rozvoji civilizačních chorob). </w:t>
      </w:r>
    </w:p>
    <w:p w:rsidR="006C359E" w:rsidP="006C359E" w14:paraId="199DC869" w14:textId="77777777">
      <w:pPr>
        <w:rPr>
          <w:rFonts w:cs="Times New Roman"/>
          <w:sz w:val="24"/>
        </w:rPr>
      </w:pPr>
      <w:r w:rsidRPr="00A955AF">
        <w:rPr>
          <w:rFonts w:cs="Times New Roman"/>
          <w:sz w:val="24"/>
        </w:rPr>
        <w:t>Z výše uvedených nálezů analýz je patrné, že primární prevence nemocí je oblastí, kterou je v ČR nutné zásadně posílit, a to zejména s ohledem na řadu rizikových ukazatelů zdravotního stavu obyvatel</w:t>
      </w:r>
      <w:r>
        <w:rPr>
          <w:rFonts w:cs="Times New Roman"/>
          <w:sz w:val="24"/>
        </w:rPr>
        <w:t>,</w:t>
      </w:r>
      <w:r w:rsidRPr="00A955AF">
        <w:rPr>
          <w:rFonts w:cs="Times New Roman"/>
          <w:sz w:val="24"/>
        </w:rPr>
        <w:t xml:space="preserve"> jako je obezita, nezdravý životní styl, </w:t>
      </w:r>
      <w:r w:rsidRPr="00A955AF">
        <w:rPr>
          <w:rFonts w:cstheme="minorHAnsi"/>
          <w:sz w:val="24"/>
          <w:szCs w:val="22"/>
        </w:rPr>
        <w:t>užívání tabáku</w:t>
      </w:r>
      <w:r w:rsidRPr="00A955AF">
        <w:rPr>
          <w:rFonts w:cs="Times New Roman"/>
          <w:sz w:val="24"/>
        </w:rPr>
        <w:t xml:space="preserve">, alkoholu apod. Je přitom nutné vytvořit dlouhodobější plán investic do této oblasti, neboť jejich návratnost nemusí být krátkodobá. </w:t>
      </w:r>
    </w:p>
    <w:p w:rsidR="006C359E" w:rsidRPr="00A955AF" w:rsidP="006C359E" w14:paraId="551E23D5" w14:textId="77777777">
      <w:pPr>
        <w:pStyle w:val="Podkapitola111opaten"/>
        <w:numPr>
          <w:ilvl w:val="2"/>
          <w:numId w:val="44"/>
        </w:numPr>
        <w:ind w:left="2160" w:hanging="360"/>
      </w:pPr>
      <w:bookmarkStart w:id="502" w:name="_Toc256000038"/>
      <w:r w:rsidRPr="00A955AF">
        <w:t>Specifický cíl 1.2</w:t>
      </w:r>
      <w:r>
        <w:t xml:space="preserve"> </w:t>
      </w:r>
      <w:r w:rsidRPr="00D43172">
        <w:t>‒</w:t>
      </w:r>
      <w:r w:rsidRPr="00A955AF">
        <w:t xml:space="preserve"> </w:t>
      </w:r>
      <w:r w:rsidRPr="004537D7">
        <w:t>Sekundární prevence a screeningové programy</w:t>
      </w:r>
      <w:bookmarkEnd w:id="502"/>
      <w:r w:rsidRPr="005436D9">
        <w:t xml:space="preserve"> </w:t>
      </w:r>
      <w:r w:rsidRPr="00CA1266">
        <w:t xml:space="preserve"> </w:t>
      </w:r>
    </w:p>
    <w:p w:rsidR="006C359E" w:rsidP="006C359E" w14:paraId="00518B5C" w14:textId="3C3E798A">
      <w:pPr>
        <w:rPr>
          <w:rFonts w:cs="Times New Roman"/>
          <w:sz w:val="24"/>
        </w:rPr>
      </w:pPr>
      <w:r w:rsidRPr="0029711E">
        <w:rPr>
          <w:rFonts w:cs="Times New Roman"/>
          <w:sz w:val="24"/>
        </w:rPr>
        <w:t xml:space="preserve">Národní screeningové centrum </w:t>
      </w:r>
      <w:r>
        <w:rPr>
          <w:rFonts w:cs="Times New Roman"/>
          <w:sz w:val="24"/>
        </w:rPr>
        <w:t xml:space="preserve">ÚZIS ČR </w:t>
      </w:r>
      <w:r w:rsidRPr="0029711E">
        <w:rPr>
          <w:rFonts w:cs="Times New Roman"/>
          <w:sz w:val="24"/>
        </w:rPr>
        <w:t>(dále jen „NSC“) zajišťuje metodickou, technickou, analytickou</w:t>
      </w:r>
      <w:r>
        <w:rPr>
          <w:rFonts w:cs="Times New Roman"/>
          <w:sz w:val="24"/>
        </w:rPr>
        <w:t xml:space="preserve"> </w:t>
      </w:r>
      <w:r w:rsidRPr="0029711E">
        <w:rPr>
          <w:rFonts w:cs="Times New Roman"/>
          <w:sz w:val="24"/>
        </w:rPr>
        <w:t>a koordinační podporu časného záchytu onemocnění v</w:t>
      </w:r>
      <w:r>
        <w:rPr>
          <w:rFonts w:cs="Times New Roman"/>
          <w:sz w:val="24"/>
        </w:rPr>
        <w:t> </w:t>
      </w:r>
      <w:r w:rsidRPr="0029711E">
        <w:rPr>
          <w:rFonts w:cs="Times New Roman"/>
          <w:sz w:val="24"/>
        </w:rPr>
        <w:t>ČR</w:t>
      </w:r>
      <w:r>
        <w:rPr>
          <w:rFonts w:cs="Times New Roman"/>
          <w:sz w:val="24"/>
        </w:rPr>
        <w:t>. Za tímto účelem Vláda ČR v květnu 2025 schválila</w:t>
      </w:r>
      <w:r w:rsidRPr="0029711E">
        <w:rPr>
          <w:rFonts w:cs="Times New Roman"/>
          <w:sz w:val="24"/>
        </w:rPr>
        <w:t xml:space="preserve"> jako orgán odpovědný za koordinaci screeningových programů v</w:t>
      </w:r>
      <w:r>
        <w:rPr>
          <w:rFonts w:cs="Times New Roman"/>
          <w:sz w:val="24"/>
        </w:rPr>
        <w:t> </w:t>
      </w:r>
      <w:r w:rsidRPr="0029711E">
        <w:rPr>
          <w:rFonts w:cs="Times New Roman"/>
          <w:sz w:val="24"/>
        </w:rPr>
        <w:t>České</w:t>
      </w:r>
      <w:r>
        <w:rPr>
          <w:rFonts w:cs="Times New Roman"/>
          <w:sz w:val="24"/>
        </w:rPr>
        <w:t xml:space="preserve"> </w:t>
      </w:r>
      <w:r w:rsidRPr="0029711E">
        <w:rPr>
          <w:rFonts w:cs="Times New Roman"/>
          <w:sz w:val="24"/>
        </w:rPr>
        <w:t>republice</w:t>
      </w:r>
      <w:r>
        <w:rPr>
          <w:rFonts w:cs="Times New Roman"/>
          <w:sz w:val="24"/>
        </w:rPr>
        <w:t xml:space="preserve">. Základní povinnosti a odpovědnosti NSC jsou promítnuty v dokumentu </w:t>
      </w:r>
      <w:hyperlink r:id="rId30" w:history="1">
        <w:r w:rsidRPr="008729A1" w:rsidR="00735A21">
          <w:rPr>
            <w:rStyle w:val="Hyperlink"/>
            <w:rFonts w:cs="Times New Roman"/>
            <w:i/>
            <w:iCs/>
            <w:noProof w:val="0"/>
            <w:sz w:val="24"/>
          </w:rPr>
          <w:t>Program Národního screeningového centra</w:t>
        </w:r>
      </w:hyperlink>
      <w:r w:rsidRPr="00BB7C6B" w:rsidR="00735A21">
        <w:rPr>
          <w:rFonts w:cs="Times New Roman"/>
          <w:sz w:val="24"/>
        </w:rPr>
        <w:t>.</w:t>
      </w:r>
    </w:p>
    <w:p w:rsidR="006C359E" w:rsidP="006C359E" w14:paraId="535BE7E4" w14:textId="06ED4544">
      <w:pPr>
        <w:rPr>
          <w:rFonts w:cs="Times New Roman"/>
          <w:sz w:val="24"/>
        </w:rPr>
      </w:pPr>
      <w:r w:rsidRPr="00E33DE8">
        <w:rPr>
          <w:rFonts w:cs="Times New Roman"/>
          <w:sz w:val="24"/>
        </w:rPr>
        <w:t>Pro zajištění dlouhodobé udržitelnosti a kvality screeningových programů v ČR je zásadní erudovaný multidisciplinární tým realizující své činnosti dle vědecky podložené</w:t>
      </w:r>
      <w:r>
        <w:rPr>
          <w:rFonts w:cs="Times New Roman"/>
          <w:sz w:val="24"/>
        </w:rPr>
        <w:t>ho</w:t>
      </w:r>
      <w:r w:rsidRPr="00E33DE8">
        <w:rPr>
          <w:rFonts w:cs="Times New Roman"/>
          <w:sz w:val="24"/>
        </w:rPr>
        <w:t xml:space="preserve"> a všeobecně akceptovaného metodického rámce. Právě za tímto účelem NSC vytvořilo sérii metodických dokumentů, které definují jednotlivé fáze životního cyklu programů časného záchytu onemocnění</w:t>
      </w:r>
      <w:r>
        <w:rPr>
          <w:rFonts w:cs="Times New Roman"/>
          <w:sz w:val="24"/>
        </w:rPr>
        <w:t xml:space="preserve"> (od posouzení návrhu programu a hodnocení zdravotnické technologie, realizaci pilotní fáze až po případnou implementaci do systému českého zdravotnictví včetně nastavení pravidelného monitoringu a evaluace programu)</w:t>
      </w:r>
      <w:r w:rsidRPr="00E33DE8">
        <w:rPr>
          <w:rFonts w:cs="Times New Roman"/>
          <w:sz w:val="24"/>
        </w:rPr>
        <w:t xml:space="preserve">. NSC poskytuje </w:t>
      </w:r>
      <w:r>
        <w:rPr>
          <w:rFonts w:cs="Times New Roman"/>
          <w:sz w:val="24"/>
        </w:rPr>
        <w:t xml:space="preserve">koordinační, </w:t>
      </w:r>
      <w:r w:rsidRPr="00E33DE8">
        <w:rPr>
          <w:rFonts w:cs="Times New Roman"/>
          <w:sz w:val="24"/>
        </w:rPr>
        <w:t xml:space="preserve">metodické, administrativní a analytické zázemí pro řídicí orgány, které jsou zřízeny za účelem odborného zajištění specifických oblastí. </w:t>
      </w:r>
      <w:r w:rsidRPr="00E33DE8">
        <w:rPr>
          <w:rFonts w:cs="Times New Roman"/>
          <w:i/>
          <w:iCs/>
          <w:sz w:val="24"/>
        </w:rPr>
        <w:t>Rada Národního screeningového centra</w:t>
      </w:r>
      <w:r w:rsidRPr="00E33DE8">
        <w:rPr>
          <w:rFonts w:cs="Times New Roman"/>
          <w:sz w:val="24"/>
        </w:rPr>
        <w:t xml:space="preserve"> zaštiťuje tvorbu koncepčních doporučení v oblasti řízení programů časného záchytu a prevence onemocnění v</w:t>
      </w:r>
      <w:r w:rsidR="00FD59FF">
        <w:rPr>
          <w:rFonts w:cs="Times New Roman"/>
          <w:sz w:val="24"/>
        </w:rPr>
        <w:t> </w:t>
      </w:r>
      <w:r w:rsidRPr="00E33DE8">
        <w:rPr>
          <w:rFonts w:cs="Times New Roman"/>
          <w:sz w:val="24"/>
        </w:rPr>
        <w:t xml:space="preserve">ČR a kontroluje naplňování národních strategií v této oblasti. Rada NSC se podílí na formulaci strategie Národního screeningového centra. Předsedou Rady NSC je ministr zdravotnictví, místopředsedou je ředitel ÚZIS ČR. </w:t>
      </w:r>
      <w:r w:rsidRPr="000419BD">
        <w:rPr>
          <w:rFonts w:cs="Times New Roman"/>
          <w:i/>
          <w:iCs/>
          <w:sz w:val="24"/>
        </w:rPr>
        <w:t>Řídicí komise</w:t>
      </w:r>
      <w:r w:rsidRPr="00E33DE8">
        <w:rPr>
          <w:rFonts w:cs="Times New Roman"/>
          <w:sz w:val="24"/>
        </w:rPr>
        <w:t xml:space="preserve"> screeningových programů jsou zřízeny pro všechny celoplošné </w:t>
      </w:r>
      <w:r>
        <w:rPr>
          <w:rFonts w:cs="Times New Roman"/>
          <w:sz w:val="24"/>
        </w:rPr>
        <w:t xml:space="preserve">a některé připravované </w:t>
      </w:r>
      <w:r w:rsidRPr="00E33DE8">
        <w:rPr>
          <w:rFonts w:cs="Times New Roman"/>
          <w:sz w:val="24"/>
        </w:rPr>
        <w:t xml:space="preserve">screeningové programy příkazem ministra zdravotnictví. Úkolem těchto řídicích komisí je koncepční řízení screeningového programu, koordinace zapojených odborností a průběžný monitoring programu a dále podílení </w:t>
      </w:r>
      <w:r>
        <w:rPr>
          <w:rFonts w:cs="Times New Roman"/>
          <w:sz w:val="24"/>
        </w:rPr>
        <w:t xml:space="preserve">se </w:t>
      </w:r>
      <w:r w:rsidRPr="00E33DE8">
        <w:rPr>
          <w:rFonts w:cs="Times New Roman"/>
          <w:sz w:val="24"/>
        </w:rPr>
        <w:t xml:space="preserve">na tvorbě sítě screeningových pracovišť. Soustavné budování komplexní datové základny screeningových programů patří mezi nosné pilíře řízení kvality a efektivity screeningových programů založených na datech z reálné klinické praxe. Probíhá pravidelná evaluace screeningových programů. Je vytvořen funkční systém individuálních reportů pro poskytovatele zdravotních služeb v oblasti screeningových programů a veřejně dostupných analytických a informačních podkladů zpřístupněných na </w:t>
      </w:r>
      <w:hyperlink r:id="rId31" w:history="1">
        <w:r w:rsidRPr="008729A1" w:rsidR="00735A21">
          <w:rPr>
            <w:rStyle w:val="Hyperlink"/>
            <w:rFonts w:cs="Times New Roman"/>
            <w:noProof w:val="0"/>
            <w:sz w:val="24"/>
          </w:rPr>
          <w:t>datovém portálu screeningových programů</w:t>
        </w:r>
      </w:hyperlink>
      <w:r w:rsidRPr="00E33DE8">
        <w:rPr>
          <w:rFonts w:cs="Times New Roman"/>
          <w:sz w:val="24"/>
        </w:rPr>
        <w:t xml:space="preserve"> </w:t>
      </w:r>
      <w:r>
        <w:rPr>
          <w:rFonts w:cs="Times New Roman"/>
          <w:sz w:val="24"/>
        </w:rPr>
        <w:t xml:space="preserve">a v rámci jednotlivých webových stránek plošných screeningových programů (rozcestník je dostupný </w:t>
      </w:r>
      <w:hyperlink r:id="rId32" w:history="1">
        <w:r w:rsidRPr="000419BD">
          <w:rPr>
            <w:rStyle w:val="Hyperlink"/>
            <w:rFonts w:cs="Times New Roman"/>
            <w:noProof w:val="0"/>
            <w:sz w:val="24"/>
          </w:rPr>
          <w:t>zde</w:t>
        </w:r>
      </w:hyperlink>
      <w:r>
        <w:rPr>
          <w:rFonts w:cs="Times New Roman"/>
          <w:sz w:val="24"/>
        </w:rPr>
        <w:t>). NSC se též podílí na realizaci řady pilotních projektů časného záchytu potenciálně vhodných pro zavedení v systému českého zdravotnictví v rámci implementačních výzkumných aktivit. Dále spolupracuje na mezinárodních projektech a</w:t>
      </w:r>
      <w:r w:rsidR="004433F0">
        <w:rPr>
          <w:rFonts w:cs="Times New Roman"/>
          <w:sz w:val="24"/>
        </w:rPr>
        <w:t> </w:t>
      </w:r>
      <w:r>
        <w:rPr>
          <w:rFonts w:cs="Times New Roman"/>
          <w:sz w:val="24"/>
        </w:rPr>
        <w:t xml:space="preserve">vědeckovýzkumných aktivitách. </w:t>
      </w:r>
      <w:r w:rsidRPr="00E33DE8">
        <w:rPr>
          <w:rFonts w:cs="Times New Roman"/>
          <w:b/>
          <w:bCs/>
          <w:sz w:val="24"/>
        </w:rPr>
        <w:t>Tento komplex činností vyžaduje silné personální</w:t>
      </w:r>
      <w:r>
        <w:rPr>
          <w:rFonts w:cs="Times New Roman"/>
          <w:b/>
          <w:bCs/>
          <w:sz w:val="24"/>
        </w:rPr>
        <w:t xml:space="preserve"> a</w:t>
      </w:r>
      <w:r w:rsidR="004433F0">
        <w:rPr>
          <w:rFonts w:cs="Times New Roman"/>
          <w:b/>
          <w:bCs/>
          <w:sz w:val="24"/>
        </w:rPr>
        <w:t> </w:t>
      </w:r>
      <w:r>
        <w:rPr>
          <w:rFonts w:cs="Times New Roman"/>
          <w:b/>
          <w:bCs/>
          <w:sz w:val="24"/>
        </w:rPr>
        <w:t>metodické</w:t>
      </w:r>
      <w:r w:rsidRPr="00E33DE8">
        <w:rPr>
          <w:rFonts w:cs="Times New Roman"/>
          <w:b/>
          <w:bCs/>
          <w:sz w:val="24"/>
        </w:rPr>
        <w:t xml:space="preserve"> </w:t>
      </w:r>
      <w:r>
        <w:rPr>
          <w:rFonts w:cs="Times New Roman"/>
          <w:b/>
          <w:bCs/>
          <w:sz w:val="24"/>
        </w:rPr>
        <w:t>zázemí</w:t>
      </w:r>
      <w:r w:rsidRPr="00E33DE8">
        <w:rPr>
          <w:rFonts w:cs="Times New Roman"/>
          <w:b/>
          <w:bCs/>
          <w:sz w:val="24"/>
        </w:rPr>
        <w:t>, které je pro udržitelnost celého systému řízení sekundární prevence a</w:t>
      </w:r>
      <w:r w:rsidR="004433F0">
        <w:rPr>
          <w:rFonts w:cs="Times New Roman"/>
          <w:b/>
          <w:bCs/>
          <w:sz w:val="24"/>
        </w:rPr>
        <w:t> </w:t>
      </w:r>
      <w:r w:rsidRPr="00E33DE8">
        <w:rPr>
          <w:rFonts w:cs="Times New Roman"/>
          <w:b/>
          <w:bCs/>
          <w:sz w:val="24"/>
        </w:rPr>
        <w:t>jeho rozvoj zásadní</w:t>
      </w:r>
      <w:r>
        <w:rPr>
          <w:rFonts w:cs="Times New Roman"/>
          <w:sz w:val="24"/>
        </w:rPr>
        <w:t>.</w:t>
      </w:r>
    </w:p>
    <w:p w:rsidR="006C359E" w:rsidRPr="00E33DE8" w:rsidP="006C359E" w14:paraId="07DBFAC3" w14:textId="77777777">
      <w:pPr>
        <w:rPr>
          <w:rFonts w:cs="Times New Roman"/>
          <w:sz w:val="24"/>
        </w:rPr>
      </w:pPr>
      <w:r w:rsidRPr="00E33DE8">
        <w:rPr>
          <w:rFonts w:cs="Times New Roman"/>
          <w:sz w:val="24"/>
        </w:rPr>
        <w:t xml:space="preserve">Díky </w:t>
      </w:r>
      <w:r w:rsidRPr="00E33DE8">
        <w:rPr>
          <w:rFonts w:cs="Times New Roman"/>
          <w:b/>
          <w:bCs/>
          <w:sz w:val="24"/>
        </w:rPr>
        <w:t>mamografickému screeningovému programu</w:t>
      </w:r>
      <w:r w:rsidRPr="00E33DE8">
        <w:rPr>
          <w:rFonts w:cs="Times New Roman"/>
          <w:sz w:val="24"/>
        </w:rPr>
        <w:t xml:space="preserve"> se zvyšuje podíl časně zachycených karcinomů prsu a </w:t>
      </w:r>
      <w:r>
        <w:rPr>
          <w:rFonts w:cs="Times New Roman"/>
          <w:sz w:val="24"/>
        </w:rPr>
        <w:t>od zavedení screeningu došlo k poklesu mortality na toto zhoubné onemocnění o více než 30 %. K</w:t>
      </w:r>
      <w:r w:rsidRPr="00E33DE8">
        <w:rPr>
          <w:rFonts w:cs="Times New Roman"/>
          <w:sz w:val="24"/>
        </w:rPr>
        <w:t>arcinom prsu je přesto stále druhou nejčastější nádorovou příčinou úmrtí (po nádorech plic) u žen</w:t>
      </w:r>
      <w:r>
        <w:rPr>
          <w:rFonts w:cs="Times New Roman"/>
          <w:sz w:val="24"/>
        </w:rPr>
        <w:t xml:space="preserve"> v ČR</w:t>
      </w:r>
      <w:r w:rsidRPr="00E33DE8">
        <w:rPr>
          <w:rFonts w:cs="Times New Roman"/>
          <w:sz w:val="24"/>
        </w:rPr>
        <w:t xml:space="preserve">. Screening ve dvouletém intervalu pokrývá přibližně 60 % žen ve věku 45-69 let, v </w:t>
      </w:r>
      <w:r>
        <w:rPr>
          <w:rFonts w:cs="Times New Roman"/>
          <w:sz w:val="24"/>
        </w:rPr>
        <w:t>rámci okresů sledujeme velkou variabilitu a v některých oblastech dosahuje pokrytí méně než</w:t>
      </w:r>
      <w:r w:rsidRPr="00E33DE8">
        <w:rPr>
          <w:rFonts w:cs="Times New Roman"/>
          <w:sz w:val="24"/>
        </w:rPr>
        <w:t xml:space="preserve"> 50 %. Většina žen přichází na screening se žádankou od gynekologa, role praktických lékařů je prozatím nižší. Téměř 60 % karcinomů prsu u žen ve věku nad 45 let je detekováno ve screeningu, </w:t>
      </w:r>
      <w:r>
        <w:rPr>
          <w:rFonts w:cs="Times New Roman"/>
          <w:sz w:val="24"/>
        </w:rPr>
        <w:t>více než</w:t>
      </w:r>
      <w:r w:rsidRPr="00E33DE8">
        <w:rPr>
          <w:rFonts w:cs="Times New Roman"/>
          <w:sz w:val="24"/>
        </w:rPr>
        <w:t xml:space="preserve"> 70 % těchto nádorů je neinvazivních nebo ve stadiu I; takové nádory je možné velmi dobře léčit s</w:t>
      </w:r>
      <w:r>
        <w:rPr>
          <w:rFonts w:cs="Times New Roman"/>
          <w:sz w:val="24"/>
        </w:rPr>
        <w:t> </w:t>
      </w:r>
      <w:r w:rsidRPr="00E33DE8">
        <w:rPr>
          <w:rFonts w:cs="Times New Roman"/>
          <w:sz w:val="24"/>
        </w:rPr>
        <w:t>téměř 100% nadějí na pětileté relativní přežití.</w:t>
      </w:r>
    </w:p>
    <w:p w:rsidR="006C359E" w:rsidRPr="00E33DE8" w:rsidP="006C359E" w14:paraId="1D2FC00B" w14:textId="77777777">
      <w:pPr>
        <w:rPr>
          <w:rFonts w:cs="Times New Roman"/>
          <w:sz w:val="24"/>
        </w:rPr>
      </w:pPr>
      <w:r w:rsidRPr="00E33DE8">
        <w:rPr>
          <w:rFonts w:cs="Times New Roman"/>
          <w:sz w:val="24"/>
        </w:rPr>
        <w:t xml:space="preserve">Pokrytí </w:t>
      </w:r>
      <w:r w:rsidRPr="00E33DE8">
        <w:rPr>
          <w:rFonts w:cs="Times New Roman"/>
          <w:b/>
          <w:bCs/>
          <w:sz w:val="24"/>
        </w:rPr>
        <w:t>screeningem kolorektálního karcinomu</w:t>
      </w:r>
      <w:r w:rsidRPr="00E33DE8">
        <w:rPr>
          <w:rFonts w:cs="Times New Roman"/>
          <w:sz w:val="24"/>
        </w:rPr>
        <w:t xml:space="preserve"> u cílové populace mužů a žen ve věku od 50 let se ustálilo na úrovni přibližně 30 %. V</w:t>
      </w:r>
      <w:r>
        <w:rPr>
          <w:rFonts w:cs="Times New Roman"/>
          <w:sz w:val="24"/>
        </w:rPr>
        <w:t> </w:t>
      </w:r>
      <w:r w:rsidRPr="00E33DE8">
        <w:rPr>
          <w:rFonts w:cs="Times New Roman"/>
          <w:sz w:val="24"/>
        </w:rPr>
        <w:t xml:space="preserve">tříletém intervalu dosahuje úplné pokrytí cílové </w:t>
      </w:r>
      <w:r w:rsidRPr="00E33DE8">
        <w:rPr>
          <w:rFonts w:cs="Times New Roman"/>
          <w:sz w:val="24"/>
        </w:rPr>
        <w:t>populace vyšetřeními hodnot okolo 50 %. Míra účasti na navazující kolonoskopii po pozitivním screeningovém testu na okultní krvácení do stolice (TOKS) se v</w:t>
      </w:r>
      <w:r>
        <w:rPr>
          <w:rFonts w:cs="Times New Roman"/>
          <w:sz w:val="24"/>
        </w:rPr>
        <w:t> </w:t>
      </w:r>
      <w:r w:rsidRPr="00E33DE8">
        <w:rPr>
          <w:rFonts w:cs="Times New Roman"/>
          <w:sz w:val="24"/>
        </w:rPr>
        <w:t>čase pohybuje pouze mezi 60 a 70 %. V</w:t>
      </w:r>
      <w:r>
        <w:rPr>
          <w:rFonts w:cs="Times New Roman"/>
          <w:sz w:val="24"/>
        </w:rPr>
        <w:t> </w:t>
      </w:r>
      <w:r w:rsidRPr="00E33DE8">
        <w:rPr>
          <w:rFonts w:cs="Times New Roman"/>
          <w:sz w:val="24"/>
        </w:rPr>
        <w:t>rámci indikátoru pozitivita screeningového TOKS došlo v</w:t>
      </w:r>
      <w:r>
        <w:rPr>
          <w:rFonts w:cs="Times New Roman"/>
          <w:sz w:val="24"/>
        </w:rPr>
        <w:t> </w:t>
      </w:r>
      <w:r w:rsidRPr="00E33DE8">
        <w:rPr>
          <w:rFonts w:cs="Times New Roman"/>
          <w:sz w:val="24"/>
        </w:rPr>
        <w:t>posledních letech ke zvýšení pozitivity až na úroveň 10 %, což se projevilo i na nárůstu průměrné čekací doby na navazující TOKS+ kolonoskopii. I přes identifikované rezervy screeningového programu dochází dlouhodobě ke zřetelnému poklesu incidence i mortality</w:t>
      </w:r>
      <w:r>
        <w:rPr>
          <w:rFonts w:cs="Times New Roman"/>
          <w:sz w:val="24"/>
        </w:rPr>
        <w:t xml:space="preserve"> (od zavedení screeningu v případě incidence o více než 30 % a u mortality a více než 45 %)</w:t>
      </w:r>
      <w:r w:rsidRPr="00E33DE8">
        <w:rPr>
          <w:rFonts w:cs="Times New Roman"/>
          <w:sz w:val="24"/>
        </w:rPr>
        <w:t xml:space="preserve"> kolorektálního karcinomu.</w:t>
      </w:r>
    </w:p>
    <w:p w:rsidR="006C359E" w:rsidP="006C359E" w14:paraId="4BE7181F" w14:textId="3008D5D4">
      <w:pPr>
        <w:rPr>
          <w:rFonts w:cs="Times New Roman"/>
          <w:sz w:val="24"/>
        </w:rPr>
      </w:pPr>
      <w:r w:rsidRPr="00E33DE8">
        <w:rPr>
          <w:rFonts w:cs="Times New Roman"/>
          <w:b/>
          <w:bCs/>
          <w:sz w:val="24"/>
        </w:rPr>
        <w:t>Screeningem karcinomu děložního hrdla</w:t>
      </w:r>
      <w:r w:rsidRPr="00E33DE8">
        <w:rPr>
          <w:rFonts w:cs="Times New Roman"/>
          <w:sz w:val="24"/>
        </w:rPr>
        <w:t xml:space="preserve"> je v</w:t>
      </w:r>
      <w:r>
        <w:rPr>
          <w:rFonts w:cs="Times New Roman"/>
          <w:sz w:val="24"/>
        </w:rPr>
        <w:t> </w:t>
      </w:r>
      <w:r w:rsidRPr="00E33DE8">
        <w:rPr>
          <w:rFonts w:cs="Times New Roman"/>
          <w:sz w:val="24"/>
        </w:rPr>
        <w:t>tříletém intervalu pokryto 80 % žen ve věku 25-49 let, u žen nad 60 let klesá pod 65 %, což je spojeno s</w:t>
      </w:r>
      <w:r>
        <w:rPr>
          <w:rFonts w:cs="Times New Roman"/>
          <w:sz w:val="24"/>
        </w:rPr>
        <w:t> </w:t>
      </w:r>
      <w:r w:rsidRPr="00E33DE8">
        <w:rPr>
          <w:rFonts w:cs="Times New Roman"/>
          <w:sz w:val="24"/>
        </w:rPr>
        <w:t>pokročilými onemocněními v</w:t>
      </w:r>
      <w:r>
        <w:rPr>
          <w:rFonts w:cs="Times New Roman"/>
          <w:sz w:val="24"/>
        </w:rPr>
        <w:t> </w:t>
      </w:r>
      <w:r w:rsidRPr="00E33DE8">
        <w:rPr>
          <w:rFonts w:cs="Times New Roman"/>
          <w:sz w:val="24"/>
        </w:rPr>
        <w:t xml:space="preserve">této věkové skupině. Mezi ženami podstupujícími ve věku 35 a 45 let preventivní prohlídku podstupuje 76 % nově dostupný ko-test </w:t>
      </w:r>
      <w:r>
        <w:rPr>
          <w:rFonts w:cs="Times New Roman"/>
          <w:sz w:val="24"/>
        </w:rPr>
        <w:t>pro detekci vysokorizikových virů</w:t>
      </w:r>
      <w:r w:rsidRPr="00E33DE8">
        <w:rPr>
          <w:rFonts w:cs="Times New Roman"/>
          <w:sz w:val="24"/>
        </w:rPr>
        <w:t xml:space="preserve"> HPV. Incidence a</w:t>
      </w:r>
      <w:r w:rsidR="00FC5DCD">
        <w:rPr>
          <w:rFonts w:cs="Times New Roman"/>
          <w:sz w:val="24"/>
        </w:rPr>
        <w:t> </w:t>
      </w:r>
      <w:r w:rsidRPr="00E33DE8">
        <w:rPr>
          <w:rFonts w:cs="Times New Roman"/>
          <w:sz w:val="24"/>
        </w:rPr>
        <w:t>mortalita karcinomu děložního hrdla za posledních 10 let poklesla o čtvrtinu, mortalita je však stále vyšší než v</w:t>
      </w:r>
      <w:r>
        <w:rPr>
          <w:rFonts w:cs="Times New Roman"/>
          <w:sz w:val="24"/>
        </w:rPr>
        <w:t> </w:t>
      </w:r>
      <w:r w:rsidRPr="00E33DE8">
        <w:rPr>
          <w:rFonts w:cs="Times New Roman"/>
          <w:sz w:val="24"/>
        </w:rPr>
        <w:t xml:space="preserve">zemích západní a severní Evropy. </w:t>
      </w:r>
    </w:p>
    <w:p w:rsidR="006C359E" w:rsidRPr="00E33DE8" w:rsidP="06339645" w14:paraId="7B954AF4" w14:textId="6E3F657A">
      <w:pPr>
        <w:rPr>
          <w:rFonts w:cs="Times New Roman"/>
          <w:sz w:val="24"/>
        </w:rPr>
      </w:pPr>
      <w:r w:rsidRPr="06339645">
        <w:rPr>
          <w:rFonts w:cs="Times New Roman"/>
          <w:sz w:val="24"/>
        </w:rPr>
        <w:t>V lednu 2014 bylo v České republice</w:t>
      </w:r>
      <w:r w:rsidR="00F74DE5">
        <w:rPr>
          <w:rFonts w:cs="Times New Roman"/>
          <w:sz w:val="24"/>
        </w:rPr>
        <w:t xml:space="preserve"> prostřednictvím programu zdravotních pojišťoven</w:t>
      </w:r>
      <w:r w:rsidRPr="06339645">
        <w:rPr>
          <w:rFonts w:cs="Times New Roman"/>
          <w:sz w:val="24"/>
        </w:rPr>
        <w:t xml:space="preserve"> zahájeno </w:t>
      </w:r>
      <w:r w:rsidRPr="06339645">
        <w:rPr>
          <w:rFonts w:cs="Times New Roman"/>
          <w:b/>
          <w:bCs/>
          <w:sz w:val="24"/>
        </w:rPr>
        <w:t>adresné zvaní</w:t>
      </w:r>
      <w:r w:rsidRPr="06339645">
        <w:rPr>
          <w:rFonts w:cs="Times New Roman"/>
          <w:sz w:val="24"/>
        </w:rPr>
        <w:t xml:space="preserve"> té části populace, která spadá do rizikového věku a dosud se neúčastnila populačního screeningového programu zaměřeného na časnou detekci jednoho ze tří typů zhoubných nádorů, prsu, tlustého střeva a konečníku a</w:t>
      </w:r>
      <w:r w:rsidR="00FC5DCD">
        <w:rPr>
          <w:rFonts w:cs="Times New Roman"/>
          <w:sz w:val="24"/>
        </w:rPr>
        <w:t> </w:t>
      </w:r>
      <w:r w:rsidRPr="06339645">
        <w:rPr>
          <w:rFonts w:cs="Times New Roman"/>
          <w:sz w:val="24"/>
        </w:rPr>
        <w:t>děložního</w:t>
      </w:r>
      <w:r w:rsidRPr="06339645" w:rsidR="2E4A8890">
        <w:rPr>
          <w:rFonts w:cs="Times New Roman"/>
          <w:sz w:val="24"/>
        </w:rPr>
        <w:t xml:space="preserve"> hrdla</w:t>
      </w:r>
      <w:r w:rsidRPr="06339645">
        <w:rPr>
          <w:rFonts w:cs="Times New Roman"/>
          <w:sz w:val="24"/>
        </w:rPr>
        <w:t>.</w:t>
      </w:r>
      <w:r>
        <w:t xml:space="preserve"> D</w:t>
      </w:r>
      <w:r w:rsidRPr="06339645">
        <w:rPr>
          <w:rFonts w:cs="Times New Roman"/>
          <w:sz w:val="24"/>
        </w:rPr>
        <w:t>osavadní systém adresného zvaní dosahuje relativně významné odezvy u</w:t>
      </w:r>
      <w:r w:rsidR="00FC5DCD">
        <w:rPr>
          <w:rFonts w:cs="Times New Roman"/>
          <w:sz w:val="24"/>
        </w:rPr>
        <w:t> </w:t>
      </w:r>
      <w:r w:rsidRPr="06339645">
        <w:rPr>
          <w:rFonts w:cs="Times New Roman"/>
          <w:sz w:val="24"/>
        </w:rPr>
        <w:t>poprvé pozvaných, s</w:t>
      </w:r>
      <w:r w:rsidR="004433F0">
        <w:rPr>
          <w:rFonts w:cs="Times New Roman"/>
          <w:sz w:val="24"/>
        </w:rPr>
        <w:t> </w:t>
      </w:r>
      <w:r w:rsidRPr="06339645">
        <w:rPr>
          <w:rFonts w:cs="Times New Roman"/>
          <w:sz w:val="24"/>
        </w:rPr>
        <w:t>opakovanými pozvánkami nezapojeným občanům pak míra účasti významně klesá. Dosud získaná data ukazují na potřebu systém zvaní modifikovat – zejména u opakovaných pozvánek.</w:t>
      </w:r>
    </w:p>
    <w:p w:rsidR="006C359E" w:rsidRPr="00E33DE8" w:rsidP="006C359E" w14:paraId="29696FD9" w14:textId="350B9BC2">
      <w:pPr>
        <w:rPr>
          <w:rFonts w:cs="Times New Roman"/>
          <w:sz w:val="24"/>
        </w:rPr>
      </w:pPr>
      <w:r w:rsidRPr="00E33DE8">
        <w:rPr>
          <w:rFonts w:cs="Times New Roman"/>
          <w:sz w:val="24"/>
        </w:rPr>
        <w:t>Zhoubné nádory plic a prostaty patří mezi populačně nejzávažnější nádorová onemocnění v</w:t>
      </w:r>
      <w:r>
        <w:rPr>
          <w:rFonts w:cs="Times New Roman"/>
          <w:sz w:val="24"/>
        </w:rPr>
        <w:t> </w:t>
      </w:r>
      <w:r w:rsidRPr="00E33DE8">
        <w:rPr>
          <w:rFonts w:cs="Times New Roman"/>
          <w:sz w:val="24"/>
        </w:rPr>
        <w:t>ČR. Karcinom plic představuje s</w:t>
      </w:r>
      <w:r>
        <w:rPr>
          <w:rFonts w:cs="Times New Roman"/>
          <w:sz w:val="24"/>
        </w:rPr>
        <w:t> </w:t>
      </w:r>
      <w:r w:rsidRPr="00E33DE8">
        <w:rPr>
          <w:rFonts w:cs="Times New Roman"/>
          <w:sz w:val="24"/>
        </w:rPr>
        <w:t>více než 5 tisíci úmrtí ročně nejčastější nádorovou příčinu úmrtí. Přibližně 1500 mužů ročně podlehne karcinomu prostaty a v</w:t>
      </w:r>
      <w:r>
        <w:rPr>
          <w:rFonts w:cs="Times New Roman"/>
          <w:sz w:val="24"/>
        </w:rPr>
        <w:t> </w:t>
      </w:r>
      <w:r w:rsidRPr="00E33DE8">
        <w:rPr>
          <w:rFonts w:cs="Times New Roman"/>
          <w:sz w:val="24"/>
        </w:rPr>
        <w:t xml:space="preserve">mužské populaci se tak jedná o třetí nejzávažnější nádorovou příčinu úmrtí. Aktuální vědecké poznatky podporují zavádění organizovaného časného záchytu karcinomu prostaty i plic. </w:t>
      </w:r>
      <w:r w:rsidRPr="00E33DE8">
        <w:rPr>
          <w:rFonts w:cs="Times New Roman"/>
          <w:b/>
          <w:bCs/>
          <w:sz w:val="24"/>
        </w:rPr>
        <w:t>Populační pilotní program časného záchytu karcinomu plic</w:t>
      </w:r>
      <w:r w:rsidRPr="00E33DE8">
        <w:rPr>
          <w:rFonts w:cs="Times New Roman"/>
          <w:sz w:val="24"/>
        </w:rPr>
        <w:t xml:space="preserve"> byl zahájen v</w:t>
      </w:r>
      <w:r>
        <w:rPr>
          <w:rFonts w:cs="Times New Roman"/>
          <w:sz w:val="24"/>
        </w:rPr>
        <w:t> </w:t>
      </w:r>
      <w:r w:rsidRPr="00E33DE8">
        <w:rPr>
          <w:rFonts w:cs="Times New Roman"/>
          <w:sz w:val="24"/>
        </w:rPr>
        <w:t>roce 2022. Cílovou populací pro zařazení do programu jsou bývalí či současní kuřáci ve věku 55-74 let se zátěží alespoň 20 balíčkoroků. Praktičtí lékaři odesílají osoby splňující vstupní kritéria k</w:t>
      </w:r>
      <w:r>
        <w:rPr>
          <w:rFonts w:cs="Times New Roman"/>
          <w:sz w:val="24"/>
        </w:rPr>
        <w:t> </w:t>
      </w:r>
      <w:r w:rsidRPr="00E33DE8">
        <w:rPr>
          <w:rFonts w:cs="Times New Roman"/>
          <w:sz w:val="24"/>
        </w:rPr>
        <w:t xml:space="preserve">následnému vyšetření ambulantním pneumologem. Účastník je dále odeslán na screeningové nízkodávkové CT (LDCT) na akreditované radiologické pracoviště. </w:t>
      </w:r>
      <w:r w:rsidRPr="00922806">
        <w:rPr>
          <w:rFonts w:cs="Times New Roman"/>
          <w:sz w:val="24"/>
        </w:rPr>
        <w:t>V rámci programu osoby oslovuje praktický lékař a ambulantní pneumolog. V datech evidujeme zapojení 42 % zdravotnických zařízení s</w:t>
      </w:r>
      <w:r w:rsidR="00FC5DCD">
        <w:rPr>
          <w:rFonts w:cs="Times New Roman"/>
          <w:sz w:val="24"/>
        </w:rPr>
        <w:t> </w:t>
      </w:r>
      <w:r w:rsidRPr="00922806">
        <w:rPr>
          <w:rFonts w:cs="Times New Roman"/>
          <w:sz w:val="24"/>
        </w:rPr>
        <w:t>odborností praktický lékař a 98 % zdravotnických zařízení s odborností pneumologie.</w:t>
      </w:r>
      <w:r>
        <w:rPr>
          <w:rFonts w:cs="Times New Roman"/>
          <w:sz w:val="24"/>
        </w:rPr>
        <w:t xml:space="preserve"> </w:t>
      </w:r>
      <w:r w:rsidRPr="00922806">
        <w:rPr>
          <w:rFonts w:cs="Times New Roman"/>
          <w:sz w:val="24"/>
        </w:rPr>
        <w:t xml:space="preserve">Oslovené osoby, které se rozhodnou do programu zapojit, dále pokračují dle algoritmu programu na návazná vyšetření u pneumologa a radiologa. </w:t>
      </w:r>
      <w:r>
        <w:rPr>
          <w:rFonts w:cs="Times New Roman"/>
          <w:sz w:val="24"/>
        </w:rPr>
        <w:t xml:space="preserve">K datu </w:t>
      </w:r>
      <w:r w:rsidRPr="00922806">
        <w:rPr>
          <w:rFonts w:cs="Times New Roman"/>
          <w:sz w:val="24"/>
        </w:rPr>
        <w:t xml:space="preserve">30. 9. 2024 </w:t>
      </w:r>
      <w:r>
        <w:rPr>
          <w:rFonts w:cs="Times New Roman"/>
          <w:sz w:val="24"/>
        </w:rPr>
        <w:t xml:space="preserve">se </w:t>
      </w:r>
      <w:r w:rsidRPr="00922806">
        <w:rPr>
          <w:rFonts w:cs="Times New Roman"/>
          <w:sz w:val="24"/>
        </w:rPr>
        <w:t>do tohoto programu zapojilo celkem 39 369 osob – 29 757 osob bylo osloveno u praktického lékaře, 8</w:t>
      </w:r>
      <w:r w:rsidR="00FC5DCD">
        <w:rPr>
          <w:rFonts w:cs="Times New Roman"/>
          <w:sz w:val="24"/>
        </w:rPr>
        <w:t> </w:t>
      </w:r>
      <w:r w:rsidRPr="00922806">
        <w:rPr>
          <w:rFonts w:cs="Times New Roman"/>
          <w:sz w:val="24"/>
        </w:rPr>
        <w:t>846 osob přišlo přímo na pneumologické vyšetření a 766 osob podstoupilo LDCT vyšetření bez návštěvy praktického lékaře či pneumologa. Z celkového počtu 11 752 osob s LDCT vyšetřením v</w:t>
      </w:r>
      <w:r>
        <w:rPr>
          <w:rFonts w:cs="Times New Roman"/>
          <w:sz w:val="24"/>
        </w:rPr>
        <w:t> </w:t>
      </w:r>
      <w:r w:rsidRPr="00922806">
        <w:rPr>
          <w:rFonts w:cs="Times New Roman"/>
          <w:sz w:val="24"/>
        </w:rPr>
        <w:t>období</w:t>
      </w:r>
      <w:r>
        <w:rPr>
          <w:rFonts w:cs="Times New Roman"/>
          <w:sz w:val="24"/>
        </w:rPr>
        <w:t xml:space="preserve"> </w:t>
      </w:r>
      <w:r w:rsidRPr="00922806">
        <w:rPr>
          <w:rFonts w:cs="Times New Roman"/>
          <w:sz w:val="24"/>
        </w:rPr>
        <w:t>1. 1. 2022 – 30. 6. 2024 mělo 3,7 % osob rizikový (pozitivní) výsledek, jednalo se o 433 osob. Z těchto 433 rizikových (pozitivních) pacientů na základě LDCT mělo</w:t>
      </w:r>
      <w:r>
        <w:rPr>
          <w:rFonts w:cs="Times New Roman"/>
          <w:sz w:val="24"/>
        </w:rPr>
        <w:t xml:space="preserve"> prozatím</w:t>
      </w:r>
      <w:r w:rsidRPr="00922806">
        <w:rPr>
          <w:rFonts w:cs="Times New Roman"/>
          <w:sz w:val="24"/>
        </w:rPr>
        <w:t xml:space="preserve"> 112 pacientů </w:t>
      </w:r>
      <w:r>
        <w:rPr>
          <w:rFonts w:cs="Times New Roman"/>
          <w:sz w:val="24"/>
        </w:rPr>
        <w:t xml:space="preserve">nahlášený </w:t>
      </w:r>
      <w:r w:rsidRPr="00922806">
        <w:rPr>
          <w:rFonts w:cs="Times New Roman"/>
          <w:sz w:val="24"/>
        </w:rPr>
        <w:t>záznam</w:t>
      </w:r>
      <w:r>
        <w:rPr>
          <w:rFonts w:cs="Times New Roman"/>
          <w:sz w:val="24"/>
        </w:rPr>
        <w:t xml:space="preserve"> v aktuálně dostupných datech Národního onkologického registru</w:t>
      </w:r>
      <w:r w:rsidRPr="00922806">
        <w:rPr>
          <w:rFonts w:cs="Times New Roman"/>
          <w:sz w:val="24"/>
        </w:rPr>
        <w:t xml:space="preserve"> (NOR), ve kterém jsou evidováni onkologičtí pacienti. </w:t>
      </w:r>
      <w:r>
        <w:rPr>
          <w:rFonts w:cs="Times New Roman"/>
          <w:sz w:val="24"/>
        </w:rPr>
        <w:t xml:space="preserve">Z těchto osob </w:t>
      </w:r>
      <w:r w:rsidRPr="00922806">
        <w:rPr>
          <w:rFonts w:cs="Times New Roman"/>
          <w:sz w:val="24"/>
        </w:rPr>
        <w:t>mělo 54 osob onemocnění diagnostikováno v časném a dobře léčitelném stadiu 1, deset osob ve stadiu 2 a 38 osob v pokročilých stadiích 3 a 4</w:t>
      </w:r>
      <w:r>
        <w:rPr>
          <w:rFonts w:cs="Times New Roman"/>
          <w:sz w:val="24"/>
        </w:rPr>
        <w:t xml:space="preserve"> (u 10 osob nebyl údaj o stadiu znám)</w:t>
      </w:r>
      <w:r w:rsidRPr="00922806">
        <w:rPr>
          <w:rFonts w:cs="Times New Roman"/>
          <w:sz w:val="24"/>
        </w:rPr>
        <w:t>.</w:t>
      </w:r>
      <w:r>
        <w:rPr>
          <w:rFonts w:cs="Times New Roman"/>
          <w:sz w:val="24"/>
        </w:rPr>
        <w:t xml:space="preserve"> Z dat vyplývá, že je třeba posílit jak zájem cílové skupiny obyvatel, tak zapojení praktických lékařů a</w:t>
      </w:r>
      <w:r w:rsidR="00FC5DCD">
        <w:rPr>
          <w:rFonts w:cs="Times New Roman"/>
          <w:sz w:val="24"/>
        </w:rPr>
        <w:t> </w:t>
      </w:r>
      <w:r>
        <w:rPr>
          <w:rFonts w:cs="Times New Roman"/>
          <w:sz w:val="24"/>
        </w:rPr>
        <w:t xml:space="preserve">zajistit průchodnost pacientů systémem od vstupu do screeningového programu až po management pozitivního záchytu či podezření na vedlejší záchyt jiného onemocnění. </w:t>
      </w:r>
      <w:r w:rsidRPr="00E33DE8">
        <w:rPr>
          <w:rFonts w:cs="Times New Roman"/>
          <w:b/>
          <w:bCs/>
          <w:sz w:val="24"/>
        </w:rPr>
        <w:t>Populační pilotní program časného záchytu karcinomu prostaty</w:t>
      </w:r>
      <w:r w:rsidRPr="00E33DE8">
        <w:rPr>
          <w:rFonts w:cs="Times New Roman"/>
          <w:sz w:val="24"/>
        </w:rPr>
        <w:t xml:space="preserve"> byl zahájen v</w:t>
      </w:r>
      <w:r>
        <w:rPr>
          <w:rFonts w:cs="Times New Roman"/>
          <w:sz w:val="24"/>
        </w:rPr>
        <w:t> </w:t>
      </w:r>
      <w:r w:rsidRPr="00E33DE8">
        <w:rPr>
          <w:rFonts w:cs="Times New Roman"/>
          <w:sz w:val="24"/>
        </w:rPr>
        <w:t xml:space="preserve">lednu 2024. Cílovou populací jsou muži ve věku 50–69 let. Screeningové vyšetření PSA může nabídnout </w:t>
      </w:r>
      <w:r w:rsidRPr="00E33DE8">
        <w:rPr>
          <w:rFonts w:cs="Times New Roman"/>
          <w:sz w:val="24"/>
        </w:rPr>
        <w:t>praktický lékař nebo ošetřující urolog, další postup se liší dle změřené hladiny PSA.</w:t>
      </w:r>
      <w:r w:rsidRPr="00922806">
        <w:t xml:space="preserve"> </w:t>
      </w:r>
      <w:r w:rsidRPr="00922806">
        <w:rPr>
          <w:rFonts w:cs="Times New Roman"/>
          <w:sz w:val="24"/>
        </w:rPr>
        <w:t>V</w:t>
      </w:r>
      <w:r>
        <w:rPr>
          <w:rFonts w:cs="Times New Roman"/>
          <w:sz w:val="24"/>
        </w:rPr>
        <w:t> období leden až prosinec 2024</w:t>
      </w:r>
      <w:r w:rsidRPr="00922806">
        <w:rPr>
          <w:rFonts w:cs="Times New Roman"/>
          <w:sz w:val="24"/>
        </w:rPr>
        <w:t xml:space="preserve"> byl výkon managementu </w:t>
      </w:r>
      <w:r>
        <w:rPr>
          <w:rFonts w:cs="Times New Roman"/>
          <w:sz w:val="24"/>
        </w:rPr>
        <w:t xml:space="preserve">v rámci tohoto programu </w:t>
      </w:r>
      <w:r w:rsidRPr="00922806">
        <w:rPr>
          <w:rFonts w:cs="Times New Roman"/>
          <w:sz w:val="24"/>
        </w:rPr>
        <w:t>vykázán 149 454 mužům ve věku 50–69 let. Při uvažování pouze mužů, kterým byl rovněž vykázán i signální kód s</w:t>
      </w:r>
      <w:r>
        <w:rPr>
          <w:rFonts w:cs="Times New Roman"/>
          <w:sz w:val="24"/>
        </w:rPr>
        <w:t> </w:t>
      </w:r>
      <w:r w:rsidRPr="00922806">
        <w:rPr>
          <w:rFonts w:cs="Times New Roman"/>
          <w:sz w:val="24"/>
        </w:rPr>
        <w:t>výsledkem</w:t>
      </w:r>
      <w:r>
        <w:rPr>
          <w:rFonts w:cs="Times New Roman"/>
          <w:sz w:val="24"/>
        </w:rPr>
        <w:t>,</w:t>
      </w:r>
      <w:r w:rsidRPr="00922806">
        <w:rPr>
          <w:rFonts w:cs="Times New Roman"/>
          <w:sz w:val="24"/>
        </w:rPr>
        <w:t xml:space="preserve"> lze sledovat pozitivitu 8,8 %.</w:t>
      </w:r>
      <w:r>
        <w:rPr>
          <w:rFonts w:cs="Times New Roman"/>
          <w:sz w:val="24"/>
        </w:rPr>
        <w:t xml:space="preserve"> Další management pacientů s pozitivním výsledkem je třeba dále sledovat a hodnotit slabá místa průchodnosti pacienta systémem a přijímat nápravná opatření.</w:t>
      </w:r>
    </w:p>
    <w:p w:rsidR="006C359E" w:rsidP="006C359E" w14:paraId="4CF49F63" w14:textId="2983CFB8">
      <w:pPr>
        <w:rPr>
          <w:rFonts w:cs="Times New Roman"/>
          <w:sz w:val="24"/>
        </w:rPr>
      </w:pPr>
      <w:r>
        <w:rPr>
          <w:rFonts w:cs="Times New Roman"/>
          <w:sz w:val="24"/>
        </w:rPr>
        <w:t>Mezi neonkologické programy v dospělém věku lze zmínit od</w:t>
      </w:r>
      <w:r w:rsidRPr="00E33DE8">
        <w:rPr>
          <w:rFonts w:cs="Times New Roman"/>
          <w:sz w:val="24"/>
        </w:rPr>
        <w:t xml:space="preserve"> ro</w:t>
      </w:r>
      <w:r>
        <w:rPr>
          <w:rFonts w:cs="Times New Roman"/>
          <w:sz w:val="24"/>
        </w:rPr>
        <w:t>ku</w:t>
      </w:r>
      <w:r w:rsidRPr="00E33DE8">
        <w:rPr>
          <w:rFonts w:cs="Times New Roman"/>
          <w:sz w:val="24"/>
        </w:rPr>
        <w:t xml:space="preserve"> 202</w:t>
      </w:r>
      <w:r>
        <w:rPr>
          <w:rFonts w:cs="Times New Roman"/>
          <w:sz w:val="24"/>
        </w:rPr>
        <w:t>5</w:t>
      </w:r>
      <w:r w:rsidRPr="00E33DE8">
        <w:rPr>
          <w:rFonts w:cs="Times New Roman"/>
          <w:sz w:val="24"/>
        </w:rPr>
        <w:t xml:space="preserve"> </w:t>
      </w:r>
      <w:r>
        <w:rPr>
          <w:rFonts w:cs="Times New Roman"/>
          <w:sz w:val="24"/>
        </w:rPr>
        <w:t>zavedený</w:t>
      </w:r>
      <w:r w:rsidRPr="00F21E81">
        <w:rPr>
          <w:rFonts w:cs="Times New Roman"/>
          <w:sz w:val="24"/>
        </w:rPr>
        <w:t xml:space="preserve"> program časného záchytu výdutě břišní aorty určený</w:t>
      </w:r>
      <w:r w:rsidRPr="00E33DE8">
        <w:rPr>
          <w:rFonts w:cs="Times New Roman"/>
          <w:sz w:val="24"/>
        </w:rPr>
        <w:t xml:space="preserve"> pro muže ve věku 65 až 67 let</w:t>
      </w:r>
      <w:r>
        <w:rPr>
          <w:rFonts w:cs="Times New Roman"/>
          <w:sz w:val="24"/>
        </w:rPr>
        <w:t>, či aktivity směřující k časnému záchytu osteoporózy či demence ve vyšším věku</w:t>
      </w:r>
      <w:r w:rsidRPr="00E33DE8">
        <w:rPr>
          <w:rFonts w:cs="Times New Roman"/>
          <w:sz w:val="24"/>
        </w:rPr>
        <w:t>. Mezi screening</w:t>
      </w:r>
      <w:r>
        <w:rPr>
          <w:rFonts w:cs="Times New Roman"/>
          <w:sz w:val="24"/>
        </w:rPr>
        <w:t xml:space="preserve">ové programy novorozenců a dětí patří </w:t>
      </w:r>
      <w:r w:rsidRPr="00E33DE8">
        <w:rPr>
          <w:rFonts w:cs="Times New Roman"/>
          <w:sz w:val="24"/>
        </w:rPr>
        <w:t>novorozeneck</w:t>
      </w:r>
      <w:r>
        <w:rPr>
          <w:rFonts w:cs="Times New Roman"/>
          <w:sz w:val="24"/>
        </w:rPr>
        <w:t>ý</w:t>
      </w:r>
      <w:r w:rsidRPr="00E33DE8">
        <w:rPr>
          <w:rFonts w:cs="Times New Roman"/>
          <w:sz w:val="24"/>
        </w:rPr>
        <w:t xml:space="preserve"> laboratorní screening, kde došlo díky pilotnímu projektu realizovaného NSC k</w:t>
      </w:r>
      <w:r>
        <w:rPr>
          <w:rFonts w:cs="Times New Roman"/>
          <w:sz w:val="24"/>
        </w:rPr>
        <w:t> </w:t>
      </w:r>
      <w:r w:rsidRPr="00E33DE8">
        <w:rPr>
          <w:rFonts w:cs="Times New Roman"/>
          <w:sz w:val="24"/>
        </w:rPr>
        <w:t>rozšíření o dvě závažná onemocnění SMA (svalová atrofie) a</w:t>
      </w:r>
      <w:r w:rsidR="00FC5DCD">
        <w:rPr>
          <w:rFonts w:cs="Times New Roman"/>
          <w:sz w:val="24"/>
        </w:rPr>
        <w:t> </w:t>
      </w:r>
      <w:r w:rsidRPr="00E33DE8">
        <w:rPr>
          <w:rFonts w:cs="Times New Roman"/>
          <w:sz w:val="24"/>
        </w:rPr>
        <w:t>SCID (poruchy imunity)</w:t>
      </w:r>
      <w:r>
        <w:rPr>
          <w:rFonts w:cs="Times New Roman"/>
          <w:sz w:val="24"/>
        </w:rPr>
        <w:t xml:space="preserve">, </w:t>
      </w:r>
      <w:r w:rsidRPr="00E33DE8">
        <w:rPr>
          <w:rFonts w:cs="Times New Roman"/>
          <w:sz w:val="24"/>
        </w:rPr>
        <w:t>screening sluchu novorozenců, screeningu sluchu v</w:t>
      </w:r>
      <w:r>
        <w:rPr>
          <w:rFonts w:cs="Times New Roman"/>
          <w:sz w:val="24"/>
        </w:rPr>
        <w:t> </w:t>
      </w:r>
      <w:r w:rsidRPr="00E33DE8">
        <w:rPr>
          <w:rFonts w:cs="Times New Roman"/>
          <w:sz w:val="24"/>
        </w:rPr>
        <w:t>5 letech</w:t>
      </w:r>
      <w:r>
        <w:rPr>
          <w:rFonts w:cs="Times New Roman"/>
          <w:sz w:val="24"/>
        </w:rPr>
        <w:t>, screening</w:t>
      </w:r>
      <w:r w:rsidRPr="00E33DE8">
        <w:rPr>
          <w:rFonts w:cs="Times New Roman"/>
          <w:sz w:val="24"/>
        </w:rPr>
        <w:t xml:space="preserve"> poruch autistického </w:t>
      </w:r>
      <w:r w:rsidRPr="00F21E81">
        <w:rPr>
          <w:rFonts w:cs="Times New Roman"/>
          <w:sz w:val="24"/>
        </w:rPr>
        <w:t>spektra a včasný záchyt očních vad</w:t>
      </w:r>
      <w:r>
        <w:rPr>
          <w:rFonts w:cs="Times New Roman"/>
          <w:sz w:val="24"/>
        </w:rPr>
        <w:t xml:space="preserve"> u dětí</w:t>
      </w:r>
      <w:r w:rsidRPr="00F21E81">
        <w:rPr>
          <w:rFonts w:cs="Times New Roman"/>
          <w:sz w:val="24"/>
        </w:rPr>
        <w:t>.</w:t>
      </w:r>
      <w:r>
        <w:rPr>
          <w:rFonts w:cs="Times New Roman"/>
          <w:sz w:val="24"/>
        </w:rPr>
        <w:t xml:space="preserve"> Důležitá jsou i</w:t>
      </w:r>
      <w:r w:rsidR="00FC5DCD">
        <w:rPr>
          <w:rFonts w:cs="Times New Roman"/>
          <w:sz w:val="24"/>
        </w:rPr>
        <w:t> </w:t>
      </w:r>
      <w:r>
        <w:rPr>
          <w:rFonts w:cs="Times New Roman"/>
          <w:sz w:val="24"/>
        </w:rPr>
        <w:t>preventivní vyšetření v průběhu těhotenství, jako je např. kombinovaný screening v I.</w:t>
      </w:r>
      <w:r w:rsidR="00FC5DCD">
        <w:rPr>
          <w:rFonts w:cs="Times New Roman"/>
          <w:sz w:val="24"/>
        </w:rPr>
        <w:t> </w:t>
      </w:r>
      <w:r>
        <w:rPr>
          <w:rFonts w:cs="Times New Roman"/>
          <w:sz w:val="24"/>
        </w:rPr>
        <w:t xml:space="preserve">trimestru těhotenství. </w:t>
      </w:r>
      <w:r w:rsidRPr="00F21E81">
        <w:rPr>
          <w:rFonts w:cs="Times New Roman"/>
          <w:sz w:val="24"/>
        </w:rPr>
        <w:t xml:space="preserve"> </w:t>
      </w:r>
      <w:r>
        <w:rPr>
          <w:rFonts w:cs="Times New Roman"/>
          <w:sz w:val="24"/>
        </w:rPr>
        <w:t>Zásadní roli v časném záchytu rizikových faktorů u dětí i dospělých pak hrají preventivní prohlídky, a to jak jejich definovaný obsah, praktická realizace a možnost hodnocení její efektivity, tak pokrytí cílové skupiny obyvatel a následný management rizikových faktorů.</w:t>
      </w:r>
    </w:p>
    <w:p w:rsidR="006C359E" w:rsidRPr="00A955AF" w:rsidP="006C359E" w14:paraId="5F9384B6" w14:textId="77777777">
      <w:pPr>
        <w:rPr>
          <w:rFonts w:cs="Times New Roman"/>
          <w:bCs/>
          <w:iCs/>
          <w:sz w:val="24"/>
        </w:rPr>
      </w:pPr>
      <w:r w:rsidRPr="00A955AF">
        <w:rPr>
          <w:rFonts w:cs="Times New Roman"/>
          <w:bCs/>
          <w:iCs/>
          <w:sz w:val="24"/>
        </w:rPr>
        <w:t xml:space="preserve">Nutnost </w:t>
      </w:r>
      <w:r>
        <w:rPr>
          <w:rFonts w:cs="Times New Roman"/>
          <w:bCs/>
          <w:iCs/>
          <w:sz w:val="24"/>
        </w:rPr>
        <w:t xml:space="preserve">kontinuální snahy o udržení a </w:t>
      </w:r>
      <w:r w:rsidRPr="00A955AF">
        <w:rPr>
          <w:rFonts w:cs="Times New Roman"/>
          <w:bCs/>
          <w:iCs/>
          <w:sz w:val="24"/>
        </w:rPr>
        <w:t xml:space="preserve">posílení výkonnosti a kvality </w:t>
      </w:r>
      <w:r>
        <w:rPr>
          <w:rFonts w:cs="Times New Roman"/>
          <w:bCs/>
          <w:iCs/>
          <w:sz w:val="24"/>
        </w:rPr>
        <w:t>programů sekundární prevence</w:t>
      </w:r>
      <w:r w:rsidRPr="00A955AF">
        <w:rPr>
          <w:rFonts w:cs="Times New Roman"/>
          <w:bCs/>
          <w:iCs/>
          <w:sz w:val="24"/>
        </w:rPr>
        <w:t xml:space="preserve"> se opírá především o následující fakta</w:t>
      </w:r>
      <w:r>
        <w:rPr>
          <w:rFonts w:cs="Times New Roman"/>
          <w:bCs/>
          <w:iCs/>
          <w:sz w:val="24"/>
        </w:rPr>
        <w:t xml:space="preserve"> a slabé stránky či hrozby</w:t>
      </w:r>
      <w:r w:rsidRPr="00A955AF">
        <w:rPr>
          <w:rFonts w:cs="Times New Roman"/>
          <w:bCs/>
          <w:iCs/>
          <w:sz w:val="24"/>
        </w:rPr>
        <w:t>:</w:t>
      </w:r>
    </w:p>
    <w:p w:rsidR="006C359E" w:rsidP="006C359E" w14:paraId="39571B9A" w14:textId="77777777">
      <w:pPr>
        <w:pStyle w:val="ListParagraph"/>
        <w:numPr>
          <w:ilvl w:val="0"/>
          <w:numId w:val="22"/>
        </w:numPr>
        <w:rPr>
          <w:rFonts w:cs="Times New Roman"/>
          <w:iCs/>
          <w:sz w:val="24"/>
          <w:szCs w:val="24"/>
        </w:rPr>
      </w:pPr>
      <w:r>
        <w:rPr>
          <w:rFonts w:cs="Times New Roman"/>
          <w:iCs/>
          <w:sz w:val="24"/>
          <w:szCs w:val="24"/>
        </w:rPr>
        <w:t>Pravidelný monitoring a evaluace programu na základě robustních dat a realizace s tím spojených nápravných opatření vede k větší efektivitě programů</w:t>
      </w:r>
    </w:p>
    <w:p w:rsidR="006C359E" w:rsidP="006C359E" w14:paraId="5DCAA27C" w14:textId="77777777">
      <w:pPr>
        <w:pStyle w:val="ListParagraph"/>
        <w:numPr>
          <w:ilvl w:val="0"/>
          <w:numId w:val="22"/>
        </w:numPr>
        <w:rPr>
          <w:rFonts w:cs="Times New Roman"/>
          <w:iCs/>
          <w:sz w:val="24"/>
          <w:szCs w:val="24"/>
        </w:rPr>
      </w:pPr>
      <w:r>
        <w:rPr>
          <w:rFonts w:cs="Times New Roman"/>
          <w:iCs/>
          <w:sz w:val="24"/>
          <w:szCs w:val="24"/>
        </w:rPr>
        <w:t>Nezájem části široké veřejnosti o preventivní vyšetření</w:t>
      </w:r>
    </w:p>
    <w:p w:rsidR="006C359E" w:rsidP="006C359E" w14:paraId="41C84A16" w14:textId="4F93EC40">
      <w:pPr>
        <w:pStyle w:val="ListParagraph"/>
        <w:numPr>
          <w:ilvl w:val="0"/>
          <w:numId w:val="22"/>
        </w:numPr>
        <w:rPr>
          <w:rFonts w:cs="Times New Roman"/>
          <w:iCs/>
          <w:sz w:val="24"/>
          <w:szCs w:val="24"/>
        </w:rPr>
      </w:pPr>
      <w:r>
        <w:rPr>
          <w:rFonts w:cs="Times New Roman"/>
          <w:iCs/>
          <w:sz w:val="24"/>
          <w:szCs w:val="24"/>
        </w:rPr>
        <w:t>Nedostatečná angažovanost části odborné veřejnosti v oblasti preventivních a</w:t>
      </w:r>
      <w:r w:rsidR="00FC5DCD">
        <w:rPr>
          <w:rFonts w:cs="Times New Roman"/>
          <w:iCs/>
          <w:sz w:val="24"/>
          <w:szCs w:val="24"/>
        </w:rPr>
        <w:t> </w:t>
      </w:r>
      <w:r>
        <w:rPr>
          <w:rFonts w:cs="Times New Roman"/>
          <w:iCs/>
          <w:sz w:val="24"/>
          <w:szCs w:val="24"/>
        </w:rPr>
        <w:t>screeningových vyšetření</w:t>
      </w:r>
    </w:p>
    <w:p w:rsidR="006C359E" w:rsidP="006C359E" w14:paraId="3BCEFC11" w14:textId="77777777">
      <w:pPr>
        <w:pStyle w:val="ListParagraph"/>
        <w:numPr>
          <w:ilvl w:val="0"/>
          <w:numId w:val="22"/>
        </w:numPr>
        <w:rPr>
          <w:rFonts w:cs="Times New Roman"/>
          <w:iCs/>
          <w:sz w:val="24"/>
          <w:szCs w:val="24"/>
        </w:rPr>
      </w:pPr>
      <w:r>
        <w:rPr>
          <w:rFonts w:cs="Times New Roman"/>
          <w:iCs/>
          <w:sz w:val="24"/>
          <w:szCs w:val="24"/>
        </w:rPr>
        <w:t>S</w:t>
      </w:r>
      <w:r w:rsidRPr="00A955AF">
        <w:rPr>
          <w:rFonts w:cs="Times New Roman"/>
          <w:iCs/>
          <w:sz w:val="24"/>
          <w:szCs w:val="24"/>
        </w:rPr>
        <w:t>tagn</w:t>
      </w:r>
      <w:r>
        <w:rPr>
          <w:rFonts w:cs="Times New Roman"/>
          <w:iCs/>
          <w:sz w:val="24"/>
          <w:szCs w:val="24"/>
        </w:rPr>
        <w:t>ace</w:t>
      </w:r>
      <w:r w:rsidRPr="00A955AF">
        <w:rPr>
          <w:rFonts w:cs="Times New Roman"/>
          <w:iCs/>
          <w:sz w:val="24"/>
          <w:szCs w:val="24"/>
        </w:rPr>
        <w:t xml:space="preserve"> pokrytí screeningovými vyšetřeními</w:t>
      </w:r>
      <w:r>
        <w:rPr>
          <w:rFonts w:cs="Times New Roman"/>
          <w:iCs/>
          <w:sz w:val="24"/>
          <w:szCs w:val="24"/>
        </w:rPr>
        <w:t xml:space="preserve"> a motivace k účasti u osob, které dlouhodobě nenavštěvují tyto programy</w:t>
      </w:r>
      <w:r w:rsidRPr="00A955AF">
        <w:rPr>
          <w:rFonts w:cs="Times New Roman"/>
          <w:iCs/>
          <w:sz w:val="24"/>
          <w:szCs w:val="24"/>
        </w:rPr>
        <w:t>.</w:t>
      </w:r>
    </w:p>
    <w:p w:rsidR="006C359E" w:rsidP="006C359E" w14:paraId="0EA8FC5C" w14:textId="77777777">
      <w:pPr>
        <w:pStyle w:val="ListParagraph"/>
        <w:numPr>
          <w:ilvl w:val="0"/>
          <w:numId w:val="22"/>
        </w:numPr>
        <w:rPr>
          <w:rFonts w:cs="Times New Roman"/>
          <w:iCs/>
          <w:sz w:val="24"/>
          <w:szCs w:val="24"/>
        </w:rPr>
      </w:pPr>
      <w:r>
        <w:rPr>
          <w:rFonts w:cs="Times New Roman"/>
          <w:iCs/>
          <w:sz w:val="24"/>
          <w:szCs w:val="24"/>
        </w:rPr>
        <w:t>Nutnost pravidelné revize designu screeningových programů v kontextu dostupných výkonnostních charakteristik programů a nově dostupných vědeckých důkazů.</w:t>
      </w:r>
      <w:r w:rsidRPr="00A955AF">
        <w:rPr>
          <w:rFonts w:cs="Times New Roman"/>
          <w:iCs/>
          <w:sz w:val="24"/>
          <w:szCs w:val="24"/>
        </w:rPr>
        <w:t xml:space="preserve"> </w:t>
      </w:r>
    </w:p>
    <w:p w:rsidR="006C359E" w:rsidRPr="00A955AF" w:rsidP="006C359E" w14:paraId="03E60348" w14:textId="77777777">
      <w:pPr>
        <w:pStyle w:val="ListParagraph"/>
        <w:numPr>
          <w:ilvl w:val="0"/>
          <w:numId w:val="22"/>
        </w:numPr>
        <w:rPr>
          <w:rFonts w:cs="Times New Roman"/>
          <w:iCs/>
          <w:sz w:val="24"/>
          <w:szCs w:val="24"/>
        </w:rPr>
      </w:pPr>
      <w:r>
        <w:rPr>
          <w:rFonts w:cs="Times New Roman"/>
          <w:iCs/>
          <w:sz w:val="24"/>
          <w:szCs w:val="24"/>
        </w:rPr>
        <w:t>V</w:t>
      </w:r>
      <w:r w:rsidRPr="00A955AF">
        <w:rPr>
          <w:rFonts w:cs="Times New Roman"/>
          <w:iCs/>
          <w:sz w:val="24"/>
          <w:szCs w:val="24"/>
        </w:rPr>
        <w:t>ariabil</w:t>
      </w:r>
      <w:r>
        <w:rPr>
          <w:rFonts w:cs="Times New Roman"/>
          <w:iCs/>
          <w:sz w:val="24"/>
          <w:szCs w:val="24"/>
        </w:rPr>
        <w:t>ita pokrytí screeningovými vyšetřeními</w:t>
      </w:r>
      <w:r w:rsidRPr="00A955AF">
        <w:rPr>
          <w:rFonts w:cs="Times New Roman"/>
          <w:iCs/>
          <w:sz w:val="24"/>
          <w:szCs w:val="24"/>
        </w:rPr>
        <w:t xml:space="preserve"> napříč </w:t>
      </w:r>
      <w:r>
        <w:rPr>
          <w:rFonts w:cs="Times New Roman"/>
          <w:iCs/>
          <w:sz w:val="24"/>
          <w:szCs w:val="24"/>
        </w:rPr>
        <w:t>geografickými celky či skupinami obyvatel a obecně nerovnosti pokrytí a kvalitě programů</w:t>
      </w:r>
    </w:p>
    <w:p w:rsidR="006C359E" w:rsidP="006C359E" w14:paraId="2A189AED" w14:textId="77777777">
      <w:pPr>
        <w:pStyle w:val="ListParagraph"/>
        <w:numPr>
          <w:ilvl w:val="0"/>
          <w:numId w:val="22"/>
        </w:numPr>
        <w:rPr>
          <w:rFonts w:cs="Times New Roman"/>
          <w:iCs/>
          <w:sz w:val="24"/>
          <w:szCs w:val="24"/>
        </w:rPr>
      </w:pPr>
      <w:r>
        <w:rPr>
          <w:rFonts w:cs="Times New Roman"/>
          <w:iCs/>
          <w:sz w:val="24"/>
          <w:szCs w:val="24"/>
        </w:rPr>
        <w:t>Vyšší efektivita a často méně nákladnější léčba onemocnění zachycených v nižším stadiu</w:t>
      </w:r>
      <w:r w:rsidRPr="00A955AF">
        <w:rPr>
          <w:rFonts w:cs="Times New Roman"/>
          <w:iCs/>
          <w:sz w:val="24"/>
          <w:szCs w:val="24"/>
        </w:rPr>
        <w:t>.</w:t>
      </w:r>
    </w:p>
    <w:p w:rsidR="006C359E" w:rsidRPr="00F739BA" w:rsidP="006C359E" w14:paraId="0CFC51AA" w14:textId="0AD962FB">
      <w:pPr>
        <w:ind w:left="360"/>
        <w:rPr>
          <w:rFonts w:cs="Times New Roman"/>
          <w:iCs/>
          <w:sz w:val="24"/>
        </w:rPr>
      </w:pPr>
      <w:r w:rsidRPr="00F739BA">
        <w:rPr>
          <w:rFonts w:cs="Times New Roman"/>
          <w:iCs/>
          <w:sz w:val="24"/>
        </w:rPr>
        <w:t>V následujících letech lze očekávat razantní rozvoj nových technologií ve screeningu a</w:t>
      </w:r>
      <w:r w:rsidR="00FC5DCD">
        <w:rPr>
          <w:rFonts w:cs="Times New Roman"/>
          <w:iCs/>
          <w:sz w:val="24"/>
        </w:rPr>
        <w:t> </w:t>
      </w:r>
      <w:r w:rsidRPr="00F739BA">
        <w:rPr>
          <w:rFonts w:cs="Times New Roman"/>
          <w:iCs/>
          <w:sz w:val="24"/>
        </w:rPr>
        <w:t>časném záchytu onemocnění (zejména umělá inteligence a omics technologie</w:t>
      </w:r>
      <w:r>
        <w:rPr>
          <w:rFonts w:cs="Times New Roman"/>
          <w:iCs/>
          <w:sz w:val="24"/>
        </w:rPr>
        <w:t>, včetně multi cancer detection testů</w:t>
      </w:r>
      <w:r w:rsidRPr="00F739BA">
        <w:rPr>
          <w:rFonts w:cs="Times New Roman"/>
          <w:iCs/>
          <w:sz w:val="24"/>
        </w:rPr>
        <w:t>). Pro řízen</w:t>
      </w:r>
      <w:r>
        <w:rPr>
          <w:rFonts w:cs="Times New Roman"/>
          <w:iCs/>
          <w:sz w:val="24"/>
        </w:rPr>
        <w:t>ou implementaci</w:t>
      </w:r>
      <w:r w:rsidRPr="00F739BA">
        <w:rPr>
          <w:rFonts w:cs="Times New Roman"/>
          <w:iCs/>
          <w:sz w:val="24"/>
        </w:rPr>
        <w:t xml:space="preserve"> těchto technologií ve zdravotním systému je nezbytná multidisciplinárn</w:t>
      </w:r>
      <w:r>
        <w:rPr>
          <w:rFonts w:cs="Times New Roman"/>
          <w:iCs/>
          <w:sz w:val="24"/>
        </w:rPr>
        <w:t>í řídící struktura, která zajistí všeobecně dostupnou implementaci nákladově efektivních a nákladově dostupných technologií a průběžné zajištění kvality příslušných screeningových programů.</w:t>
      </w:r>
    </w:p>
    <w:p w:rsidR="006C359E" w:rsidRPr="004859F3" w:rsidP="006C359E" w14:paraId="46D598E2" w14:textId="77777777">
      <w:pPr>
        <w:rPr>
          <w:rFonts w:cs="Times New Roman"/>
          <w:b/>
          <w:bCs/>
          <w:sz w:val="24"/>
        </w:rPr>
      </w:pPr>
      <w:r w:rsidRPr="004859F3">
        <w:rPr>
          <w:rFonts w:cs="Times New Roman"/>
          <w:b/>
          <w:bCs/>
          <w:sz w:val="24"/>
        </w:rPr>
        <w:t>Plošné populační programy vyžadují jednotné a koncepční metodické řízení a mezioborovou spolupráci s</w:t>
      </w:r>
      <w:r>
        <w:rPr>
          <w:rFonts w:cs="Times New Roman"/>
          <w:b/>
          <w:bCs/>
          <w:sz w:val="24"/>
        </w:rPr>
        <w:t> </w:t>
      </w:r>
      <w:r w:rsidRPr="004859F3">
        <w:rPr>
          <w:rFonts w:cs="Times New Roman"/>
          <w:b/>
          <w:bCs/>
          <w:sz w:val="24"/>
        </w:rPr>
        <w:t xml:space="preserve">aktivním zapojením všech </w:t>
      </w:r>
      <w:r>
        <w:rPr>
          <w:rFonts w:cs="Times New Roman"/>
          <w:b/>
          <w:bCs/>
          <w:sz w:val="24"/>
        </w:rPr>
        <w:t xml:space="preserve">zainteresovaných </w:t>
      </w:r>
      <w:r w:rsidRPr="004859F3">
        <w:rPr>
          <w:rFonts w:cs="Times New Roman"/>
          <w:b/>
          <w:bCs/>
          <w:sz w:val="24"/>
        </w:rPr>
        <w:t xml:space="preserve">stakeholderů. </w:t>
      </w:r>
    </w:p>
    <w:p w:rsidR="006C359E" w:rsidP="006C359E" w14:paraId="0B5703CD" w14:textId="77777777">
      <w:pPr>
        <w:rPr>
          <w:sz w:val="24"/>
        </w:rPr>
      </w:pPr>
      <w:r>
        <w:rPr>
          <w:sz w:val="24"/>
        </w:rPr>
        <w:t xml:space="preserve">Vzhledem k identifikovaným potřebám pacientů, lékařů a zdravotního systému je stěžejní oblastí </w:t>
      </w:r>
      <w:r w:rsidRPr="00F21E81">
        <w:rPr>
          <w:b/>
          <w:bCs/>
          <w:sz w:val="24"/>
        </w:rPr>
        <w:t>rozvoj elektronizace zdravotnictví pro podporu prevence onemocnění</w:t>
      </w:r>
      <w:r w:rsidRPr="00F21E81">
        <w:rPr>
          <w:sz w:val="24"/>
        </w:rPr>
        <w:t xml:space="preserve">. </w:t>
      </w:r>
      <w:r>
        <w:rPr>
          <w:sz w:val="24"/>
        </w:rPr>
        <w:t>Cílovými stavy, pro jejichž dosažení mohou napomoci informační technologie jsou:</w:t>
      </w:r>
    </w:p>
    <w:p w:rsidR="006C359E" w:rsidP="006C359E" w14:paraId="24397FF4" w14:textId="4809CAD0">
      <w:pPr>
        <w:pStyle w:val="ListParagraph"/>
        <w:numPr>
          <w:ilvl w:val="0"/>
          <w:numId w:val="61"/>
        </w:numPr>
        <w:rPr>
          <w:sz w:val="24"/>
        </w:rPr>
      </w:pPr>
      <w:r>
        <w:rPr>
          <w:sz w:val="24"/>
        </w:rPr>
        <w:t>S</w:t>
      </w:r>
      <w:r>
        <w:rPr>
          <w:sz w:val="24"/>
        </w:rPr>
        <w:t>nižování bariér a posilování role jedince v péči o své zdraví,</w:t>
      </w:r>
    </w:p>
    <w:p w:rsidR="006C359E" w:rsidP="006C359E" w14:paraId="4CEE7B1F" w14:textId="05898AFC">
      <w:pPr>
        <w:pStyle w:val="ListParagraph"/>
        <w:numPr>
          <w:ilvl w:val="0"/>
          <w:numId w:val="61"/>
        </w:numPr>
        <w:rPr>
          <w:sz w:val="24"/>
        </w:rPr>
      </w:pPr>
      <w:r>
        <w:rPr>
          <w:sz w:val="24"/>
        </w:rPr>
        <w:t>Z</w:t>
      </w:r>
      <w:r>
        <w:rPr>
          <w:sz w:val="24"/>
        </w:rPr>
        <w:t>přístupňování informací mezi lékaři jednotlivých odborností,</w:t>
      </w:r>
    </w:p>
    <w:p w:rsidR="006C359E" w:rsidP="006C359E" w14:paraId="73F6390A" w14:textId="56BAEC85">
      <w:pPr>
        <w:pStyle w:val="ListParagraph"/>
        <w:numPr>
          <w:ilvl w:val="0"/>
          <w:numId w:val="61"/>
        </w:numPr>
        <w:rPr>
          <w:sz w:val="24"/>
        </w:rPr>
      </w:pPr>
      <w:r>
        <w:rPr>
          <w:sz w:val="24"/>
        </w:rPr>
        <w:t>Z</w:t>
      </w:r>
      <w:r>
        <w:rPr>
          <w:sz w:val="24"/>
        </w:rPr>
        <w:t>amezení duplicitního provádění vyšetření,</w:t>
      </w:r>
    </w:p>
    <w:p w:rsidR="006C359E" w:rsidP="006C359E" w14:paraId="47F71A3C" w14:textId="016E3B6A">
      <w:pPr>
        <w:pStyle w:val="ListParagraph"/>
        <w:numPr>
          <w:ilvl w:val="0"/>
          <w:numId w:val="61"/>
        </w:numPr>
        <w:rPr>
          <w:sz w:val="24"/>
        </w:rPr>
      </w:pPr>
      <w:r>
        <w:rPr>
          <w:sz w:val="24"/>
        </w:rPr>
        <w:t>P</w:t>
      </w:r>
      <w:r>
        <w:rPr>
          <w:sz w:val="24"/>
        </w:rPr>
        <w:t>osílení monitoringu a evaluace pro zajištění maximální efektivity,</w:t>
      </w:r>
    </w:p>
    <w:p w:rsidR="006C359E" w:rsidRPr="004859F3" w:rsidP="006C359E" w14:paraId="6DB65552" w14:textId="36FC5E2C">
      <w:pPr>
        <w:pStyle w:val="ListParagraph"/>
        <w:numPr>
          <w:ilvl w:val="0"/>
          <w:numId w:val="61"/>
        </w:numPr>
        <w:rPr>
          <w:sz w:val="24"/>
        </w:rPr>
      </w:pPr>
      <w:r>
        <w:rPr>
          <w:sz w:val="24"/>
        </w:rPr>
        <w:t>E</w:t>
      </w:r>
      <w:r>
        <w:rPr>
          <w:sz w:val="24"/>
        </w:rPr>
        <w:t>fektivní využívání kapacit systému.</w:t>
      </w:r>
    </w:p>
    <w:p w:rsidR="006C359E" w:rsidRPr="007B4D90" w:rsidP="03B59B71" w14:paraId="06F42FB7" w14:textId="2483E6D5">
      <w:pPr>
        <w:rPr>
          <w:color w:val="auto"/>
          <w:sz w:val="24"/>
        </w:rPr>
      </w:pPr>
      <w:r w:rsidRPr="03B59B71">
        <w:rPr>
          <w:sz w:val="24"/>
        </w:rPr>
        <w:t xml:space="preserve">Konkrétními nástroji pro podporu výše zmíněných cílových stavů jsou následující komponenty. Jedná se o aplikaci </w:t>
      </w:r>
      <w:r w:rsidRPr="03B59B71">
        <w:rPr>
          <w:i/>
          <w:iCs/>
          <w:sz w:val="24"/>
        </w:rPr>
        <w:t>EZKarta</w:t>
      </w:r>
      <w:r w:rsidRPr="03B59B71">
        <w:rPr>
          <w:sz w:val="24"/>
        </w:rPr>
        <w:t>, která by měla obsahovat modul, který bude mj. informovat o</w:t>
      </w:r>
      <w:r w:rsidR="00FC5DCD">
        <w:rPr>
          <w:sz w:val="24"/>
        </w:rPr>
        <w:t> </w:t>
      </w:r>
      <w:r w:rsidRPr="03B59B71">
        <w:rPr>
          <w:sz w:val="24"/>
        </w:rPr>
        <w:t xml:space="preserve">nároku na preventivní a screeningové vyšetření pro jednotlivce, o výsledku a základním doporučení, dále bude umožňovat notifikace o účasti na preventivním a screeningovém vyšetření a případně o absenci navazující vyšetření apod. Dalším nástrojem by měl být </w:t>
      </w:r>
      <w:r w:rsidRPr="03B59B71">
        <w:rPr>
          <w:i/>
          <w:iCs/>
          <w:sz w:val="24"/>
        </w:rPr>
        <w:t>Centrální rezervační systém</w:t>
      </w:r>
      <w:r w:rsidRPr="03B59B71">
        <w:rPr>
          <w:sz w:val="24"/>
        </w:rPr>
        <w:t>, který by obsahoval i část pro všechna screeningová pracoviště s</w:t>
      </w:r>
      <w:r w:rsidR="00FC5DCD">
        <w:rPr>
          <w:sz w:val="24"/>
        </w:rPr>
        <w:t> </w:t>
      </w:r>
      <w:r w:rsidRPr="03B59B71">
        <w:rPr>
          <w:sz w:val="24"/>
        </w:rPr>
        <w:t>možností propojení s existujícími rezervačními systémy, který bude umožňovat výběr času a</w:t>
      </w:r>
      <w:r w:rsidR="00FC5DCD">
        <w:rPr>
          <w:sz w:val="24"/>
        </w:rPr>
        <w:t> </w:t>
      </w:r>
      <w:r w:rsidRPr="03B59B71">
        <w:rPr>
          <w:sz w:val="24"/>
        </w:rPr>
        <w:t xml:space="preserve">místa vyšetření, notifikace termínu a možnost pružného přeobjednání. Zásadním nástrojem pro zvýšení efektivity screeningových programů bude </w:t>
      </w:r>
      <w:r w:rsidRPr="03B59B71">
        <w:rPr>
          <w:i/>
          <w:iCs/>
          <w:sz w:val="24"/>
        </w:rPr>
        <w:t>centrální služba MZD pro sdílení dat mezi lékaři v reálném čase, kter</w:t>
      </w:r>
      <w:r w:rsidRPr="03B59B71" w:rsidR="2C5307C0">
        <w:rPr>
          <w:i/>
          <w:iCs/>
          <w:sz w:val="24"/>
        </w:rPr>
        <w:t>á</w:t>
      </w:r>
      <w:r w:rsidRPr="03B59B71">
        <w:rPr>
          <w:i/>
          <w:iCs/>
          <w:sz w:val="24"/>
        </w:rPr>
        <w:t xml:space="preserve"> bude umožňovat</w:t>
      </w:r>
      <w:r w:rsidRPr="03B59B71">
        <w:rPr>
          <w:sz w:val="24"/>
        </w:rPr>
        <w:t xml:space="preserve"> sdílení informací o provedeném vyšetření mezi jednotlivými lékaři, např. praktickým lékařem a registrujícím gynekologem, základní informace o výsledku návazného vyšetření a případně informace o absenci navazujících vyšetření apod. V rámci podpory screeningových programů bude využíván</w:t>
      </w:r>
      <w:r w:rsidRPr="03B59B71" w:rsidR="185B8593">
        <w:rPr>
          <w:sz w:val="24"/>
        </w:rPr>
        <w:t>a</w:t>
      </w:r>
      <w:r w:rsidRPr="03B59B71">
        <w:rPr>
          <w:sz w:val="24"/>
        </w:rPr>
        <w:t xml:space="preserve"> i </w:t>
      </w:r>
      <w:r w:rsidRPr="03B59B71">
        <w:rPr>
          <w:i/>
          <w:iCs/>
          <w:sz w:val="24"/>
        </w:rPr>
        <w:t>další připravovaná centrální služba e-žádanky</w:t>
      </w:r>
      <w:r w:rsidRPr="03B59B71">
        <w:rPr>
          <w:sz w:val="24"/>
        </w:rPr>
        <w:t xml:space="preserve"> jako nositel důležitých informací ke screeningovým vyšetřením, např. hodnota výsledku testu na okultní krvácení před následnou kolonoskopií apod. V oblasti monitoringu screeningových programů je zásadním milníkem vznik </w:t>
      </w:r>
      <w:r w:rsidRPr="03B59B71">
        <w:rPr>
          <w:i/>
          <w:iCs/>
          <w:sz w:val="24"/>
        </w:rPr>
        <w:t>Národního registru preventivních a screeningových vyšetření</w:t>
      </w:r>
      <w:r w:rsidRPr="03B59B71">
        <w:rPr>
          <w:sz w:val="24"/>
        </w:rPr>
        <w:t xml:space="preserve">, který bude součástí Národního zdravotnického </w:t>
      </w:r>
      <w:r w:rsidRPr="007B4D90">
        <w:rPr>
          <w:color w:val="auto"/>
          <w:sz w:val="24"/>
        </w:rPr>
        <w:t>informačního systému.</w:t>
      </w:r>
    </w:p>
    <w:p w:rsidR="000D1C3E" w:rsidRPr="007B4D90" w:rsidP="03B59B71" w14:paraId="45E3FC68" w14:textId="77777777">
      <w:pPr>
        <w:rPr>
          <w:color w:val="auto"/>
          <w:sz w:val="24"/>
        </w:rPr>
      </w:pPr>
    </w:p>
    <w:p w:rsidR="000D1C3E" w:rsidRPr="007B4D90" w:rsidP="007B4D90" w14:paraId="1E5E19F1" w14:textId="77777777">
      <w:pPr>
        <w:pStyle w:val="Podkapitola111opaten"/>
        <w:numPr>
          <w:ilvl w:val="2"/>
          <w:numId w:val="44"/>
        </w:numPr>
        <w:ind w:left="2160" w:hanging="360"/>
      </w:pPr>
      <w:bookmarkStart w:id="503" w:name="_Toc206588285"/>
      <w:bookmarkStart w:id="504" w:name="_Toc256000039"/>
      <w:r w:rsidRPr="007B4D90">
        <w:t>Specifický cíl 1.3 ‒ Léková politika a zvýšení dostupnosti léčiv</w:t>
      </w:r>
      <w:bookmarkEnd w:id="504"/>
      <w:bookmarkEnd w:id="503"/>
      <w:r w:rsidRPr="007B4D90">
        <w:t xml:space="preserve">   </w:t>
      </w:r>
    </w:p>
    <w:p w:rsidR="000D1C3E" w:rsidRPr="007B4D90" w:rsidP="000D1C3E" w14:paraId="1B15E49B" w14:textId="77777777">
      <w:pPr>
        <w:rPr>
          <w:color w:val="auto"/>
        </w:rPr>
      </w:pPr>
      <w:r w:rsidRPr="007B4D90">
        <w:rPr>
          <w:color w:val="auto"/>
        </w:rPr>
        <w:t>Farmaceutický průmysl v České republice je definován podmínkami stanovenými na úrovni Evropské unie. Důležitá jsou jak legislativní pravidla spojená s regulací výroby (např. pravidla správné výrobní praxe, pro registraci léčiv, ochrany životního prostředí, nakládání s odpady) a podporou průmyslu (možnosti podpory z veřejných prostředků), tak důsledky jednotného hospodářského prostoru (volný pohyb zboží). Vysoká míra regulace přináší výrobcům zvýšené náklady a ti pak musí čelit konkurenci s výrobou mimo Evropskou unii, převážně z Číny a Indie. Většina výrobců je dále závislá na subdodávkách surovin, od primárních chemických látek po účinné látky (tzv. API), jejichž výroba se v posledních 25 letech přesouvala za účelem snížení nákladů mimo Evropu.</w:t>
      </w:r>
    </w:p>
    <w:p w:rsidR="000D1C3E" w:rsidRPr="007B4D90" w:rsidP="000D1C3E" w14:paraId="31EFCEAC" w14:textId="77777777">
      <w:pPr>
        <w:rPr>
          <w:color w:val="auto"/>
        </w:rPr>
      </w:pPr>
      <w:r w:rsidRPr="007B4D90">
        <w:rPr>
          <w:color w:val="auto"/>
        </w:rPr>
        <w:t>Evropský farmaceutický průmysl čelí výzvám, jak zlepšit či udržet včasné a kontinuální dodávky léčiv, snížit zásoby, a přitom stále flexibilně reagovat na změny v dodávkách nebo ve spotřebě trhu, při zachování konkurenceschopnosti. V posledních dvou letech se zintenzivnila diskuse ohledně lékové soběstačnosti a problematiky výpadků léků. Nedostatek léků je uznáván jako globální problém Evropskou sítí pro regulaci léčiv (EMRN) a dalšími mezinárodními organizacemi jako je Světová zdravotnická organizace (WHO). Správné a včasné plánování výroby hraje klíčovou roli při řízení procesů, které přeměňují suroviny na život zachraňující léky. V dnešním vysoce konkurenčním a rychle se rozvíjejícím farmaceutickém průmyslu je nezbytné najít rovnováhu mezi optimalizací výrobních plánů a kontrolou nákladů. Český průmysl není výjimkou a v posledních třech letech navíc musel čelit vysoké inflaci, která se projevila nárůstem cen vstupů, avšak z důvodu regulace cen léčivých přípravků hrazených z veřejného systému zdravotního pojištění ji není možné plně promítnout do koncových cen.</w:t>
      </w:r>
    </w:p>
    <w:p w:rsidR="000D1C3E" w:rsidRPr="007B4D90" w:rsidP="000D1C3E" w14:paraId="57D87772" w14:textId="50C7CF65">
      <w:pPr>
        <w:rPr>
          <w:color w:val="auto"/>
        </w:rPr>
      </w:pPr>
      <w:r w:rsidRPr="007B4D90">
        <w:rPr>
          <w:color w:val="auto"/>
        </w:rPr>
        <w:t>Jak uvádí připravovaná zpráva OECD</w:t>
      </w:r>
      <w:r>
        <w:rPr>
          <w:rStyle w:val="FootnoteReference"/>
          <w:color w:val="auto"/>
        </w:rPr>
        <w:footnoteReference w:id="28"/>
      </w:r>
      <w:r w:rsidRPr="007B4D90">
        <w:rPr>
          <w:color w:val="auto"/>
        </w:rPr>
        <w:t>, jsou investice do farmaceutického výzkumu a vývoje v ČR nízké, ve výši zhruba jedné pětiny průměru EU, a to přesto, že je země silným centrem klinických studií. Vláda nově označila farmaceutický sektor za strategický a zavádí opatření na podporu domácí výroby a</w:t>
      </w:r>
      <w:r w:rsidR="004433F0">
        <w:rPr>
          <w:color w:val="auto"/>
        </w:rPr>
        <w:t> </w:t>
      </w:r>
      <w:r w:rsidRPr="007B4D90">
        <w:rPr>
          <w:color w:val="auto"/>
        </w:rPr>
        <w:t>stabilizaci dodavatelských řetězců</w:t>
      </w:r>
      <w:r>
        <w:rPr>
          <w:rStyle w:val="FootnoteReference"/>
          <w:color w:val="auto"/>
        </w:rPr>
        <w:footnoteReference w:id="29"/>
      </w:r>
      <w:r w:rsidRPr="007B4D90">
        <w:rPr>
          <w:color w:val="auto"/>
        </w:rPr>
        <w:t>.</w:t>
      </w:r>
    </w:p>
    <w:p w:rsidR="000D1C3E" w:rsidRPr="007B4D90" w:rsidP="000D1C3E" w14:paraId="266B3DE3" w14:textId="77777777">
      <w:pPr>
        <w:rPr>
          <w:color w:val="auto"/>
        </w:rPr>
      </w:pPr>
      <w:r w:rsidRPr="007B4D90">
        <w:rPr>
          <w:color w:val="auto"/>
        </w:rPr>
        <w:t>Česká republika je závislá na dovozu léčivých přípravků a její vlastní výroba nedokáže kapacitně a šíří portfolia výroby pokrýt národní spotřebu, což ilustruje negativní schodek zahraniční obchodní bilance. Mezi deseti největšími společnostmi na trhu</w:t>
      </w:r>
      <w:r>
        <w:rPr>
          <w:rStyle w:val="FootnoteReference"/>
          <w:color w:val="auto"/>
        </w:rPr>
        <w:footnoteReference w:id="30"/>
      </w:r>
      <w:r w:rsidRPr="007B4D90">
        <w:rPr>
          <w:color w:val="auto"/>
        </w:rPr>
        <w:t xml:space="preserve"> (ve finančním vyjádření dle obratu) se nacházejí dvě společnosti, Zentiva a Teva, které mají výrobu i v ČR. Tuzemské výrobní společnosti se zaměřují na výrobu generických léčivých přípravků. Česká republika je u dražších patentově chráněných léčivých přípravků závislá výhradně na dovozu, protože globální společnosti zabývající se vývojem a výrobou patentově chráněných léčiv nemají v ČR své sídlo ani výrobní kapacity</w:t>
      </w:r>
      <w:r>
        <w:rPr>
          <w:rStyle w:val="FootnoteReference"/>
          <w:color w:val="auto"/>
        </w:rPr>
        <w:footnoteReference w:id="31"/>
      </w:r>
      <w:r w:rsidRPr="007B4D90">
        <w:rPr>
          <w:color w:val="auto"/>
        </w:rPr>
        <w:t>.</w:t>
      </w:r>
    </w:p>
    <w:p w:rsidR="000D1C3E" w:rsidRPr="007B4D90" w:rsidP="000D1C3E" w14:paraId="7B31EF66" w14:textId="01143BCB">
      <w:pPr>
        <w:rPr>
          <w:color w:val="auto"/>
        </w:rPr>
      </w:pPr>
      <w:r w:rsidRPr="007B4D90">
        <w:rPr>
          <w:color w:val="auto"/>
        </w:rPr>
        <w:t>Výdaje na zdravotní péči v České republice zaznamenaly během posledních deseti let výrazný nárůst; zatímco v roce 2014 činily 234,9 mld. Kč, v roce 2024 dosáhly výše 505,5 mld. Kč v rámci systému veřejného zdravotního pojištění. Největší podíl prostředků směřuje do lůžkové péče (49 % celkových výdajů) a ambulantní péče (27,7 %), významnou součástí rozpočtu jsou však rovněž náklady na léky, které v roce 2024 představovaly 86,41 miliardy Kč (přibližně 17 % celkových nákladů), přičemž predikce zdravotních pojišťoven počítají s navýšením tohoto podílu na 18,1 %. Tento trend reflektuje rostoucí dostupnost inovativní léčby (např. CAR-T terapie, genová léčba, mRNA vakcíny apod.), která významně přispívá k prodlužování délky života, zlepšení jeho kvality a usnadnění návratu pacientů do běžného a</w:t>
      </w:r>
      <w:r w:rsidR="004433F0">
        <w:rPr>
          <w:color w:val="auto"/>
        </w:rPr>
        <w:t> </w:t>
      </w:r>
      <w:r w:rsidRPr="007B4D90">
        <w:rPr>
          <w:color w:val="auto"/>
        </w:rPr>
        <w:t xml:space="preserve">pracovního života. </w:t>
      </w:r>
    </w:p>
    <w:p w:rsidR="000D1C3E" w:rsidRPr="007B4D90" w:rsidP="000D1C3E" w14:paraId="45BA1643" w14:textId="77777777">
      <w:pPr>
        <w:rPr>
          <w:color w:val="auto"/>
        </w:rPr>
      </w:pPr>
      <w:r w:rsidRPr="007B4D90">
        <w:rPr>
          <w:color w:val="auto"/>
        </w:rPr>
        <w:t>Kromě nákladové stránky je klíčovým aspektem také dostupnost moderních léčiv pro pacienty. Podle analýzy EFPIA Patients W.A.I.T. Indicator z roku 2023 se Česká republika zařadila mezi přední evropské státy – s 104 novými přípravky dostupnými alespoň jednomu pacientovi obsadila 7. místo ze 36 hodnocených zemí. Dochází zároveň ke zkracování období od registrace nového léčiva do jeho skutečné dostupnosti pacientům. Dle údajů VZP v oblasti onkologie je Česko v dostupnosti nejmodernější léčby na šesté příčce a dle dostupných údajů za rok 2023 v léčbě vzácných onemocnění dokonce páté</w:t>
      </w:r>
      <w:r>
        <w:rPr>
          <w:rStyle w:val="FootnoteReference"/>
          <w:color w:val="auto"/>
        </w:rPr>
        <w:footnoteReference w:id="32"/>
      </w:r>
      <w:r w:rsidRPr="007B4D90">
        <w:rPr>
          <w:color w:val="auto"/>
        </w:rPr>
        <w:t>. Existují roční stropy na spoluúčast pacientů, které od roku 2025 fungují v reálném čase. Cenotvorba a úhrady jsou přísně regulovány s cílem udržet náklady pod kontrolou, včetně pravidelných revizí úhrad, které v roce 2023 přinesly úspory asi 200 milionů EUR</w:t>
      </w:r>
      <w:r>
        <w:rPr>
          <w:rStyle w:val="FootnoteReference"/>
          <w:color w:val="auto"/>
        </w:rPr>
        <w:footnoteReference w:id="33"/>
      </w:r>
      <w:r w:rsidRPr="007B4D90">
        <w:rPr>
          <w:color w:val="auto"/>
        </w:rPr>
        <w:t>.</w:t>
      </w:r>
    </w:p>
    <w:p w:rsidR="000D1C3E" w:rsidRPr="007B4D90" w:rsidP="000D1C3E" w14:paraId="0EF4EC13" w14:textId="2CFEDB90">
      <w:pPr>
        <w:rPr>
          <w:color w:val="auto"/>
        </w:rPr>
      </w:pPr>
      <w:r w:rsidRPr="007B4D90">
        <w:rPr>
          <w:color w:val="auto"/>
        </w:rPr>
        <w:t>Dostupnost léčiv v České republice ovlivňuje řada faktorů, zejména regionální rozdíly v dostupnosti poskytování zdravotní péče, omezené kapacity specializovaných center (například komplexní onkologická centra či centra pro léčbu roztroušené sklerózy), časové prodlevy v léčbě a dále preskripční či indikační omezení. Česká republika se musí rovněž vypořádat s tím, že se jedná o relativně malý trh, který je pro řadu výrobců/distributorů z hospodářského hlediska méně atraktivní. Většina patentově chráněných originálních přípravků je vyráběna společnostmi, které mají sídlo a výrobu mimo území České republiky. Tato situace není specifická pro lokální trh, ale je dána vysokou kapitálovou náročností vývoje originálních přípravků, kterou si mohou dovolit pouze velké mezinárodní společnosti</w:t>
      </w:r>
      <w:r>
        <w:rPr>
          <w:rStyle w:val="FootnoteReference"/>
          <w:color w:val="auto"/>
        </w:rPr>
        <w:footnoteReference w:id="34"/>
      </w:r>
      <w:r w:rsidRPr="007B4D90">
        <w:rPr>
          <w:color w:val="auto"/>
        </w:rPr>
        <w:t>. Nejen Česko, ale celá EU je stále více závislá na třetích zemích, obavy vyvolává antimikrobiální rezistence i</w:t>
      </w:r>
      <w:r w:rsidR="004433F0">
        <w:rPr>
          <w:color w:val="auto"/>
        </w:rPr>
        <w:t> </w:t>
      </w:r>
      <w:r w:rsidRPr="007B4D90">
        <w:rPr>
          <w:color w:val="auto"/>
        </w:rPr>
        <w:t xml:space="preserve">environmentální udržitelnost výroby a spotřeby léčivých přípravků. Zavedené léčivé přípravky jsou </w:t>
      </w:r>
      <w:r w:rsidRPr="007B4D90">
        <w:rPr>
          <w:color w:val="auto"/>
        </w:rPr>
        <w:t>doplňovány terapeutickými inovacemi, prosazuje se HTA</w:t>
      </w:r>
      <w:r>
        <w:rPr>
          <w:rStyle w:val="FootnoteReference"/>
          <w:color w:val="auto"/>
        </w:rPr>
        <w:footnoteReference w:id="35"/>
      </w:r>
      <w:r w:rsidRPr="007B4D90">
        <w:rPr>
          <w:color w:val="auto"/>
        </w:rPr>
        <w:t xml:space="preserve"> i vyšší zapojování pacientů do strategických a legislativních procesů. Pokrok vyžaduje zavedení moderních modelů financování, které umožní léčbu i udržitelnost solidárního systému veřejného zdravotního pojištění.</w:t>
      </w:r>
    </w:p>
    <w:p w:rsidR="000D1C3E" w:rsidRPr="007B4D90" w:rsidP="000D1C3E" w14:paraId="65113F4F" w14:textId="73347458">
      <w:pPr>
        <w:rPr>
          <w:color w:val="auto"/>
        </w:rPr>
      </w:pPr>
      <w:r w:rsidRPr="007B4D90">
        <w:rPr>
          <w:color w:val="auto"/>
        </w:rPr>
        <w:t>V roce 2022 započaly legislativní práce v oblasti zajištění dostupnosti léčivých přípravků pro pacienty v</w:t>
      </w:r>
      <w:r w:rsidR="004433F0">
        <w:rPr>
          <w:color w:val="auto"/>
        </w:rPr>
        <w:t> </w:t>
      </w:r>
      <w:r w:rsidRPr="007B4D90">
        <w:rPr>
          <w:color w:val="auto"/>
        </w:rPr>
        <w:t xml:space="preserve">ČR, prvotně, v návaznosti na zkušenosti z pandemie </w:t>
      </w:r>
      <w:r w:rsidR="007B4D90">
        <w:rPr>
          <w:color w:val="auto"/>
        </w:rPr>
        <w:t>C</w:t>
      </w:r>
      <w:r w:rsidRPr="007B4D90">
        <w:rPr>
          <w:color w:val="auto"/>
        </w:rPr>
        <w:t>ovid-19, těch, které jsou významné z hlediska ochrany veřejného zdraví, a to zejména s ohledem na zajištění úhrady ze zdravotního pojištění.</w:t>
      </w:r>
    </w:p>
    <w:p w:rsidR="000D1C3E" w:rsidRPr="007B4D90" w:rsidP="000D1C3E" w14:paraId="61B6B28F" w14:textId="0FE8F4FA">
      <w:pPr>
        <w:rPr>
          <w:color w:val="auto"/>
        </w:rPr>
      </w:pPr>
      <w:r w:rsidRPr="007B4D90">
        <w:rPr>
          <w:color w:val="auto"/>
        </w:rPr>
        <w:t>Na tyto práce bylo s ohledem na období významnějších výpadků léčivých přípravků navázáno přípravou novely zákona o léčivech, která nabyla účinnosti v roce 2024, a která stanovila nové nástroje státu a</w:t>
      </w:r>
      <w:r w:rsidR="004433F0">
        <w:rPr>
          <w:color w:val="auto"/>
        </w:rPr>
        <w:t> </w:t>
      </w:r>
      <w:r w:rsidRPr="007B4D90">
        <w:rPr>
          <w:color w:val="auto"/>
        </w:rPr>
        <w:t xml:space="preserve">nová práva a povinnosti regulovaných subjektů napříč celým dodavatelským řetězcem směřující k přípravě na budoucí výpadky léčivých přípravků a v případě aktivních výpadků ke zmírnění jejich dopadů na pacienty v České republice, a to nejen z hlediska faktické dostupnosti, ale též cenové dostupnosti. Novela zákona o léčivech tak stanovuje nové, účinnější a flexibilnější možnosti aktivního vstupu státu do koordinace řešení výpadků léčivých přípravků. </w:t>
      </w:r>
    </w:p>
    <w:p w:rsidR="000D1C3E" w:rsidRPr="007B4D90" w:rsidP="000D1C3E" w14:paraId="38ECF144" w14:textId="77777777">
      <w:pPr>
        <w:rPr>
          <w:color w:val="auto"/>
        </w:rPr>
      </w:pPr>
      <w:r w:rsidRPr="007B4D90">
        <w:rPr>
          <w:color w:val="auto"/>
        </w:rPr>
        <w:t>Nově může Ministerstvo zdravotnictví stanovit povinnost tvorby měsíčních zásob vybraných léčivých přípravků na úrovni distributorů a její následné rozpouštění.  Státní ústav pro kontrolu léčiv může lépe monitorovat reálnou dostupnost léčivých přípravků ve všech úrovních dodavatelského řetězce, též může označovat léčivé přípravky příznakem „omezená dostupnost“ v případě výpadku dodávek, což aktivuje další povinnosti subjektů dodavatelského řetězce (např. nedistribuovat je do zahraničí na úrovni distributorů, případně možnost omezeného objednávání lékárnami, aby nedocházelo k nadměrnému předzásobování a vytváření lokální nedostupnosti). Držitelé rozhodnutí o registraci mají nově povinnost zajistit dodávky i po datu oznámení přerušení či ukončení dodávek léčivého přípravku na trh a distributoři mají nově povinnost nezvýhodňovat konkrétní lékárny při objednávání a v případě léčivého přípravku označeného příznakem „omezená dostupnost“ povinnost dodat je do dvou pracovních dnů od přijetí objednávky od lékárny. Novela též pamatuje na cenovou dostupnost v případě výpadků léčivých přípravků, pokud bude zajištěna náhrada pomocí zvláštních institutů k zajištění dostupnosti léčiv, může být nahrazujícímu léčivému přípravku stanovena úhrada tak, aby byl doplatek pacienta stejný jako byl u léčivého přípravku, který je ve výpadku.</w:t>
      </w:r>
    </w:p>
    <w:p w:rsidR="000D1C3E" w:rsidRPr="007B4D90" w:rsidP="000D1C3E" w14:paraId="74F084F5" w14:textId="77777777">
      <w:pPr>
        <w:rPr>
          <w:color w:val="auto"/>
        </w:rPr>
      </w:pPr>
      <w:r w:rsidRPr="007B4D90">
        <w:rPr>
          <w:color w:val="auto"/>
        </w:rPr>
        <w:t>V neposlední řadě byla v rámci novely zákona o veřejném zdravotním pojištění, která nabude účinnosti dne 1. 1. 2026 legislativně ukotveno posílení role zdravotních pojišťoven při zajištění dostupnosti léčivých přípravků, a to v podobě možnosti centrálního zadávání veřejných zakázek na vybrané (nové) léčivé přípravky a dále povinnost uhradit léčivé přípravky zajištěné v rámci mezinárodní spolupráce.</w:t>
      </w:r>
    </w:p>
    <w:p w:rsidR="000D1C3E" w:rsidRPr="007B4D90" w:rsidP="000D1C3E" w14:paraId="4A29A13E" w14:textId="77777777">
      <w:pPr>
        <w:rPr>
          <w:color w:val="auto"/>
        </w:rPr>
      </w:pPr>
      <w:r w:rsidRPr="007B4D90">
        <w:rPr>
          <w:color w:val="auto"/>
        </w:rPr>
        <w:t>Léková politika bude v nadcházejícím období významně ovlivněna připravovanými změnami evropské legislativy v oblasti léčiv. Revize obecné farmaceutické legislativy (General Pharmaceutical Legislation, GPL) Evropské komise zahrnuje návrhy zásadních opatření, která mají dopad na proces uvádění léčiv na trhy zemí EU, včetně úpravy struktury Evropské agentury pro léčivé přípravky (EMA). Další změny se týkají zejména Evropského prostoru pro zdravotní data (EHDS), digitalizace zdravotnictví a posílení strategické pozice EU ve výrobě léčiv. Členské státy EU dále řeší nastavení pobídek pro inovativní farmaceutický průmysl, podporu konkurenceschopnosti v oblasti výzkumu a výroby farmaceutických produktů. V neposlední řadě bude zapotřebí implementovat nařízení o kriticky důležitých léčivých přípravcích (CMA), na jehož základě bude zavedena možnost regulatorní flexibility za účelem podpory výroby v EU a při nákupu léčivých přípravků ze seznamu kritických léčiv.</w:t>
      </w:r>
    </w:p>
    <w:p w:rsidR="000D1C3E" w:rsidRPr="007B4D90" w:rsidP="000D1C3E" w14:paraId="3A1B9347" w14:textId="77777777">
      <w:pPr>
        <w:rPr>
          <w:color w:val="auto"/>
        </w:rPr>
      </w:pPr>
      <w:r w:rsidRPr="007B4D90">
        <w:rPr>
          <w:color w:val="auto"/>
        </w:rPr>
        <w:t xml:space="preserve">Obyvatelé České republiky očekávají, že se jim v případě potřeby dostane bezpečné, moderní a cenově dostupné léčby. Proto Strategický rámec Zdraví 2035 rovněž reaguje na fakt, že trh s léčivými přípravky </w:t>
      </w:r>
      <w:r w:rsidRPr="007B4D90">
        <w:rPr>
          <w:color w:val="auto"/>
        </w:rPr>
        <w:t>se dlouhodobě potýká s výpadky dodávek léčivých přípravků, kdy tento problém byl zvýrazněn pandemií onemocnění covid-19, narušením dodavatelských řetězců a dopady řady mezinárodních konfliktů (mj. zablokováním Suezského průplavu, válkou v Ukrajině a v neposlední řadě celní politikou USA apod.).</w:t>
      </w:r>
    </w:p>
    <w:p w:rsidR="000D1C3E" w:rsidRPr="007B4D90" w:rsidP="000D1C3E" w14:paraId="4EEDD6C5" w14:textId="75AA1EFE">
      <w:pPr>
        <w:rPr>
          <w:color w:val="auto"/>
        </w:rPr>
      </w:pPr>
      <w:r w:rsidRPr="007B4D90">
        <w:rPr>
          <w:color w:val="auto"/>
        </w:rPr>
        <w:t>V kontextu globálních výzev je proto nezbytné specifický cíl 1.3 designovat tak, aby jeho kroky vedly ke zvýšení dostupnosti léčivých přípravků pacientům v České republice, tedy zajištění systémové dostupnosti napříč regiony, diagnózami a skupinami pacientů. V předmětném období bude navázáno na dříve uskutečněná opatření zaměřená na stabilitu a udržitelnost lékového systému vč. kritické infrastruktury. Klíčovou roli budou hrát implementace evropské legislativy, detailní monitoring dodavatelsko-odběratelských řetězců, zajištění finanční udržitelnosti systému zdravotního pojištění, efektivní koordinace zapojených subjektů aktivní spoluprací regulátorů, zákonodárců, výrobců a</w:t>
      </w:r>
      <w:r w:rsidR="004433F0">
        <w:rPr>
          <w:color w:val="auto"/>
        </w:rPr>
        <w:t> </w:t>
      </w:r>
      <w:r w:rsidRPr="007B4D90">
        <w:rPr>
          <w:color w:val="auto"/>
        </w:rPr>
        <w:t xml:space="preserve">distributorů léčiv, zdravotních pojišťoven, lékařů, zdravotníků i pacientů, jako i zajištění lékové politiky v intencích bezpečnosti státu a posilování odolnosti a stability zdravotnického systému. </w:t>
      </w:r>
    </w:p>
    <w:p w:rsidR="000D1C3E" w:rsidP="03B59B71" w14:paraId="3A46F73B" w14:textId="77777777">
      <w:pPr>
        <w:rPr>
          <w:sz w:val="24"/>
        </w:rPr>
      </w:pPr>
    </w:p>
    <w:p w:rsidR="00FC5DCD" w:rsidRPr="00F21E81" w:rsidP="03B59B71" w14:paraId="28E34699" w14:textId="77777777">
      <w:pPr>
        <w:rPr>
          <w:sz w:val="24"/>
        </w:rPr>
      </w:pPr>
    </w:p>
    <w:p w:rsidR="006C359E" w:rsidRPr="00A955AF" w:rsidP="0070747B" w14:paraId="60D73BF2" w14:textId="77777777">
      <w:pPr>
        <w:pStyle w:val="Podkapitola111opaten"/>
        <w:numPr>
          <w:ilvl w:val="2"/>
          <w:numId w:val="44"/>
        </w:numPr>
        <w:ind w:left="1134" w:hanging="360"/>
      </w:pPr>
      <w:bookmarkStart w:id="505" w:name="_Toc256000040"/>
      <w:r w:rsidRPr="00D43172">
        <w:t xml:space="preserve">Specifický cíl </w:t>
      </w:r>
      <w:r>
        <w:t>2</w:t>
      </w:r>
      <w:r w:rsidRPr="00D43172">
        <w:t xml:space="preserve">.1 ‒ </w:t>
      </w:r>
      <w:r w:rsidRPr="00A955AF">
        <w:t>Reforma primární péče</w:t>
      </w:r>
      <w:bookmarkEnd w:id="505"/>
      <w:r w:rsidRPr="00A955AF">
        <w:t xml:space="preserve"> </w:t>
      </w:r>
    </w:p>
    <w:p w:rsidR="006C359E" w:rsidRPr="00BF3F84" w:rsidP="006C359E" w14:paraId="3C23A328" w14:textId="77777777">
      <w:pPr>
        <w:rPr>
          <w:rFonts w:cs="Times New Roman"/>
          <w:color w:val="auto"/>
          <w:sz w:val="24"/>
        </w:rPr>
      </w:pPr>
      <w:r w:rsidRPr="3FB65DA6">
        <w:rPr>
          <w:rFonts w:cs="Times New Roman"/>
          <w:sz w:val="24"/>
        </w:rPr>
        <w:t xml:space="preserve">Specifický </w:t>
      </w:r>
      <w:r w:rsidRPr="00BF3F84">
        <w:rPr>
          <w:rFonts w:cs="Times New Roman"/>
          <w:color w:val="auto"/>
          <w:sz w:val="24"/>
        </w:rPr>
        <w:t xml:space="preserve">cíl sleduje zejména postupnou proměnu a posílení primární péče tak, aby byla schopna poskytovat v maximálním rozsahu co nejširší, a přitom kvalitní péči snadno dostupnou pacientovi. Ačkoli jde zejména o posílení postavení a rozšíření pravomocí registrujících praktických lékařů, fakticky reforma přinese postupnou rekonstrukci kapacit celého ambulantního segmentu péče, včetně ambulantních specialistů. </w:t>
      </w:r>
    </w:p>
    <w:p w:rsidR="006C359E" w:rsidRPr="00BF3F84" w:rsidP="006C359E" w14:paraId="3E37131E" w14:textId="5CDD8014">
      <w:pPr>
        <w:rPr>
          <w:rFonts w:ascii="Calibri" w:eastAsia="Calibri" w:hAnsi="Calibri" w:cs="Calibri"/>
          <w:color w:val="auto"/>
          <w:sz w:val="24"/>
        </w:rPr>
      </w:pPr>
      <w:r w:rsidRPr="00BF3F84">
        <w:rPr>
          <w:rFonts w:ascii="Calibri" w:eastAsia="Calibri" w:hAnsi="Calibri" w:cs="Calibri"/>
          <w:color w:val="auto"/>
          <w:sz w:val="24"/>
        </w:rPr>
        <w:t>Nově dostupná data Národního zdravotnického informačního systému, zejména Národního registru zdravotnických pracovníků a Národního registru poskytovatelů zdravotních služeb, dokládají naléhavost plnění tohoto specifického cíle a významný pozitivní potenciál jeho stanovených dílčích cílů. Ačkoli se celkový počet lékařů v ČR v posledních dvaceti letech mírně zvyšuje, problémem je nerovnoměrná distribuce jejich kapacit a u praktických lékařů i jejich vysoký věk v přibližně 30 % ambulancí. Přestože je počet lékařů v současné době poměrně vysoký, vysoký průměrný věk lékařů může brzy vést k omezení nabídky, které ovlivní pokrytí a</w:t>
      </w:r>
      <w:r w:rsidR="00FC5DCD">
        <w:rPr>
          <w:rFonts w:ascii="Calibri" w:eastAsia="Calibri" w:hAnsi="Calibri" w:cs="Calibri"/>
          <w:color w:val="auto"/>
          <w:sz w:val="24"/>
        </w:rPr>
        <w:t> </w:t>
      </w:r>
      <w:r w:rsidRPr="00BF3F84">
        <w:rPr>
          <w:rFonts w:ascii="Calibri" w:eastAsia="Calibri" w:hAnsi="Calibri" w:cs="Calibri"/>
          <w:color w:val="auto"/>
          <w:sz w:val="24"/>
        </w:rPr>
        <w:t xml:space="preserve">kvalitu péče. Každoroční produkce českých lékařských fakult sice v současnosti pokrývá odchody lékařů do důchodu, ale roční pozitivní přírůstek do systému je pouze +250 až +350 plných úvazků lékařů, z nichž podstatnou část absorbuje akutní lůžková péče. </w:t>
      </w:r>
    </w:p>
    <w:p w:rsidR="006C359E" w:rsidRPr="00BF3F84" w:rsidP="006C359E" w14:paraId="61E53AB7" w14:textId="77777777">
      <w:pPr>
        <w:rPr>
          <w:rFonts w:ascii="Calibri" w:eastAsia="Calibri" w:hAnsi="Calibri" w:cs="Calibri"/>
          <w:color w:val="auto"/>
          <w:sz w:val="24"/>
        </w:rPr>
      </w:pPr>
      <w:r w:rsidRPr="00BF3F84">
        <w:rPr>
          <w:rFonts w:ascii="Calibri" w:eastAsia="Calibri" w:hAnsi="Calibri" w:cs="Calibri"/>
          <w:color w:val="auto"/>
          <w:sz w:val="24"/>
        </w:rPr>
        <w:t>Analýzy provedené nad segmentem poskytovatelů ambulantních služeb v letech 2010–2023 vedly k následujícím hlavním závěrům:</w:t>
      </w:r>
    </w:p>
    <w:p w:rsidR="006C359E" w:rsidRPr="00BF3F84" w:rsidP="006C359E" w14:paraId="320A6FFF" w14:textId="42A7430A">
      <w:pPr>
        <w:pStyle w:val="ListParagraph"/>
        <w:spacing w:before="0" w:after="0"/>
        <w:rPr>
          <w:rFonts w:ascii="Calibri" w:eastAsia="Calibri" w:hAnsi="Calibri" w:cs="Calibri"/>
          <w:color w:val="auto"/>
          <w:sz w:val="24"/>
          <w:szCs w:val="24"/>
        </w:rPr>
      </w:pPr>
      <w:r w:rsidRPr="00BF3F84">
        <w:rPr>
          <w:rFonts w:ascii="Calibri" w:eastAsia="Calibri" w:hAnsi="Calibri" w:cs="Calibri"/>
          <w:color w:val="auto"/>
          <w:sz w:val="24"/>
          <w:szCs w:val="24"/>
        </w:rPr>
        <w:t>V ČR existuje dlouhodobá nevyváženost kapacit různých typů poskytovatelů v</w:t>
      </w:r>
      <w:r w:rsidR="00FC5DCD">
        <w:rPr>
          <w:rFonts w:ascii="Calibri" w:eastAsia="Calibri" w:hAnsi="Calibri" w:cs="Calibri"/>
          <w:color w:val="auto"/>
          <w:sz w:val="24"/>
          <w:szCs w:val="24"/>
        </w:rPr>
        <w:t> </w:t>
      </w:r>
      <w:r w:rsidRPr="00BF3F84">
        <w:rPr>
          <w:rFonts w:ascii="Calibri" w:eastAsia="Calibri" w:hAnsi="Calibri" w:cs="Calibri"/>
          <w:color w:val="auto"/>
          <w:sz w:val="24"/>
          <w:szCs w:val="24"/>
        </w:rPr>
        <w:t xml:space="preserve">segmentu ambulantní péče, a to v neprospěch kapacit praktických lékařů. Významně vysoký podíl ambulantních specialistů vs. nízká a klesající kapacita praktických lékařů jsou opakovaně zmiňovány jako kritické místo českého zdravotnictví ve srovnávacích analýzách OECD, EUROSTAT i WHO. </w:t>
      </w:r>
    </w:p>
    <w:p w:rsidR="006C359E" w:rsidRPr="00BF3F84" w:rsidP="006C359E" w14:paraId="55776A98" w14:textId="77777777">
      <w:pPr>
        <w:pStyle w:val="ListParagraph"/>
        <w:spacing w:before="0" w:after="0"/>
        <w:rPr>
          <w:rFonts w:ascii="Calibri" w:eastAsia="Calibri" w:hAnsi="Calibri" w:cs="Calibri"/>
          <w:color w:val="auto"/>
          <w:sz w:val="24"/>
          <w:szCs w:val="24"/>
        </w:rPr>
      </w:pPr>
      <w:r w:rsidRPr="00BF3F84">
        <w:rPr>
          <w:rFonts w:ascii="Calibri" w:eastAsia="Calibri" w:hAnsi="Calibri" w:cs="Calibri"/>
          <w:color w:val="auto"/>
          <w:sz w:val="24"/>
          <w:szCs w:val="24"/>
        </w:rPr>
        <w:t xml:space="preserve">Rozdíly v dostupné kapacitě ambulantních specialistů a praktických lékařů se významně liší mezi regiony ČR; velmi vysoký podíl ambulantních specialistů je patrný ve velkých městech, zejména pak v Praze a v Brně. Velkým problémem je malá a v čase klesající dostupnost praktických lékařů v menších sídlech (&lt;2000 obyvatel) a v méně atraktivních oblastech republiky. Hustota lékařů na 1000 obyvatel činí 6,8 v městských oblastech a 1,9 ve venkovských oblastech, kde navíc často dochází k ukončování činnosti praktických lékařů především v malých sídlech. </w:t>
      </w:r>
    </w:p>
    <w:p w:rsidR="006C359E" w:rsidRPr="00BF3F84" w:rsidP="006C359E" w14:paraId="614124B4" w14:textId="3F04495B">
      <w:pPr>
        <w:rPr>
          <w:rFonts w:ascii="Calibri" w:eastAsia="Calibri" w:hAnsi="Calibri" w:cs="Calibri"/>
          <w:color w:val="auto"/>
          <w:sz w:val="24"/>
        </w:rPr>
      </w:pPr>
      <w:r w:rsidRPr="00BF3F84">
        <w:rPr>
          <w:rFonts w:ascii="Calibri" w:eastAsia="Calibri" w:hAnsi="Calibri" w:cs="Calibri"/>
          <w:color w:val="auto"/>
          <w:sz w:val="24"/>
        </w:rPr>
        <w:t xml:space="preserve">Situaci komplikuje celkový demografický vývoj populace českých lékařů, kteří velmi rychle demograficky stárnou. Ve věku nad šedesát let je téměř více než 29 % lékařů. Nejzávažněji se </w:t>
      </w:r>
      <w:r w:rsidRPr="00BF3F84">
        <w:rPr>
          <w:rFonts w:ascii="Calibri" w:eastAsia="Calibri" w:hAnsi="Calibri" w:cs="Calibri"/>
          <w:color w:val="auto"/>
          <w:sz w:val="24"/>
        </w:rPr>
        <w:t>tato situace projevuje zejména v segmentu praktických lékařů. Již v období 2018–2023 je možné pozorovat začínající trend úbytku aktivních ordinací praktických lékařů pro dospělé z</w:t>
      </w:r>
      <w:r w:rsidR="00FC5DCD">
        <w:rPr>
          <w:rFonts w:ascii="Calibri" w:eastAsia="Calibri" w:hAnsi="Calibri" w:cs="Calibri"/>
          <w:color w:val="auto"/>
          <w:sz w:val="24"/>
        </w:rPr>
        <w:t> </w:t>
      </w:r>
      <w:r w:rsidRPr="00BF3F84">
        <w:rPr>
          <w:rFonts w:ascii="Calibri" w:eastAsia="Calibri" w:hAnsi="Calibri" w:cs="Calibri"/>
          <w:color w:val="auto"/>
          <w:sz w:val="24"/>
        </w:rPr>
        <w:t xml:space="preserve">důvodu jejich odchodu do důchodu. Roční úbytek činí v průměru 0,6 až 1,8 % (kalkulováno na počet míst poskytování služeb). Ještě závažnější je situace v segmentu praktických lékařů pro děti a dorost, jejichž průměrný věk dosáhl hodnoty šedesáti let. I zde dostupná data dokládají trend úbytku aktivních ordinací praktických lékařů z důvodu jejich odchodu do důchodu. Roční úbytek činí v průměru 3,2 až 4,9 %. Věk lékařů, kteří v roce 2023 ukončili ambulantní praxi, je relativně vysoký (v mediánu 56 let) a ukončené praxe jsou typicky dlouhotrvající (medián 21 let). </w:t>
      </w:r>
    </w:p>
    <w:p w:rsidR="006C359E" w:rsidRPr="00BF3F84" w:rsidP="006C359E" w14:paraId="1B2A0547" w14:textId="727A6352">
      <w:pPr>
        <w:rPr>
          <w:rFonts w:ascii="Calibri" w:eastAsia="Calibri" w:hAnsi="Calibri" w:cs="Calibri"/>
          <w:color w:val="auto"/>
          <w:sz w:val="24"/>
        </w:rPr>
      </w:pPr>
      <w:r w:rsidRPr="00BF3F84">
        <w:rPr>
          <w:rFonts w:ascii="Calibri" w:eastAsia="Calibri" w:hAnsi="Calibri" w:cs="Calibri"/>
          <w:color w:val="auto"/>
          <w:sz w:val="24"/>
        </w:rPr>
        <w:t>Potřebu reformy primární péče dokládají i dostupná mezinárodní srovnání. Mezi lety 2010 a</w:t>
      </w:r>
      <w:r w:rsidR="00FC5DCD">
        <w:rPr>
          <w:rFonts w:ascii="Calibri" w:eastAsia="Calibri" w:hAnsi="Calibri" w:cs="Calibri"/>
          <w:color w:val="auto"/>
          <w:sz w:val="24"/>
        </w:rPr>
        <w:t> </w:t>
      </w:r>
      <w:r w:rsidRPr="00BF3F84">
        <w:rPr>
          <w:rFonts w:ascii="Calibri" w:eastAsia="Calibri" w:hAnsi="Calibri" w:cs="Calibri"/>
          <w:color w:val="auto"/>
          <w:sz w:val="24"/>
        </w:rPr>
        <w:t>2023 se podíl lékařů starších 55 let zvýšil z 33 % na 39 % a patří tak k vyšším v OECD. Struktura lékařů poskytujících základní a speciální primární péči je nevyvážená i v mezinárodním srovnání, neboť všeobecných lékařů je podstatně méně než specialistů. Podle mezinárodně dostupných dat je v ČR pouze 19 % všeobecných praktických lékařů, zatímco průměr zemí OECD činí 21 %. Počet praktických lékařů je tedy v ČR z mezinárodního hlediska podprůměrný. Rovněž je patrné, že obdobný problém v tomto segmentu péče řeší například i Německo, které reportuje do mezinárodních statistik rostoucí problémy s kapacitou praktických lékařů v</w:t>
      </w:r>
      <w:r w:rsidR="00FC5DCD">
        <w:rPr>
          <w:rFonts w:ascii="Calibri" w:eastAsia="Calibri" w:hAnsi="Calibri" w:cs="Calibri"/>
          <w:color w:val="auto"/>
          <w:sz w:val="24"/>
        </w:rPr>
        <w:t> </w:t>
      </w:r>
      <w:r w:rsidRPr="00BF3F84">
        <w:rPr>
          <w:rFonts w:ascii="Calibri" w:eastAsia="Calibri" w:hAnsi="Calibri" w:cs="Calibri"/>
          <w:color w:val="auto"/>
          <w:sz w:val="24"/>
        </w:rPr>
        <w:t>důsledku jejich stárnutí. Bez účinných preventivních opatření zvyšujících atraktivitu práce praktického lékaře tak hrozí rostoucí odchody mladých absolventů do zahraničí.</w:t>
      </w:r>
    </w:p>
    <w:p w:rsidR="006C359E" w:rsidRPr="00FC5DCD" w:rsidP="00FC5DCD" w14:paraId="01C2875C" w14:textId="5C413CDE">
      <w:pPr>
        <w:spacing w:before="0" w:after="160" w:line="257" w:lineRule="auto"/>
        <w:rPr>
          <w:color w:val="auto"/>
          <w:sz w:val="24"/>
        </w:rPr>
      </w:pPr>
      <w:r w:rsidRPr="00BF3F84">
        <w:rPr>
          <w:rFonts w:cs="Times New Roman"/>
          <w:color w:val="auto"/>
          <w:sz w:val="24"/>
        </w:rPr>
        <w:t xml:space="preserve">Lékaři v primární péči plní i důležitou preventivní roli, důraz na prevenci v ordinaci praktického lékaře by měl být zvyšován, neboť s sebou nese velký pozitivní potenciál pro zdraví obyvatel, rovněž s nezanedbatelným efektem pro zdravotní gramotnost. </w:t>
      </w:r>
      <w:r w:rsidRPr="00BF3F84">
        <w:rPr>
          <w:color w:val="auto"/>
          <w:sz w:val="24"/>
        </w:rPr>
        <w:t xml:space="preserve"> V roce 2023 absolvovalo během posledních dvou let (2022–2023) preventivní prohlídku 60 % osob (rozsah mezi kraji 52–63 %), což představuje navýšení pokrytí o 2 % oproti roku 2019, kdy bylo preventivní prohlídkou v posledních dvou letech (2018–2019) pokryto 58 % osob (rozsah mezi kraji 51–62 %). Vyššího pokrytí obecně dosahují osoby do 18 let věku, přičemž po přechodu k praktickému lékaři pro dospělé dochází k výraznému poklesu pokrytí. V roce 2023 absolvovalo během posledních dvou let (2022–2023) preventivní prohlídku 90 % osob ve věkové kategorii 0–17 let, u osob ve věku 18 a více let dosahovalo pokrytí 52 %.</w:t>
      </w:r>
    </w:p>
    <w:p w:rsidR="006C359E" w:rsidP="006C359E" w14:paraId="1ECF7910" w14:textId="77777777">
      <w:pPr>
        <w:rPr>
          <w:rFonts w:cs="Times New Roman"/>
          <w:bCs/>
          <w:color w:val="auto"/>
          <w:sz w:val="24"/>
        </w:rPr>
      </w:pPr>
      <w:r w:rsidRPr="00BF3F84">
        <w:rPr>
          <w:rFonts w:cs="Times New Roman"/>
          <w:bCs/>
          <w:color w:val="auto"/>
          <w:sz w:val="24"/>
        </w:rPr>
        <w:t>Nutností bude také výrazné posílení kompetencí všeobecné sestry založené na postgraduálním vzdělávání v magisterském programu, popř. ve specializačním vzdělávání, se zaměřením na primární péči (sestra v primární péči).</w:t>
      </w:r>
    </w:p>
    <w:p w:rsidR="000D1C3E" w:rsidRPr="004433F0" w:rsidP="004433F0" w14:paraId="178FC7C8" w14:textId="1A73EE3C">
      <w:pPr>
        <w:pStyle w:val="Caption"/>
        <w:rPr>
          <w:rFonts w:cs="Times New Roman"/>
          <w:color w:val="auto"/>
          <w:sz w:val="24"/>
        </w:rPr>
      </w:pPr>
      <w:bookmarkStart w:id="506" w:name="_Toc256000071"/>
      <w:r>
        <w:t xml:space="preserve">Tabulka </w:t>
      </w:r>
      <w:r>
        <w:fldChar w:fldCharType="begin"/>
      </w:r>
      <w:r>
        <w:instrText xml:space="preserve"> SEQ Tabulka \* ARABIC </w:instrText>
      </w:r>
      <w:r>
        <w:fldChar w:fldCharType="separate"/>
      </w:r>
      <w:r>
        <w:t>1</w:t>
      </w:r>
      <w:r>
        <w:fldChar w:fldCharType="end"/>
      </w:r>
      <w:r>
        <w:t xml:space="preserve"> </w:t>
      </w:r>
      <w:r w:rsidRPr="007A1873">
        <w:t xml:space="preserve"> Návštěvy Pražské LPS dle krajů bydliště</w:t>
      </w:r>
      <w:bookmarkEnd w:id="506"/>
    </w:p>
    <w:tbl>
      <w:tblPr>
        <w:tblW w:w="9072" w:type="dxa"/>
        <w:tblLayout w:type="fixed"/>
        <w:tblCellMar>
          <w:left w:w="70" w:type="dxa"/>
          <w:right w:w="70" w:type="dxa"/>
        </w:tblCellMar>
        <w:tblLook w:val="04A0"/>
      </w:tblPr>
      <w:tblGrid>
        <w:gridCol w:w="1273"/>
        <w:gridCol w:w="974"/>
        <w:gridCol w:w="975"/>
        <w:gridCol w:w="975"/>
        <w:gridCol w:w="975"/>
        <w:gridCol w:w="975"/>
        <w:gridCol w:w="975"/>
        <w:gridCol w:w="975"/>
        <w:gridCol w:w="975"/>
      </w:tblGrid>
      <w:tr w14:paraId="5365033E" w14:textId="77777777" w:rsidTr="00B56B1A">
        <w:tblPrEx>
          <w:tblW w:w="9072" w:type="dxa"/>
          <w:tblLayout w:type="fixed"/>
          <w:tblCellMar>
            <w:left w:w="70" w:type="dxa"/>
            <w:right w:w="70" w:type="dxa"/>
          </w:tblCellMar>
          <w:tblLook w:val="04A0"/>
        </w:tblPrEx>
        <w:trPr>
          <w:trHeight w:val="300"/>
        </w:trPr>
        <w:tc>
          <w:tcPr>
            <w:tcW w:w="1273" w:type="dxa"/>
            <w:vMerge w:val="restart"/>
            <w:tcBorders>
              <w:top w:val="nil"/>
              <w:left w:val="nil"/>
              <w:bottom w:val="single" w:sz="4" w:space="0" w:color="000000" w:themeColor="text1"/>
              <w:right w:val="single" w:sz="4" w:space="0" w:color="auto"/>
            </w:tcBorders>
            <w:noWrap/>
            <w:vAlign w:val="bottom"/>
            <w:hideMark/>
          </w:tcPr>
          <w:p w:rsidR="006C359E" w:rsidRPr="00BF3F84" w:rsidP="00B56B1A" w14:paraId="18642DD7"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Kraj bydliště </w:t>
            </w:r>
          </w:p>
        </w:tc>
        <w:tc>
          <w:tcPr>
            <w:tcW w:w="7799" w:type="dxa"/>
            <w:gridSpan w:val="8"/>
            <w:tcBorders>
              <w:top w:val="nil"/>
              <w:left w:val="nil"/>
              <w:bottom w:val="single" w:sz="4" w:space="0" w:color="auto"/>
              <w:right w:val="nil"/>
            </w:tcBorders>
            <w:noWrap/>
            <w:vAlign w:val="bottom"/>
            <w:hideMark/>
          </w:tcPr>
          <w:p w:rsidR="006C359E" w:rsidRPr="00BF3F84" w:rsidP="00B56B1A" w14:paraId="563F3F1C"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Obvod pracoviště </w:t>
            </w:r>
          </w:p>
        </w:tc>
      </w:tr>
      <w:tr w14:paraId="15E305E0" w14:textId="77777777" w:rsidTr="00B56B1A">
        <w:tblPrEx>
          <w:tblW w:w="9072" w:type="dxa"/>
          <w:tblLayout w:type="fixed"/>
          <w:tblCellMar>
            <w:left w:w="70" w:type="dxa"/>
            <w:right w:w="70" w:type="dxa"/>
          </w:tblCellMar>
          <w:tblLook w:val="04A0"/>
        </w:tblPrEx>
        <w:trPr>
          <w:trHeight w:val="300"/>
        </w:trPr>
        <w:tc>
          <w:tcPr>
            <w:tcW w:w="1273" w:type="dxa"/>
            <w:vMerge/>
            <w:vAlign w:val="center"/>
            <w:hideMark/>
          </w:tcPr>
          <w:p w:rsidR="006C359E" w:rsidRPr="00BF3F84" w:rsidP="00B56B1A" w14:paraId="653A34D7" w14:textId="77777777">
            <w:pPr>
              <w:spacing w:before="0" w:after="0"/>
              <w:jc w:val="left"/>
              <w:rPr>
                <w:rFonts w:ascii="Calibri" w:eastAsia="Times New Roman" w:hAnsi="Calibri" w:cs="Calibri"/>
                <w:color w:val="auto"/>
                <w:sz w:val="16"/>
                <w:szCs w:val="16"/>
                <w:lang w:eastAsia="cs-CZ"/>
              </w:rPr>
            </w:pPr>
          </w:p>
        </w:tc>
        <w:tc>
          <w:tcPr>
            <w:tcW w:w="974" w:type="dxa"/>
            <w:tcBorders>
              <w:top w:val="nil"/>
              <w:left w:val="nil"/>
              <w:bottom w:val="single" w:sz="4" w:space="0" w:color="auto"/>
              <w:right w:val="nil"/>
            </w:tcBorders>
            <w:noWrap/>
            <w:vAlign w:val="center"/>
            <w:hideMark/>
          </w:tcPr>
          <w:p w:rsidR="006C359E" w:rsidRPr="00BF3F84" w:rsidP="00B56B1A" w14:paraId="050A1BB6"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1</w:t>
            </w:r>
          </w:p>
        </w:tc>
        <w:tc>
          <w:tcPr>
            <w:tcW w:w="975" w:type="dxa"/>
            <w:tcBorders>
              <w:top w:val="nil"/>
              <w:left w:val="nil"/>
              <w:bottom w:val="single" w:sz="4" w:space="0" w:color="auto"/>
              <w:right w:val="nil"/>
            </w:tcBorders>
            <w:noWrap/>
            <w:vAlign w:val="center"/>
            <w:hideMark/>
          </w:tcPr>
          <w:p w:rsidR="006C359E" w:rsidRPr="00BF3F84" w:rsidP="00B56B1A" w14:paraId="6FD5D567"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2</w:t>
            </w:r>
          </w:p>
        </w:tc>
        <w:tc>
          <w:tcPr>
            <w:tcW w:w="975" w:type="dxa"/>
            <w:tcBorders>
              <w:top w:val="nil"/>
              <w:left w:val="nil"/>
              <w:bottom w:val="single" w:sz="4" w:space="0" w:color="auto"/>
              <w:right w:val="nil"/>
            </w:tcBorders>
            <w:noWrap/>
            <w:vAlign w:val="center"/>
            <w:hideMark/>
          </w:tcPr>
          <w:p w:rsidR="006C359E" w:rsidRPr="00BF3F84" w:rsidP="00B56B1A" w14:paraId="7968CAC6"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4</w:t>
            </w:r>
          </w:p>
        </w:tc>
        <w:tc>
          <w:tcPr>
            <w:tcW w:w="975" w:type="dxa"/>
            <w:tcBorders>
              <w:top w:val="nil"/>
              <w:left w:val="nil"/>
              <w:bottom w:val="single" w:sz="4" w:space="0" w:color="auto"/>
              <w:right w:val="nil"/>
            </w:tcBorders>
            <w:noWrap/>
            <w:vAlign w:val="center"/>
            <w:hideMark/>
          </w:tcPr>
          <w:p w:rsidR="006C359E" w:rsidRPr="00BF3F84" w:rsidP="00B56B1A" w14:paraId="4437FF99"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5</w:t>
            </w:r>
          </w:p>
        </w:tc>
        <w:tc>
          <w:tcPr>
            <w:tcW w:w="975" w:type="dxa"/>
            <w:tcBorders>
              <w:top w:val="nil"/>
              <w:left w:val="nil"/>
              <w:bottom w:val="single" w:sz="4" w:space="0" w:color="auto"/>
              <w:right w:val="nil"/>
            </w:tcBorders>
            <w:noWrap/>
            <w:vAlign w:val="center"/>
            <w:hideMark/>
          </w:tcPr>
          <w:p w:rsidR="006C359E" w:rsidRPr="00BF3F84" w:rsidP="00B56B1A" w14:paraId="33555930"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6</w:t>
            </w:r>
          </w:p>
        </w:tc>
        <w:tc>
          <w:tcPr>
            <w:tcW w:w="975" w:type="dxa"/>
            <w:tcBorders>
              <w:top w:val="nil"/>
              <w:left w:val="nil"/>
              <w:bottom w:val="single" w:sz="4" w:space="0" w:color="auto"/>
              <w:right w:val="nil"/>
            </w:tcBorders>
            <w:noWrap/>
            <w:vAlign w:val="center"/>
            <w:hideMark/>
          </w:tcPr>
          <w:p w:rsidR="006C359E" w:rsidRPr="00BF3F84" w:rsidP="00B56B1A" w14:paraId="6C4B60A6"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8</w:t>
            </w:r>
          </w:p>
        </w:tc>
        <w:tc>
          <w:tcPr>
            <w:tcW w:w="975" w:type="dxa"/>
            <w:tcBorders>
              <w:top w:val="nil"/>
              <w:left w:val="nil"/>
              <w:bottom w:val="single" w:sz="4" w:space="0" w:color="auto"/>
              <w:right w:val="nil"/>
            </w:tcBorders>
            <w:noWrap/>
            <w:vAlign w:val="center"/>
            <w:hideMark/>
          </w:tcPr>
          <w:p w:rsidR="006C359E" w:rsidRPr="00BF3F84" w:rsidP="00B56B1A" w14:paraId="22C7B4D2"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9</w:t>
            </w:r>
          </w:p>
        </w:tc>
        <w:tc>
          <w:tcPr>
            <w:tcW w:w="975" w:type="dxa"/>
            <w:tcBorders>
              <w:top w:val="nil"/>
              <w:left w:val="nil"/>
              <w:bottom w:val="single" w:sz="4" w:space="0" w:color="auto"/>
              <w:right w:val="nil"/>
            </w:tcBorders>
            <w:noWrap/>
            <w:vAlign w:val="center"/>
            <w:hideMark/>
          </w:tcPr>
          <w:p w:rsidR="006C359E" w:rsidRPr="00BF3F84" w:rsidP="00B56B1A" w14:paraId="6270A125" w14:textId="77777777">
            <w:pPr>
              <w:spacing w:before="0" w:after="0"/>
              <w:jc w:val="center"/>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Praha 10</w:t>
            </w:r>
          </w:p>
        </w:tc>
      </w:tr>
      <w:tr w14:paraId="30C9022D"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4165186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Hl. m. Praha</w:t>
            </w:r>
          </w:p>
        </w:tc>
        <w:tc>
          <w:tcPr>
            <w:tcW w:w="974" w:type="dxa"/>
            <w:tcBorders>
              <w:top w:val="nil"/>
              <w:left w:val="nil"/>
              <w:bottom w:val="nil"/>
              <w:right w:val="nil"/>
            </w:tcBorders>
            <w:noWrap/>
            <w:vAlign w:val="bottom"/>
            <w:hideMark/>
          </w:tcPr>
          <w:p w:rsidR="006C359E" w:rsidRPr="00BF3F84" w:rsidP="00B56B1A" w14:paraId="5E65D978"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19 125 </w:t>
            </w:r>
          </w:p>
        </w:tc>
        <w:tc>
          <w:tcPr>
            <w:tcW w:w="975" w:type="dxa"/>
            <w:tcBorders>
              <w:top w:val="nil"/>
              <w:left w:val="nil"/>
              <w:bottom w:val="nil"/>
              <w:right w:val="nil"/>
            </w:tcBorders>
            <w:noWrap/>
            <w:vAlign w:val="bottom"/>
            <w:hideMark/>
          </w:tcPr>
          <w:p w:rsidR="006C359E" w:rsidRPr="00BF3F84" w:rsidP="00B56B1A" w14:paraId="0454B75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80 805 </w:t>
            </w:r>
          </w:p>
        </w:tc>
        <w:tc>
          <w:tcPr>
            <w:tcW w:w="975" w:type="dxa"/>
            <w:tcBorders>
              <w:top w:val="nil"/>
              <w:left w:val="nil"/>
              <w:bottom w:val="nil"/>
              <w:right w:val="nil"/>
            </w:tcBorders>
            <w:noWrap/>
            <w:vAlign w:val="bottom"/>
            <w:hideMark/>
          </w:tcPr>
          <w:p w:rsidR="006C359E" w:rsidRPr="00BF3F84" w:rsidP="00B56B1A" w14:paraId="41099FC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33 844 </w:t>
            </w:r>
          </w:p>
        </w:tc>
        <w:tc>
          <w:tcPr>
            <w:tcW w:w="975" w:type="dxa"/>
            <w:tcBorders>
              <w:top w:val="nil"/>
              <w:left w:val="nil"/>
              <w:bottom w:val="nil"/>
              <w:right w:val="nil"/>
            </w:tcBorders>
            <w:noWrap/>
            <w:vAlign w:val="bottom"/>
            <w:hideMark/>
          </w:tcPr>
          <w:p w:rsidR="006C359E" w:rsidRPr="00BF3F84" w:rsidP="00B56B1A" w14:paraId="2942763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81 779 </w:t>
            </w:r>
          </w:p>
        </w:tc>
        <w:tc>
          <w:tcPr>
            <w:tcW w:w="975" w:type="dxa"/>
            <w:tcBorders>
              <w:top w:val="nil"/>
              <w:left w:val="nil"/>
              <w:bottom w:val="nil"/>
              <w:right w:val="nil"/>
            </w:tcBorders>
            <w:noWrap/>
            <w:vAlign w:val="bottom"/>
            <w:hideMark/>
          </w:tcPr>
          <w:p w:rsidR="006C359E" w:rsidRPr="00BF3F84" w:rsidP="00B56B1A" w14:paraId="75BE2AA4"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6 566 </w:t>
            </w:r>
          </w:p>
        </w:tc>
        <w:tc>
          <w:tcPr>
            <w:tcW w:w="975" w:type="dxa"/>
            <w:tcBorders>
              <w:top w:val="nil"/>
              <w:left w:val="nil"/>
              <w:bottom w:val="nil"/>
              <w:right w:val="nil"/>
            </w:tcBorders>
            <w:noWrap/>
            <w:vAlign w:val="bottom"/>
            <w:hideMark/>
          </w:tcPr>
          <w:p w:rsidR="006C359E" w:rsidRPr="00BF3F84" w:rsidP="00B56B1A" w14:paraId="1B76CFC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48 502 </w:t>
            </w:r>
          </w:p>
        </w:tc>
        <w:tc>
          <w:tcPr>
            <w:tcW w:w="975" w:type="dxa"/>
            <w:tcBorders>
              <w:top w:val="nil"/>
              <w:left w:val="nil"/>
              <w:bottom w:val="nil"/>
              <w:right w:val="nil"/>
            </w:tcBorders>
            <w:noWrap/>
            <w:vAlign w:val="bottom"/>
            <w:hideMark/>
          </w:tcPr>
          <w:p w:rsidR="006C359E" w:rsidRPr="00BF3F84" w:rsidP="00B56B1A" w14:paraId="380E35C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6 566 </w:t>
            </w:r>
          </w:p>
        </w:tc>
        <w:tc>
          <w:tcPr>
            <w:tcW w:w="975" w:type="dxa"/>
            <w:tcBorders>
              <w:top w:val="nil"/>
              <w:left w:val="nil"/>
              <w:bottom w:val="nil"/>
              <w:right w:val="nil"/>
            </w:tcBorders>
            <w:noWrap/>
            <w:vAlign w:val="bottom"/>
            <w:hideMark/>
          </w:tcPr>
          <w:p w:rsidR="006C359E" w:rsidRPr="00BF3F84" w:rsidP="00B56B1A" w14:paraId="1430D78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29 486 </w:t>
            </w:r>
          </w:p>
        </w:tc>
      </w:tr>
      <w:tr w14:paraId="6B715EC8"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2A6551A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Středočeský kraj</w:t>
            </w:r>
          </w:p>
        </w:tc>
        <w:tc>
          <w:tcPr>
            <w:tcW w:w="974" w:type="dxa"/>
            <w:tcBorders>
              <w:top w:val="nil"/>
              <w:left w:val="nil"/>
              <w:bottom w:val="nil"/>
              <w:right w:val="nil"/>
            </w:tcBorders>
            <w:noWrap/>
            <w:vAlign w:val="bottom"/>
            <w:hideMark/>
          </w:tcPr>
          <w:p w:rsidR="006C359E" w:rsidRPr="00BF3F84" w:rsidP="00B56B1A" w14:paraId="0BFAAE0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7 136 </w:t>
            </w:r>
          </w:p>
        </w:tc>
        <w:tc>
          <w:tcPr>
            <w:tcW w:w="975" w:type="dxa"/>
            <w:tcBorders>
              <w:top w:val="nil"/>
              <w:left w:val="nil"/>
              <w:bottom w:val="nil"/>
              <w:right w:val="nil"/>
            </w:tcBorders>
            <w:noWrap/>
            <w:vAlign w:val="bottom"/>
            <w:hideMark/>
          </w:tcPr>
          <w:p w:rsidR="006C359E" w:rsidRPr="00BF3F84" w:rsidP="00B56B1A" w14:paraId="2AF29F54"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23 048 </w:t>
            </w:r>
          </w:p>
        </w:tc>
        <w:tc>
          <w:tcPr>
            <w:tcW w:w="975" w:type="dxa"/>
            <w:tcBorders>
              <w:top w:val="nil"/>
              <w:left w:val="nil"/>
              <w:bottom w:val="nil"/>
              <w:right w:val="nil"/>
            </w:tcBorders>
            <w:noWrap/>
            <w:vAlign w:val="bottom"/>
            <w:hideMark/>
          </w:tcPr>
          <w:p w:rsidR="006C359E" w:rsidRPr="00BF3F84" w:rsidP="00B56B1A" w14:paraId="38D7251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13 250 </w:t>
            </w:r>
          </w:p>
        </w:tc>
        <w:tc>
          <w:tcPr>
            <w:tcW w:w="975" w:type="dxa"/>
            <w:tcBorders>
              <w:top w:val="nil"/>
              <w:left w:val="nil"/>
              <w:bottom w:val="nil"/>
              <w:right w:val="nil"/>
            </w:tcBorders>
            <w:noWrap/>
            <w:vAlign w:val="bottom"/>
            <w:hideMark/>
          </w:tcPr>
          <w:p w:rsidR="006C359E" w:rsidRPr="00BF3F84" w:rsidP="00B56B1A" w14:paraId="30B7D44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31 894 </w:t>
            </w:r>
          </w:p>
        </w:tc>
        <w:tc>
          <w:tcPr>
            <w:tcW w:w="975" w:type="dxa"/>
            <w:tcBorders>
              <w:top w:val="nil"/>
              <w:left w:val="nil"/>
              <w:bottom w:val="nil"/>
              <w:right w:val="nil"/>
            </w:tcBorders>
            <w:noWrap/>
            <w:vAlign w:val="bottom"/>
            <w:hideMark/>
          </w:tcPr>
          <w:p w:rsidR="006C359E" w:rsidRPr="00BF3F84" w:rsidP="00B56B1A" w14:paraId="1758771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1 829 </w:t>
            </w:r>
          </w:p>
        </w:tc>
        <w:tc>
          <w:tcPr>
            <w:tcW w:w="975" w:type="dxa"/>
            <w:tcBorders>
              <w:top w:val="nil"/>
              <w:left w:val="nil"/>
              <w:bottom w:val="nil"/>
              <w:right w:val="nil"/>
            </w:tcBorders>
            <w:noWrap/>
            <w:vAlign w:val="bottom"/>
            <w:hideMark/>
          </w:tcPr>
          <w:p w:rsidR="006C359E" w:rsidRPr="00BF3F84" w:rsidP="00B56B1A" w14:paraId="37DDCDD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18 210 </w:t>
            </w:r>
          </w:p>
        </w:tc>
        <w:tc>
          <w:tcPr>
            <w:tcW w:w="975" w:type="dxa"/>
            <w:tcBorders>
              <w:top w:val="nil"/>
              <w:left w:val="nil"/>
              <w:bottom w:val="nil"/>
              <w:right w:val="nil"/>
            </w:tcBorders>
            <w:noWrap/>
            <w:vAlign w:val="bottom"/>
            <w:hideMark/>
          </w:tcPr>
          <w:p w:rsidR="006C359E" w:rsidRPr="00BF3F84" w:rsidP="00B56B1A" w14:paraId="532F00E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1 829 </w:t>
            </w:r>
          </w:p>
        </w:tc>
        <w:tc>
          <w:tcPr>
            <w:tcW w:w="975" w:type="dxa"/>
            <w:tcBorders>
              <w:top w:val="nil"/>
              <w:left w:val="nil"/>
              <w:bottom w:val="nil"/>
              <w:right w:val="nil"/>
            </w:tcBorders>
            <w:noWrap/>
            <w:vAlign w:val="bottom"/>
            <w:hideMark/>
          </w:tcPr>
          <w:p w:rsidR="006C359E" w:rsidRPr="00BF3F84" w:rsidP="00B56B1A" w14:paraId="4D41AC0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4 343 </w:t>
            </w:r>
          </w:p>
        </w:tc>
      </w:tr>
      <w:tr w14:paraId="1726DD26"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774E217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Jihočeský kraj</w:t>
            </w:r>
          </w:p>
        </w:tc>
        <w:tc>
          <w:tcPr>
            <w:tcW w:w="974" w:type="dxa"/>
            <w:tcBorders>
              <w:top w:val="nil"/>
              <w:left w:val="nil"/>
              <w:bottom w:val="nil"/>
              <w:right w:val="nil"/>
            </w:tcBorders>
            <w:noWrap/>
            <w:vAlign w:val="bottom"/>
            <w:hideMark/>
          </w:tcPr>
          <w:p w:rsidR="006C359E" w:rsidRPr="00BF3F84" w:rsidP="00B56B1A" w14:paraId="0B674B3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358 </w:t>
            </w:r>
          </w:p>
        </w:tc>
        <w:tc>
          <w:tcPr>
            <w:tcW w:w="975" w:type="dxa"/>
            <w:tcBorders>
              <w:top w:val="nil"/>
              <w:left w:val="nil"/>
              <w:bottom w:val="nil"/>
              <w:right w:val="nil"/>
            </w:tcBorders>
            <w:noWrap/>
            <w:vAlign w:val="bottom"/>
            <w:hideMark/>
          </w:tcPr>
          <w:p w:rsidR="006C359E" w:rsidRPr="00BF3F84" w:rsidP="00B56B1A" w14:paraId="14BD6D9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805 </w:t>
            </w:r>
          </w:p>
        </w:tc>
        <w:tc>
          <w:tcPr>
            <w:tcW w:w="975" w:type="dxa"/>
            <w:tcBorders>
              <w:top w:val="nil"/>
              <w:left w:val="nil"/>
              <w:bottom w:val="nil"/>
              <w:right w:val="nil"/>
            </w:tcBorders>
            <w:noWrap/>
            <w:vAlign w:val="bottom"/>
            <w:hideMark/>
          </w:tcPr>
          <w:p w:rsidR="006C359E" w:rsidRPr="00BF3F84" w:rsidP="00B56B1A" w14:paraId="422260A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392 </w:t>
            </w:r>
          </w:p>
        </w:tc>
        <w:tc>
          <w:tcPr>
            <w:tcW w:w="975" w:type="dxa"/>
            <w:tcBorders>
              <w:top w:val="nil"/>
              <w:left w:val="nil"/>
              <w:bottom w:val="nil"/>
              <w:right w:val="nil"/>
            </w:tcBorders>
            <w:noWrap/>
            <w:vAlign w:val="bottom"/>
            <w:hideMark/>
          </w:tcPr>
          <w:p w:rsidR="006C359E" w:rsidRPr="00BF3F84" w:rsidP="00B56B1A" w14:paraId="3BE2808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584 </w:t>
            </w:r>
          </w:p>
        </w:tc>
        <w:tc>
          <w:tcPr>
            <w:tcW w:w="975" w:type="dxa"/>
            <w:tcBorders>
              <w:top w:val="nil"/>
              <w:left w:val="nil"/>
              <w:bottom w:val="nil"/>
              <w:right w:val="nil"/>
            </w:tcBorders>
            <w:noWrap/>
            <w:vAlign w:val="bottom"/>
            <w:hideMark/>
          </w:tcPr>
          <w:p w:rsidR="006C359E" w:rsidRPr="00BF3F84" w:rsidP="00B56B1A" w14:paraId="7B693B5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146 </w:t>
            </w:r>
          </w:p>
        </w:tc>
        <w:tc>
          <w:tcPr>
            <w:tcW w:w="975" w:type="dxa"/>
            <w:tcBorders>
              <w:top w:val="nil"/>
              <w:left w:val="nil"/>
              <w:bottom w:val="nil"/>
              <w:right w:val="nil"/>
            </w:tcBorders>
            <w:noWrap/>
            <w:vAlign w:val="bottom"/>
            <w:hideMark/>
          </w:tcPr>
          <w:p w:rsidR="006C359E" w:rsidRPr="00BF3F84" w:rsidP="00B56B1A" w14:paraId="0F166E5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498 </w:t>
            </w:r>
          </w:p>
        </w:tc>
        <w:tc>
          <w:tcPr>
            <w:tcW w:w="975" w:type="dxa"/>
            <w:tcBorders>
              <w:top w:val="nil"/>
              <w:left w:val="nil"/>
              <w:bottom w:val="nil"/>
              <w:right w:val="nil"/>
            </w:tcBorders>
            <w:noWrap/>
            <w:vAlign w:val="bottom"/>
            <w:hideMark/>
          </w:tcPr>
          <w:p w:rsidR="006C359E" w:rsidRPr="00BF3F84" w:rsidP="00B56B1A" w14:paraId="6A93010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146 </w:t>
            </w:r>
          </w:p>
        </w:tc>
        <w:tc>
          <w:tcPr>
            <w:tcW w:w="975" w:type="dxa"/>
            <w:tcBorders>
              <w:top w:val="nil"/>
              <w:left w:val="nil"/>
              <w:bottom w:val="nil"/>
              <w:right w:val="nil"/>
            </w:tcBorders>
            <w:noWrap/>
            <w:vAlign w:val="bottom"/>
            <w:hideMark/>
          </w:tcPr>
          <w:p w:rsidR="006C359E" w:rsidRPr="00BF3F84" w:rsidP="00B56B1A" w14:paraId="249C319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388 </w:t>
            </w:r>
          </w:p>
        </w:tc>
      </w:tr>
      <w:tr w14:paraId="1FF2F0AC"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48FEC13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Plzeňský kraj</w:t>
            </w:r>
          </w:p>
        </w:tc>
        <w:tc>
          <w:tcPr>
            <w:tcW w:w="974" w:type="dxa"/>
            <w:tcBorders>
              <w:top w:val="nil"/>
              <w:left w:val="nil"/>
              <w:bottom w:val="nil"/>
              <w:right w:val="nil"/>
            </w:tcBorders>
            <w:noWrap/>
            <w:vAlign w:val="bottom"/>
            <w:hideMark/>
          </w:tcPr>
          <w:p w:rsidR="006C359E" w:rsidRPr="00BF3F84" w:rsidP="00B56B1A" w14:paraId="7048111B"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241 </w:t>
            </w:r>
          </w:p>
        </w:tc>
        <w:tc>
          <w:tcPr>
            <w:tcW w:w="975" w:type="dxa"/>
            <w:tcBorders>
              <w:top w:val="nil"/>
              <w:left w:val="nil"/>
              <w:bottom w:val="nil"/>
              <w:right w:val="nil"/>
            </w:tcBorders>
            <w:noWrap/>
            <w:vAlign w:val="bottom"/>
            <w:hideMark/>
          </w:tcPr>
          <w:p w:rsidR="006C359E" w:rsidRPr="00BF3F84" w:rsidP="00B56B1A" w14:paraId="17C531BF"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545 </w:t>
            </w:r>
          </w:p>
        </w:tc>
        <w:tc>
          <w:tcPr>
            <w:tcW w:w="975" w:type="dxa"/>
            <w:tcBorders>
              <w:top w:val="nil"/>
              <w:left w:val="nil"/>
              <w:bottom w:val="nil"/>
              <w:right w:val="nil"/>
            </w:tcBorders>
            <w:noWrap/>
            <w:vAlign w:val="bottom"/>
            <w:hideMark/>
          </w:tcPr>
          <w:p w:rsidR="006C359E" w:rsidRPr="00BF3F84" w:rsidP="00B56B1A" w14:paraId="0312267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232 </w:t>
            </w:r>
          </w:p>
        </w:tc>
        <w:tc>
          <w:tcPr>
            <w:tcW w:w="975" w:type="dxa"/>
            <w:tcBorders>
              <w:top w:val="nil"/>
              <w:left w:val="nil"/>
              <w:bottom w:val="nil"/>
              <w:right w:val="nil"/>
            </w:tcBorders>
            <w:noWrap/>
            <w:vAlign w:val="bottom"/>
            <w:hideMark/>
          </w:tcPr>
          <w:p w:rsidR="006C359E" w:rsidRPr="00BF3F84" w:rsidP="00B56B1A" w14:paraId="6A5A279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517 </w:t>
            </w:r>
          </w:p>
        </w:tc>
        <w:tc>
          <w:tcPr>
            <w:tcW w:w="975" w:type="dxa"/>
            <w:tcBorders>
              <w:top w:val="nil"/>
              <w:left w:val="nil"/>
              <w:bottom w:val="nil"/>
              <w:right w:val="nil"/>
            </w:tcBorders>
            <w:noWrap/>
            <w:vAlign w:val="bottom"/>
            <w:hideMark/>
          </w:tcPr>
          <w:p w:rsidR="006C359E" w:rsidRPr="00BF3F84" w:rsidP="00B56B1A" w14:paraId="1FAD20C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83 </w:t>
            </w:r>
          </w:p>
        </w:tc>
        <w:tc>
          <w:tcPr>
            <w:tcW w:w="975" w:type="dxa"/>
            <w:tcBorders>
              <w:top w:val="nil"/>
              <w:left w:val="nil"/>
              <w:bottom w:val="nil"/>
              <w:right w:val="nil"/>
            </w:tcBorders>
            <w:noWrap/>
            <w:vAlign w:val="bottom"/>
            <w:hideMark/>
          </w:tcPr>
          <w:p w:rsidR="006C359E" w:rsidRPr="00BF3F84" w:rsidP="00B56B1A" w14:paraId="4FCF2BC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297 </w:t>
            </w:r>
          </w:p>
        </w:tc>
        <w:tc>
          <w:tcPr>
            <w:tcW w:w="975" w:type="dxa"/>
            <w:tcBorders>
              <w:top w:val="nil"/>
              <w:left w:val="nil"/>
              <w:bottom w:val="nil"/>
              <w:right w:val="nil"/>
            </w:tcBorders>
            <w:noWrap/>
            <w:vAlign w:val="bottom"/>
            <w:hideMark/>
          </w:tcPr>
          <w:p w:rsidR="006C359E" w:rsidRPr="00BF3F84" w:rsidP="00B56B1A" w14:paraId="59CEBDE4"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83 </w:t>
            </w:r>
          </w:p>
        </w:tc>
        <w:tc>
          <w:tcPr>
            <w:tcW w:w="975" w:type="dxa"/>
            <w:tcBorders>
              <w:top w:val="nil"/>
              <w:left w:val="nil"/>
              <w:bottom w:val="nil"/>
              <w:right w:val="nil"/>
            </w:tcBorders>
            <w:noWrap/>
            <w:vAlign w:val="bottom"/>
            <w:hideMark/>
          </w:tcPr>
          <w:p w:rsidR="006C359E" w:rsidRPr="00BF3F84" w:rsidP="00B56B1A" w14:paraId="6B57BCC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218 </w:t>
            </w:r>
          </w:p>
        </w:tc>
      </w:tr>
      <w:tr w14:paraId="5321A66F"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4607B50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Karlovarský kraj</w:t>
            </w:r>
          </w:p>
        </w:tc>
        <w:tc>
          <w:tcPr>
            <w:tcW w:w="974" w:type="dxa"/>
            <w:tcBorders>
              <w:top w:val="nil"/>
              <w:left w:val="nil"/>
              <w:bottom w:val="nil"/>
              <w:right w:val="nil"/>
            </w:tcBorders>
            <w:noWrap/>
            <w:vAlign w:val="bottom"/>
            <w:hideMark/>
          </w:tcPr>
          <w:p w:rsidR="006C359E" w:rsidRPr="00BF3F84" w:rsidP="00B56B1A" w14:paraId="30B980E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255 </w:t>
            </w:r>
          </w:p>
        </w:tc>
        <w:tc>
          <w:tcPr>
            <w:tcW w:w="975" w:type="dxa"/>
            <w:tcBorders>
              <w:top w:val="nil"/>
              <w:left w:val="nil"/>
              <w:bottom w:val="nil"/>
              <w:right w:val="nil"/>
            </w:tcBorders>
            <w:noWrap/>
            <w:vAlign w:val="bottom"/>
            <w:hideMark/>
          </w:tcPr>
          <w:p w:rsidR="006C359E" w:rsidRPr="00BF3F84" w:rsidP="00B56B1A" w14:paraId="5792D4D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536 </w:t>
            </w:r>
          </w:p>
        </w:tc>
        <w:tc>
          <w:tcPr>
            <w:tcW w:w="975" w:type="dxa"/>
            <w:tcBorders>
              <w:top w:val="nil"/>
              <w:left w:val="nil"/>
              <w:bottom w:val="nil"/>
              <w:right w:val="nil"/>
            </w:tcBorders>
            <w:noWrap/>
            <w:vAlign w:val="bottom"/>
            <w:hideMark/>
          </w:tcPr>
          <w:p w:rsidR="006C359E" w:rsidRPr="00BF3F84" w:rsidP="00B56B1A" w14:paraId="36FC1B6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189 </w:t>
            </w:r>
          </w:p>
        </w:tc>
        <w:tc>
          <w:tcPr>
            <w:tcW w:w="975" w:type="dxa"/>
            <w:tcBorders>
              <w:top w:val="nil"/>
              <w:left w:val="nil"/>
              <w:bottom w:val="nil"/>
              <w:right w:val="nil"/>
            </w:tcBorders>
            <w:noWrap/>
            <w:vAlign w:val="bottom"/>
            <w:hideMark/>
          </w:tcPr>
          <w:p w:rsidR="006C359E" w:rsidRPr="00BF3F84" w:rsidP="00B56B1A" w14:paraId="00B48D2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401 </w:t>
            </w:r>
          </w:p>
        </w:tc>
        <w:tc>
          <w:tcPr>
            <w:tcW w:w="975" w:type="dxa"/>
            <w:tcBorders>
              <w:top w:val="nil"/>
              <w:left w:val="nil"/>
              <w:bottom w:val="nil"/>
              <w:right w:val="nil"/>
            </w:tcBorders>
            <w:noWrap/>
            <w:vAlign w:val="bottom"/>
            <w:hideMark/>
          </w:tcPr>
          <w:p w:rsidR="006C359E" w:rsidRPr="00BF3F84" w:rsidP="00B56B1A" w14:paraId="2997A3E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69 </w:t>
            </w:r>
          </w:p>
        </w:tc>
        <w:tc>
          <w:tcPr>
            <w:tcW w:w="975" w:type="dxa"/>
            <w:tcBorders>
              <w:top w:val="nil"/>
              <w:left w:val="nil"/>
              <w:bottom w:val="nil"/>
              <w:right w:val="nil"/>
            </w:tcBorders>
            <w:noWrap/>
            <w:vAlign w:val="bottom"/>
            <w:hideMark/>
          </w:tcPr>
          <w:p w:rsidR="006C359E" w:rsidRPr="00BF3F84" w:rsidP="00B56B1A" w14:paraId="3977982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263 </w:t>
            </w:r>
          </w:p>
        </w:tc>
        <w:tc>
          <w:tcPr>
            <w:tcW w:w="975" w:type="dxa"/>
            <w:tcBorders>
              <w:top w:val="nil"/>
              <w:left w:val="nil"/>
              <w:bottom w:val="nil"/>
              <w:right w:val="nil"/>
            </w:tcBorders>
            <w:noWrap/>
            <w:vAlign w:val="bottom"/>
            <w:hideMark/>
          </w:tcPr>
          <w:p w:rsidR="006C359E" w:rsidRPr="00BF3F84" w:rsidP="00B56B1A" w14:paraId="3C140CB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69 </w:t>
            </w:r>
          </w:p>
        </w:tc>
        <w:tc>
          <w:tcPr>
            <w:tcW w:w="975" w:type="dxa"/>
            <w:tcBorders>
              <w:top w:val="nil"/>
              <w:left w:val="nil"/>
              <w:bottom w:val="nil"/>
              <w:right w:val="nil"/>
            </w:tcBorders>
            <w:noWrap/>
            <w:vAlign w:val="bottom"/>
            <w:hideMark/>
          </w:tcPr>
          <w:p w:rsidR="006C359E" w:rsidRPr="00BF3F84" w:rsidP="00B56B1A" w14:paraId="68384E5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189 </w:t>
            </w:r>
          </w:p>
        </w:tc>
      </w:tr>
      <w:tr w14:paraId="78EB9E31"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4CFAD9D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Ústecký kraj</w:t>
            </w:r>
          </w:p>
        </w:tc>
        <w:tc>
          <w:tcPr>
            <w:tcW w:w="974" w:type="dxa"/>
            <w:tcBorders>
              <w:top w:val="nil"/>
              <w:left w:val="nil"/>
              <w:bottom w:val="nil"/>
              <w:right w:val="nil"/>
            </w:tcBorders>
            <w:noWrap/>
            <w:vAlign w:val="bottom"/>
            <w:hideMark/>
          </w:tcPr>
          <w:p w:rsidR="006C359E" w:rsidRPr="00BF3F84" w:rsidP="00B56B1A" w14:paraId="4E8343E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1 315 </w:t>
            </w:r>
          </w:p>
        </w:tc>
        <w:tc>
          <w:tcPr>
            <w:tcW w:w="975" w:type="dxa"/>
            <w:tcBorders>
              <w:top w:val="nil"/>
              <w:left w:val="nil"/>
              <w:bottom w:val="nil"/>
              <w:right w:val="nil"/>
            </w:tcBorders>
            <w:noWrap/>
            <w:vAlign w:val="bottom"/>
            <w:hideMark/>
          </w:tcPr>
          <w:p w:rsidR="006C359E" w:rsidRPr="00BF3F84" w:rsidP="00B56B1A" w14:paraId="1CD0BD0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1 410 </w:t>
            </w:r>
          </w:p>
        </w:tc>
        <w:tc>
          <w:tcPr>
            <w:tcW w:w="975" w:type="dxa"/>
            <w:tcBorders>
              <w:top w:val="nil"/>
              <w:left w:val="nil"/>
              <w:bottom w:val="nil"/>
              <w:right w:val="nil"/>
            </w:tcBorders>
            <w:noWrap/>
            <w:vAlign w:val="bottom"/>
            <w:hideMark/>
          </w:tcPr>
          <w:p w:rsidR="006C359E" w:rsidRPr="00BF3F84" w:rsidP="00B56B1A" w14:paraId="0EEF78C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525 </w:t>
            </w:r>
          </w:p>
        </w:tc>
        <w:tc>
          <w:tcPr>
            <w:tcW w:w="975" w:type="dxa"/>
            <w:tcBorders>
              <w:top w:val="nil"/>
              <w:left w:val="nil"/>
              <w:bottom w:val="nil"/>
              <w:right w:val="nil"/>
            </w:tcBorders>
            <w:noWrap/>
            <w:vAlign w:val="bottom"/>
            <w:hideMark/>
          </w:tcPr>
          <w:p w:rsidR="006C359E" w:rsidRPr="00BF3F84" w:rsidP="00B56B1A" w14:paraId="13FA151C"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2 032 </w:t>
            </w:r>
          </w:p>
        </w:tc>
        <w:tc>
          <w:tcPr>
            <w:tcW w:w="975" w:type="dxa"/>
            <w:tcBorders>
              <w:top w:val="nil"/>
              <w:left w:val="nil"/>
              <w:bottom w:val="nil"/>
              <w:right w:val="nil"/>
            </w:tcBorders>
            <w:noWrap/>
            <w:vAlign w:val="bottom"/>
            <w:hideMark/>
          </w:tcPr>
          <w:p w:rsidR="006C359E" w:rsidRPr="00BF3F84" w:rsidP="00B56B1A" w14:paraId="7C08955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284 </w:t>
            </w:r>
          </w:p>
        </w:tc>
        <w:tc>
          <w:tcPr>
            <w:tcW w:w="975" w:type="dxa"/>
            <w:tcBorders>
              <w:top w:val="nil"/>
              <w:left w:val="nil"/>
              <w:bottom w:val="nil"/>
              <w:right w:val="nil"/>
            </w:tcBorders>
            <w:noWrap/>
            <w:vAlign w:val="bottom"/>
            <w:hideMark/>
          </w:tcPr>
          <w:p w:rsidR="006C359E" w:rsidRPr="00BF3F84" w:rsidP="00B56B1A" w14:paraId="7055C6A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1 254 </w:t>
            </w:r>
          </w:p>
        </w:tc>
        <w:tc>
          <w:tcPr>
            <w:tcW w:w="975" w:type="dxa"/>
            <w:tcBorders>
              <w:top w:val="nil"/>
              <w:left w:val="nil"/>
              <w:bottom w:val="nil"/>
              <w:right w:val="nil"/>
            </w:tcBorders>
            <w:noWrap/>
            <w:vAlign w:val="bottom"/>
            <w:hideMark/>
          </w:tcPr>
          <w:p w:rsidR="006C359E" w:rsidRPr="00BF3F84" w:rsidP="00B56B1A" w14:paraId="25B1E5E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284 </w:t>
            </w:r>
          </w:p>
        </w:tc>
        <w:tc>
          <w:tcPr>
            <w:tcW w:w="975" w:type="dxa"/>
            <w:tcBorders>
              <w:top w:val="nil"/>
              <w:left w:val="nil"/>
              <w:bottom w:val="nil"/>
              <w:right w:val="nil"/>
            </w:tcBorders>
            <w:noWrap/>
            <w:vAlign w:val="bottom"/>
            <w:hideMark/>
          </w:tcPr>
          <w:p w:rsidR="006C359E" w:rsidRPr="00BF3F84" w:rsidP="00B56B1A" w14:paraId="34CEB46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478 </w:t>
            </w:r>
          </w:p>
        </w:tc>
      </w:tr>
      <w:tr w14:paraId="22E18247"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0220C8A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Liberecký kraj</w:t>
            </w:r>
          </w:p>
        </w:tc>
        <w:tc>
          <w:tcPr>
            <w:tcW w:w="974" w:type="dxa"/>
            <w:tcBorders>
              <w:top w:val="nil"/>
              <w:left w:val="nil"/>
              <w:bottom w:val="nil"/>
              <w:right w:val="nil"/>
            </w:tcBorders>
            <w:noWrap/>
            <w:vAlign w:val="bottom"/>
            <w:hideMark/>
          </w:tcPr>
          <w:p w:rsidR="006C359E" w:rsidRPr="00BF3F84" w:rsidP="00B56B1A" w14:paraId="3EBE2BBF"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485 </w:t>
            </w:r>
          </w:p>
        </w:tc>
        <w:tc>
          <w:tcPr>
            <w:tcW w:w="975" w:type="dxa"/>
            <w:tcBorders>
              <w:top w:val="nil"/>
              <w:left w:val="nil"/>
              <w:bottom w:val="nil"/>
              <w:right w:val="nil"/>
            </w:tcBorders>
            <w:noWrap/>
            <w:vAlign w:val="bottom"/>
            <w:hideMark/>
          </w:tcPr>
          <w:p w:rsidR="006C359E" w:rsidRPr="00BF3F84" w:rsidP="00B56B1A" w14:paraId="20A1150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533 </w:t>
            </w:r>
          </w:p>
        </w:tc>
        <w:tc>
          <w:tcPr>
            <w:tcW w:w="975" w:type="dxa"/>
            <w:tcBorders>
              <w:top w:val="nil"/>
              <w:left w:val="nil"/>
              <w:bottom w:val="nil"/>
              <w:right w:val="nil"/>
            </w:tcBorders>
            <w:noWrap/>
            <w:vAlign w:val="bottom"/>
            <w:hideMark/>
          </w:tcPr>
          <w:p w:rsidR="006C359E" w:rsidRPr="00BF3F84" w:rsidP="00B56B1A" w14:paraId="5EAFB74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292 </w:t>
            </w:r>
          </w:p>
        </w:tc>
        <w:tc>
          <w:tcPr>
            <w:tcW w:w="975" w:type="dxa"/>
            <w:tcBorders>
              <w:top w:val="nil"/>
              <w:left w:val="nil"/>
              <w:bottom w:val="nil"/>
              <w:right w:val="nil"/>
            </w:tcBorders>
            <w:noWrap/>
            <w:vAlign w:val="bottom"/>
            <w:hideMark/>
          </w:tcPr>
          <w:p w:rsidR="006C359E" w:rsidRPr="00BF3F84" w:rsidP="00B56B1A" w14:paraId="1618136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447 </w:t>
            </w:r>
          </w:p>
        </w:tc>
        <w:tc>
          <w:tcPr>
            <w:tcW w:w="975" w:type="dxa"/>
            <w:tcBorders>
              <w:top w:val="nil"/>
              <w:left w:val="nil"/>
              <w:bottom w:val="nil"/>
              <w:right w:val="nil"/>
            </w:tcBorders>
            <w:noWrap/>
            <w:vAlign w:val="bottom"/>
            <w:hideMark/>
          </w:tcPr>
          <w:p w:rsidR="006C359E" w:rsidRPr="00BF3F84" w:rsidP="00B56B1A" w14:paraId="34AD887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93 </w:t>
            </w:r>
          </w:p>
        </w:tc>
        <w:tc>
          <w:tcPr>
            <w:tcW w:w="975" w:type="dxa"/>
            <w:tcBorders>
              <w:top w:val="nil"/>
              <w:left w:val="nil"/>
              <w:bottom w:val="nil"/>
              <w:right w:val="nil"/>
            </w:tcBorders>
            <w:noWrap/>
            <w:vAlign w:val="bottom"/>
            <w:hideMark/>
          </w:tcPr>
          <w:p w:rsidR="006C359E" w:rsidRPr="00BF3F84" w:rsidP="00B56B1A" w14:paraId="00586D7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445 </w:t>
            </w:r>
          </w:p>
        </w:tc>
        <w:tc>
          <w:tcPr>
            <w:tcW w:w="975" w:type="dxa"/>
            <w:tcBorders>
              <w:top w:val="nil"/>
              <w:left w:val="nil"/>
              <w:bottom w:val="nil"/>
              <w:right w:val="nil"/>
            </w:tcBorders>
            <w:noWrap/>
            <w:vAlign w:val="bottom"/>
            <w:hideMark/>
          </w:tcPr>
          <w:p w:rsidR="006C359E" w:rsidRPr="00BF3F84" w:rsidP="00B56B1A" w14:paraId="5B6B040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93 </w:t>
            </w:r>
          </w:p>
        </w:tc>
        <w:tc>
          <w:tcPr>
            <w:tcW w:w="975" w:type="dxa"/>
            <w:tcBorders>
              <w:top w:val="nil"/>
              <w:left w:val="nil"/>
              <w:bottom w:val="nil"/>
              <w:right w:val="nil"/>
            </w:tcBorders>
            <w:noWrap/>
            <w:vAlign w:val="bottom"/>
            <w:hideMark/>
          </w:tcPr>
          <w:p w:rsidR="006C359E" w:rsidRPr="00BF3F84" w:rsidP="00B56B1A" w14:paraId="33857B8C"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313 </w:t>
            </w:r>
          </w:p>
        </w:tc>
      </w:tr>
      <w:tr w14:paraId="003E7483"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404F9E28"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Královéhradecký kraj</w:t>
            </w:r>
          </w:p>
        </w:tc>
        <w:tc>
          <w:tcPr>
            <w:tcW w:w="974" w:type="dxa"/>
            <w:tcBorders>
              <w:top w:val="nil"/>
              <w:left w:val="nil"/>
              <w:bottom w:val="nil"/>
              <w:right w:val="nil"/>
            </w:tcBorders>
            <w:noWrap/>
            <w:vAlign w:val="bottom"/>
            <w:hideMark/>
          </w:tcPr>
          <w:p w:rsidR="006C359E" w:rsidRPr="00BF3F84" w:rsidP="00B56B1A" w14:paraId="49733F7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372 </w:t>
            </w:r>
          </w:p>
        </w:tc>
        <w:tc>
          <w:tcPr>
            <w:tcW w:w="975" w:type="dxa"/>
            <w:tcBorders>
              <w:top w:val="nil"/>
              <w:left w:val="nil"/>
              <w:bottom w:val="nil"/>
              <w:right w:val="nil"/>
            </w:tcBorders>
            <w:noWrap/>
            <w:vAlign w:val="bottom"/>
            <w:hideMark/>
          </w:tcPr>
          <w:p w:rsidR="006C359E" w:rsidRPr="00BF3F84" w:rsidP="00B56B1A" w14:paraId="6557B23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645 </w:t>
            </w:r>
          </w:p>
        </w:tc>
        <w:tc>
          <w:tcPr>
            <w:tcW w:w="975" w:type="dxa"/>
            <w:tcBorders>
              <w:top w:val="nil"/>
              <w:left w:val="nil"/>
              <w:bottom w:val="nil"/>
              <w:right w:val="nil"/>
            </w:tcBorders>
            <w:noWrap/>
            <w:vAlign w:val="bottom"/>
            <w:hideMark/>
          </w:tcPr>
          <w:p w:rsidR="006C359E" w:rsidRPr="00BF3F84" w:rsidP="00B56B1A" w14:paraId="705DDCD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245 </w:t>
            </w:r>
          </w:p>
        </w:tc>
        <w:tc>
          <w:tcPr>
            <w:tcW w:w="975" w:type="dxa"/>
            <w:tcBorders>
              <w:top w:val="nil"/>
              <w:left w:val="nil"/>
              <w:bottom w:val="nil"/>
              <w:right w:val="nil"/>
            </w:tcBorders>
            <w:noWrap/>
            <w:vAlign w:val="bottom"/>
            <w:hideMark/>
          </w:tcPr>
          <w:p w:rsidR="006C359E" w:rsidRPr="00BF3F84" w:rsidP="00B56B1A" w14:paraId="5BED5E7F"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423 </w:t>
            </w:r>
          </w:p>
        </w:tc>
        <w:tc>
          <w:tcPr>
            <w:tcW w:w="975" w:type="dxa"/>
            <w:tcBorders>
              <w:top w:val="nil"/>
              <w:left w:val="nil"/>
              <w:bottom w:val="nil"/>
              <w:right w:val="nil"/>
            </w:tcBorders>
            <w:noWrap/>
            <w:vAlign w:val="bottom"/>
            <w:hideMark/>
          </w:tcPr>
          <w:p w:rsidR="006C359E" w:rsidRPr="00BF3F84" w:rsidP="00B56B1A" w14:paraId="3C4F11D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92 </w:t>
            </w:r>
          </w:p>
        </w:tc>
        <w:tc>
          <w:tcPr>
            <w:tcW w:w="975" w:type="dxa"/>
            <w:tcBorders>
              <w:top w:val="nil"/>
              <w:left w:val="nil"/>
              <w:bottom w:val="nil"/>
              <w:right w:val="nil"/>
            </w:tcBorders>
            <w:noWrap/>
            <w:vAlign w:val="bottom"/>
            <w:hideMark/>
          </w:tcPr>
          <w:p w:rsidR="006C359E" w:rsidRPr="00BF3F84" w:rsidP="00B56B1A" w14:paraId="406D426C"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411 </w:t>
            </w:r>
          </w:p>
        </w:tc>
        <w:tc>
          <w:tcPr>
            <w:tcW w:w="975" w:type="dxa"/>
            <w:tcBorders>
              <w:top w:val="nil"/>
              <w:left w:val="nil"/>
              <w:bottom w:val="nil"/>
              <w:right w:val="nil"/>
            </w:tcBorders>
            <w:noWrap/>
            <w:vAlign w:val="bottom"/>
            <w:hideMark/>
          </w:tcPr>
          <w:p w:rsidR="006C359E" w:rsidRPr="00BF3F84" w:rsidP="00B56B1A" w14:paraId="3A99FBBB"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92 </w:t>
            </w:r>
          </w:p>
        </w:tc>
        <w:tc>
          <w:tcPr>
            <w:tcW w:w="975" w:type="dxa"/>
            <w:tcBorders>
              <w:top w:val="nil"/>
              <w:left w:val="nil"/>
              <w:bottom w:val="nil"/>
              <w:right w:val="nil"/>
            </w:tcBorders>
            <w:noWrap/>
            <w:vAlign w:val="bottom"/>
            <w:hideMark/>
          </w:tcPr>
          <w:p w:rsidR="006C359E" w:rsidRPr="00BF3F84" w:rsidP="00B56B1A" w14:paraId="405B0E4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299 </w:t>
            </w:r>
          </w:p>
        </w:tc>
      </w:tr>
      <w:tr w14:paraId="143EACE9"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77086F1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Pardubický kraj</w:t>
            </w:r>
          </w:p>
        </w:tc>
        <w:tc>
          <w:tcPr>
            <w:tcW w:w="974" w:type="dxa"/>
            <w:tcBorders>
              <w:top w:val="nil"/>
              <w:left w:val="nil"/>
              <w:bottom w:val="nil"/>
              <w:right w:val="nil"/>
            </w:tcBorders>
            <w:noWrap/>
            <w:vAlign w:val="bottom"/>
            <w:hideMark/>
          </w:tcPr>
          <w:p w:rsidR="006C359E" w:rsidRPr="00BF3F84" w:rsidP="00B56B1A" w14:paraId="199B040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238 </w:t>
            </w:r>
          </w:p>
        </w:tc>
        <w:tc>
          <w:tcPr>
            <w:tcW w:w="975" w:type="dxa"/>
            <w:tcBorders>
              <w:top w:val="nil"/>
              <w:left w:val="nil"/>
              <w:bottom w:val="nil"/>
              <w:right w:val="nil"/>
            </w:tcBorders>
            <w:noWrap/>
            <w:vAlign w:val="bottom"/>
            <w:hideMark/>
          </w:tcPr>
          <w:p w:rsidR="006C359E" w:rsidRPr="00BF3F84" w:rsidP="00B56B1A" w14:paraId="6AF7333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549 </w:t>
            </w:r>
          </w:p>
        </w:tc>
        <w:tc>
          <w:tcPr>
            <w:tcW w:w="975" w:type="dxa"/>
            <w:tcBorders>
              <w:top w:val="nil"/>
              <w:left w:val="nil"/>
              <w:bottom w:val="nil"/>
              <w:right w:val="nil"/>
            </w:tcBorders>
            <w:noWrap/>
            <w:vAlign w:val="bottom"/>
            <w:hideMark/>
          </w:tcPr>
          <w:p w:rsidR="006C359E" w:rsidRPr="00BF3F84" w:rsidP="00B56B1A" w14:paraId="2874FD0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171 </w:t>
            </w:r>
          </w:p>
        </w:tc>
        <w:tc>
          <w:tcPr>
            <w:tcW w:w="975" w:type="dxa"/>
            <w:tcBorders>
              <w:top w:val="nil"/>
              <w:left w:val="nil"/>
              <w:bottom w:val="nil"/>
              <w:right w:val="nil"/>
            </w:tcBorders>
            <w:noWrap/>
            <w:vAlign w:val="bottom"/>
            <w:hideMark/>
          </w:tcPr>
          <w:p w:rsidR="006C359E" w:rsidRPr="00BF3F84" w:rsidP="00B56B1A" w14:paraId="2B1AED6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390 </w:t>
            </w:r>
          </w:p>
        </w:tc>
        <w:tc>
          <w:tcPr>
            <w:tcW w:w="975" w:type="dxa"/>
            <w:tcBorders>
              <w:top w:val="nil"/>
              <w:left w:val="nil"/>
              <w:bottom w:val="nil"/>
              <w:right w:val="nil"/>
            </w:tcBorders>
            <w:noWrap/>
            <w:vAlign w:val="bottom"/>
            <w:hideMark/>
          </w:tcPr>
          <w:p w:rsidR="006C359E" w:rsidRPr="00BF3F84" w:rsidP="00B56B1A" w14:paraId="43123A5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93 </w:t>
            </w:r>
          </w:p>
        </w:tc>
        <w:tc>
          <w:tcPr>
            <w:tcW w:w="975" w:type="dxa"/>
            <w:tcBorders>
              <w:top w:val="nil"/>
              <w:left w:val="nil"/>
              <w:bottom w:val="nil"/>
              <w:right w:val="nil"/>
            </w:tcBorders>
            <w:noWrap/>
            <w:vAlign w:val="bottom"/>
            <w:hideMark/>
          </w:tcPr>
          <w:p w:rsidR="006C359E" w:rsidRPr="00BF3F84" w:rsidP="00B56B1A" w14:paraId="2D54349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335 </w:t>
            </w:r>
          </w:p>
        </w:tc>
        <w:tc>
          <w:tcPr>
            <w:tcW w:w="975" w:type="dxa"/>
            <w:tcBorders>
              <w:top w:val="nil"/>
              <w:left w:val="nil"/>
              <w:bottom w:val="nil"/>
              <w:right w:val="nil"/>
            </w:tcBorders>
            <w:noWrap/>
            <w:vAlign w:val="bottom"/>
            <w:hideMark/>
          </w:tcPr>
          <w:p w:rsidR="006C359E" w:rsidRPr="00BF3F84" w:rsidP="00B56B1A" w14:paraId="1271F4F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93 </w:t>
            </w:r>
          </w:p>
        </w:tc>
        <w:tc>
          <w:tcPr>
            <w:tcW w:w="975" w:type="dxa"/>
            <w:tcBorders>
              <w:top w:val="nil"/>
              <w:left w:val="nil"/>
              <w:bottom w:val="nil"/>
              <w:right w:val="nil"/>
            </w:tcBorders>
            <w:noWrap/>
            <w:vAlign w:val="bottom"/>
            <w:hideMark/>
          </w:tcPr>
          <w:p w:rsidR="006C359E" w:rsidRPr="00BF3F84" w:rsidP="00B56B1A" w14:paraId="38CFBAD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290 </w:t>
            </w:r>
          </w:p>
        </w:tc>
      </w:tr>
      <w:tr w14:paraId="1D8B77BC"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437C16F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Vysočina</w:t>
            </w:r>
          </w:p>
        </w:tc>
        <w:tc>
          <w:tcPr>
            <w:tcW w:w="974" w:type="dxa"/>
            <w:tcBorders>
              <w:top w:val="nil"/>
              <w:left w:val="nil"/>
              <w:bottom w:val="nil"/>
              <w:right w:val="nil"/>
            </w:tcBorders>
            <w:noWrap/>
            <w:vAlign w:val="bottom"/>
            <w:hideMark/>
          </w:tcPr>
          <w:p w:rsidR="006C359E" w:rsidRPr="00BF3F84" w:rsidP="00B56B1A" w14:paraId="0A8A2E5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281 </w:t>
            </w:r>
          </w:p>
        </w:tc>
        <w:tc>
          <w:tcPr>
            <w:tcW w:w="975" w:type="dxa"/>
            <w:tcBorders>
              <w:top w:val="nil"/>
              <w:left w:val="nil"/>
              <w:bottom w:val="nil"/>
              <w:right w:val="nil"/>
            </w:tcBorders>
            <w:noWrap/>
            <w:vAlign w:val="bottom"/>
            <w:hideMark/>
          </w:tcPr>
          <w:p w:rsidR="006C359E" w:rsidRPr="00BF3F84" w:rsidP="00B56B1A" w14:paraId="722192C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512 </w:t>
            </w:r>
          </w:p>
        </w:tc>
        <w:tc>
          <w:tcPr>
            <w:tcW w:w="975" w:type="dxa"/>
            <w:tcBorders>
              <w:top w:val="nil"/>
              <w:left w:val="nil"/>
              <w:bottom w:val="nil"/>
              <w:right w:val="nil"/>
            </w:tcBorders>
            <w:noWrap/>
            <w:vAlign w:val="bottom"/>
            <w:hideMark/>
          </w:tcPr>
          <w:p w:rsidR="006C359E" w:rsidRPr="00BF3F84" w:rsidP="00B56B1A" w14:paraId="0D09CDB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218 </w:t>
            </w:r>
          </w:p>
        </w:tc>
        <w:tc>
          <w:tcPr>
            <w:tcW w:w="975" w:type="dxa"/>
            <w:tcBorders>
              <w:top w:val="nil"/>
              <w:left w:val="nil"/>
              <w:bottom w:val="nil"/>
              <w:right w:val="nil"/>
            </w:tcBorders>
            <w:noWrap/>
            <w:vAlign w:val="bottom"/>
            <w:hideMark/>
          </w:tcPr>
          <w:p w:rsidR="006C359E" w:rsidRPr="00BF3F84" w:rsidP="00B56B1A" w14:paraId="4C24C5A8"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338 </w:t>
            </w:r>
          </w:p>
        </w:tc>
        <w:tc>
          <w:tcPr>
            <w:tcW w:w="975" w:type="dxa"/>
            <w:tcBorders>
              <w:top w:val="nil"/>
              <w:left w:val="nil"/>
              <w:bottom w:val="nil"/>
              <w:right w:val="nil"/>
            </w:tcBorders>
            <w:noWrap/>
            <w:vAlign w:val="bottom"/>
            <w:hideMark/>
          </w:tcPr>
          <w:p w:rsidR="006C359E" w:rsidRPr="00BF3F84" w:rsidP="00B56B1A" w14:paraId="39BFAD6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61 </w:t>
            </w:r>
          </w:p>
        </w:tc>
        <w:tc>
          <w:tcPr>
            <w:tcW w:w="975" w:type="dxa"/>
            <w:tcBorders>
              <w:top w:val="nil"/>
              <w:left w:val="nil"/>
              <w:bottom w:val="nil"/>
              <w:right w:val="nil"/>
            </w:tcBorders>
            <w:noWrap/>
            <w:vAlign w:val="bottom"/>
            <w:hideMark/>
          </w:tcPr>
          <w:p w:rsidR="006C359E" w:rsidRPr="00BF3F84" w:rsidP="00B56B1A" w14:paraId="096B129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269 </w:t>
            </w:r>
          </w:p>
        </w:tc>
        <w:tc>
          <w:tcPr>
            <w:tcW w:w="975" w:type="dxa"/>
            <w:tcBorders>
              <w:top w:val="nil"/>
              <w:left w:val="nil"/>
              <w:bottom w:val="nil"/>
              <w:right w:val="nil"/>
            </w:tcBorders>
            <w:noWrap/>
            <w:vAlign w:val="bottom"/>
            <w:hideMark/>
          </w:tcPr>
          <w:p w:rsidR="006C359E" w:rsidRPr="00BF3F84" w:rsidP="00B56B1A" w14:paraId="6BB4249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61 </w:t>
            </w:r>
          </w:p>
        </w:tc>
        <w:tc>
          <w:tcPr>
            <w:tcW w:w="975" w:type="dxa"/>
            <w:tcBorders>
              <w:top w:val="nil"/>
              <w:left w:val="nil"/>
              <w:bottom w:val="nil"/>
              <w:right w:val="nil"/>
            </w:tcBorders>
            <w:noWrap/>
            <w:vAlign w:val="bottom"/>
            <w:hideMark/>
          </w:tcPr>
          <w:p w:rsidR="006C359E" w:rsidRPr="00BF3F84" w:rsidP="00B56B1A" w14:paraId="78EC552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260 </w:t>
            </w:r>
          </w:p>
        </w:tc>
      </w:tr>
      <w:tr w14:paraId="6228E8EE"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0A7D348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Jihomoravský kraj</w:t>
            </w:r>
          </w:p>
        </w:tc>
        <w:tc>
          <w:tcPr>
            <w:tcW w:w="974" w:type="dxa"/>
            <w:tcBorders>
              <w:top w:val="nil"/>
              <w:left w:val="nil"/>
              <w:bottom w:val="nil"/>
              <w:right w:val="nil"/>
            </w:tcBorders>
            <w:noWrap/>
            <w:vAlign w:val="bottom"/>
            <w:hideMark/>
          </w:tcPr>
          <w:p w:rsidR="006C359E" w:rsidRPr="00BF3F84" w:rsidP="00B56B1A" w14:paraId="0055C31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273 </w:t>
            </w:r>
          </w:p>
        </w:tc>
        <w:tc>
          <w:tcPr>
            <w:tcW w:w="975" w:type="dxa"/>
            <w:tcBorders>
              <w:top w:val="nil"/>
              <w:left w:val="nil"/>
              <w:bottom w:val="nil"/>
              <w:right w:val="nil"/>
            </w:tcBorders>
            <w:noWrap/>
            <w:vAlign w:val="bottom"/>
            <w:hideMark/>
          </w:tcPr>
          <w:p w:rsidR="006C359E" w:rsidRPr="00BF3F84" w:rsidP="00B56B1A" w14:paraId="752B0AB8"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562 </w:t>
            </w:r>
          </w:p>
        </w:tc>
        <w:tc>
          <w:tcPr>
            <w:tcW w:w="975" w:type="dxa"/>
            <w:tcBorders>
              <w:top w:val="nil"/>
              <w:left w:val="nil"/>
              <w:bottom w:val="nil"/>
              <w:right w:val="nil"/>
            </w:tcBorders>
            <w:noWrap/>
            <w:vAlign w:val="bottom"/>
            <w:hideMark/>
          </w:tcPr>
          <w:p w:rsidR="006C359E" w:rsidRPr="00BF3F84" w:rsidP="00B56B1A" w14:paraId="0F47373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236 </w:t>
            </w:r>
          </w:p>
        </w:tc>
        <w:tc>
          <w:tcPr>
            <w:tcW w:w="975" w:type="dxa"/>
            <w:tcBorders>
              <w:top w:val="nil"/>
              <w:left w:val="nil"/>
              <w:bottom w:val="nil"/>
              <w:right w:val="nil"/>
            </w:tcBorders>
            <w:noWrap/>
            <w:vAlign w:val="bottom"/>
            <w:hideMark/>
          </w:tcPr>
          <w:p w:rsidR="006C359E" w:rsidRPr="00BF3F84" w:rsidP="00B56B1A" w14:paraId="3A1E49AB"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491 </w:t>
            </w:r>
          </w:p>
        </w:tc>
        <w:tc>
          <w:tcPr>
            <w:tcW w:w="975" w:type="dxa"/>
            <w:tcBorders>
              <w:top w:val="nil"/>
              <w:left w:val="nil"/>
              <w:bottom w:val="nil"/>
              <w:right w:val="nil"/>
            </w:tcBorders>
            <w:noWrap/>
            <w:vAlign w:val="bottom"/>
            <w:hideMark/>
          </w:tcPr>
          <w:p w:rsidR="006C359E" w:rsidRPr="00BF3F84" w:rsidP="00B56B1A" w14:paraId="36FCF54C"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91 </w:t>
            </w:r>
          </w:p>
        </w:tc>
        <w:tc>
          <w:tcPr>
            <w:tcW w:w="975" w:type="dxa"/>
            <w:tcBorders>
              <w:top w:val="nil"/>
              <w:left w:val="nil"/>
              <w:bottom w:val="nil"/>
              <w:right w:val="nil"/>
            </w:tcBorders>
            <w:noWrap/>
            <w:vAlign w:val="bottom"/>
            <w:hideMark/>
          </w:tcPr>
          <w:p w:rsidR="006C359E" w:rsidRPr="00BF3F84" w:rsidP="00B56B1A" w14:paraId="215B25B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398 </w:t>
            </w:r>
          </w:p>
        </w:tc>
        <w:tc>
          <w:tcPr>
            <w:tcW w:w="975" w:type="dxa"/>
            <w:tcBorders>
              <w:top w:val="nil"/>
              <w:left w:val="nil"/>
              <w:bottom w:val="nil"/>
              <w:right w:val="nil"/>
            </w:tcBorders>
            <w:noWrap/>
            <w:vAlign w:val="bottom"/>
            <w:hideMark/>
          </w:tcPr>
          <w:p w:rsidR="006C359E" w:rsidRPr="00BF3F84" w:rsidP="00B56B1A" w14:paraId="40C2FE2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91 </w:t>
            </w:r>
          </w:p>
        </w:tc>
        <w:tc>
          <w:tcPr>
            <w:tcW w:w="975" w:type="dxa"/>
            <w:tcBorders>
              <w:top w:val="nil"/>
              <w:left w:val="nil"/>
              <w:bottom w:val="nil"/>
              <w:right w:val="nil"/>
            </w:tcBorders>
            <w:noWrap/>
            <w:vAlign w:val="bottom"/>
            <w:hideMark/>
          </w:tcPr>
          <w:p w:rsidR="006C359E" w:rsidRPr="00BF3F84" w:rsidP="00B56B1A" w14:paraId="139BFC4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289 </w:t>
            </w:r>
          </w:p>
        </w:tc>
      </w:tr>
      <w:tr w14:paraId="1E2FED82"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567CEFD1"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Olomoucký kraj</w:t>
            </w:r>
          </w:p>
        </w:tc>
        <w:tc>
          <w:tcPr>
            <w:tcW w:w="974" w:type="dxa"/>
            <w:tcBorders>
              <w:top w:val="nil"/>
              <w:left w:val="nil"/>
              <w:bottom w:val="nil"/>
              <w:right w:val="nil"/>
            </w:tcBorders>
            <w:noWrap/>
            <w:vAlign w:val="bottom"/>
            <w:hideMark/>
          </w:tcPr>
          <w:p w:rsidR="006C359E" w:rsidRPr="00BF3F84" w:rsidP="00B56B1A" w14:paraId="1208FA5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224 </w:t>
            </w:r>
          </w:p>
        </w:tc>
        <w:tc>
          <w:tcPr>
            <w:tcW w:w="975" w:type="dxa"/>
            <w:tcBorders>
              <w:top w:val="nil"/>
              <w:left w:val="nil"/>
              <w:bottom w:val="nil"/>
              <w:right w:val="nil"/>
            </w:tcBorders>
            <w:noWrap/>
            <w:vAlign w:val="bottom"/>
            <w:hideMark/>
          </w:tcPr>
          <w:p w:rsidR="006C359E" w:rsidRPr="00BF3F84" w:rsidP="00B56B1A" w14:paraId="7D78DE8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375 </w:t>
            </w:r>
          </w:p>
        </w:tc>
        <w:tc>
          <w:tcPr>
            <w:tcW w:w="975" w:type="dxa"/>
            <w:tcBorders>
              <w:top w:val="nil"/>
              <w:left w:val="nil"/>
              <w:bottom w:val="nil"/>
              <w:right w:val="nil"/>
            </w:tcBorders>
            <w:noWrap/>
            <w:vAlign w:val="bottom"/>
            <w:hideMark/>
          </w:tcPr>
          <w:p w:rsidR="006C359E" w:rsidRPr="00BF3F84" w:rsidP="00B56B1A" w14:paraId="20FCE138"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183 </w:t>
            </w:r>
          </w:p>
        </w:tc>
        <w:tc>
          <w:tcPr>
            <w:tcW w:w="975" w:type="dxa"/>
            <w:tcBorders>
              <w:top w:val="nil"/>
              <w:left w:val="nil"/>
              <w:bottom w:val="nil"/>
              <w:right w:val="nil"/>
            </w:tcBorders>
            <w:noWrap/>
            <w:vAlign w:val="bottom"/>
            <w:hideMark/>
          </w:tcPr>
          <w:p w:rsidR="006C359E" w:rsidRPr="00BF3F84" w:rsidP="00B56B1A" w14:paraId="2058D99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285 </w:t>
            </w:r>
          </w:p>
        </w:tc>
        <w:tc>
          <w:tcPr>
            <w:tcW w:w="975" w:type="dxa"/>
            <w:tcBorders>
              <w:top w:val="nil"/>
              <w:left w:val="nil"/>
              <w:bottom w:val="nil"/>
              <w:right w:val="nil"/>
            </w:tcBorders>
            <w:noWrap/>
            <w:vAlign w:val="bottom"/>
            <w:hideMark/>
          </w:tcPr>
          <w:p w:rsidR="006C359E" w:rsidRPr="00BF3F84" w:rsidP="00B56B1A" w14:paraId="0BA145B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63 </w:t>
            </w:r>
          </w:p>
        </w:tc>
        <w:tc>
          <w:tcPr>
            <w:tcW w:w="975" w:type="dxa"/>
            <w:tcBorders>
              <w:top w:val="nil"/>
              <w:left w:val="nil"/>
              <w:bottom w:val="nil"/>
              <w:right w:val="nil"/>
            </w:tcBorders>
            <w:noWrap/>
            <w:vAlign w:val="bottom"/>
            <w:hideMark/>
          </w:tcPr>
          <w:p w:rsidR="006C359E" w:rsidRPr="00BF3F84" w:rsidP="00B56B1A" w14:paraId="44FB28C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326 </w:t>
            </w:r>
          </w:p>
        </w:tc>
        <w:tc>
          <w:tcPr>
            <w:tcW w:w="975" w:type="dxa"/>
            <w:tcBorders>
              <w:top w:val="nil"/>
              <w:left w:val="nil"/>
              <w:bottom w:val="nil"/>
              <w:right w:val="nil"/>
            </w:tcBorders>
            <w:noWrap/>
            <w:vAlign w:val="bottom"/>
            <w:hideMark/>
          </w:tcPr>
          <w:p w:rsidR="006C359E" w:rsidRPr="00BF3F84" w:rsidP="00B56B1A" w14:paraId="725780AD"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63 </w:t>
            </w:r>
          </w:p>
        </w:tc>
        <w:tc>
          <w:tcPr>
            <w:tcW w:w="975" w:type="dxa"/>
            <w:tcBorders>
              <w:top w:val="nil"/>
              <w:left w:val="nil"/>
              <w:bottom w:val="nil"/>
              <w:right w:val="nil"/>
            </w:tcBorders>
            <w:noWrap/>
            <w:vAlign w:val="bottom"/>
            <w:hideMark/>
          </w:tcPr>
          <w:p w:rsidR="006C359E" w:rsidRPr="00BF3F84" w:rsidP="00B56B1A" w14:paraId="21F063C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252 </w:t>
            </w:r>
          </w:p>
        </w:tc>
      </w:tr>
      <w:tr w14:paraId="23DDAF55"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2FB75A8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Zlínský kraj</w:t>
            </w:r>
          </w:p>
        </w:tc>
        <w:tc>
          <w:tcPr>
            <w:tcW w:w="974" w:type="dxa"/>
            <w:tcBorders>
              <w:top w:val="nil"/>
              <w:left w:val="nil"/>
              <w:bottom w:val="nil"/>
              <w:right w:val="nil"/>
            </w:tcBorders>
            <w:noWrap/>
            <w:vAlign w:val="bottom"/>
            <w:hideMark/>
          </w:tcPr>
          <w:p w:rsidR="006C359E" w:rsidRPr="00BF3F84" w:rsidP="00B56B1A" w14:paraId="2818159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246 </w:t>
            </w:r>
          </w:p>
        </w:tc>
        <w:tc>
          <w:tcPr>
            <w:tcW w:w="975" w:type="dxa"/>
            <w:tcBorders>
              <w:top w:val="nil"/>
              <w:left w:val="nil"/>
              <w:bottom w:val="nil"/>
              <w:right w:val="nil"/>
            </w:tcBorders>
            <w:noWrap/>
            <w:vAlign w:val="bottom"/>
            <w:hideMark/>
          </w:tcPr>
          <w:p w:rsidR="006C359E" w:rsidRPr="00BF3F84" w:rsidP="00B56B1A" w14:paraId="3F018FC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531 </w:t>
            </w:r>
          </w:p>
        </w:tc>
        <w:tc>
          <w:tcPr>
            <w:tcW w:w="975" w:type="dxa"/>
            <w:tcBorders>
              <w:top w:val="nil"/>
              <w:left w:val="nil"/>
              <w:bottom w:val="nil"/>
              <w:right w:val="nil"/>
            </w:tcBorders>
            <w:noWrap/>
            <w:vAlign w:val="bottom"/>
            <w:hideMark/>
          </w:tcPr>
          <w:p w:rsidR="006C359E" w:rsidRPr="00BF3F84" w:rsidP="00B56B1A" w14:paraId="39F4E50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154 </w:t>
            </w:r>
          </w:p>
        </w:tc>
        <w:tc>
          <w:tcPr>
            <w:tcW w:w="975" w:type="dxa"/>
            <w:tcBorders>
              <w:top w:val="nil"/>
              <w:left w:val="nil"/>
              <w:bottom w:val="nil"/>
              <w:right w:val="nil"/>
            </w:tcBorders>
            <w:noWrap/>
            <w:vAlign w:val="bottom"/>
            <w:hideMark/>
          </w:tcPr>
          <w:p w:rsidR="006C359E" w:rsidRPr="00BF3F84" w:rsidP="00B56B1A" w14:paraId="03026E4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309 </w:t>
            </w:r>
          </w:p>
        </w:tc>
        <w:tc>
          <w:tcPr>
            <w:tcW w:w="975" w:type="dxa"/>
            <w:tcBorders>
              <w:top w:val="nil"/>
              <w:left w:val="nil"/>
              <w:bottom w:val="nil"/>
              <w:right w:val="nil"/>
            </w:tcBorders>
            <w:noWrap/>
            <w:vAlign w:val="bottom"/>
            <w:hideMark/>
          </w:tcPr>
          <w:p w:rsidR="006C359E" w:rsidRPr="00BF3F84" w:rsidP="00B56B1A" w14:paraId="0F4D202A"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58 </w:t>
            </w:r>
          </w:p>
        </w:tc>
        <w:tc>
          <w:tcPr>
            <w:tcW w:w="975" w:type="dxa"/>
            <w:tcBorders>
              <w:top w:val="nil"/>
              <w:left w:val="nil"/>
              <w:bottom w:val="nil"/>
              <w:right w:val="nil"/>
            </w:tcBorders>
            <w:noWrap/>
            <w:vAlign w:val="bottom"/>
            <w:hideMark/>
          </w:tcPr>
          <w:p w:rsidR="006C359E" w:rsidRPr="00BF3F84" w:rsidP="00B56B1A" w14:paraId="1CD7AF9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246 </w:t>
            </w:r>
          </w:p>
        </w:tc>
        <w:tc>
          <w:tcPr>
            <w:tcW w:w="975" w:type="dxa"/>
            <w:tcBorders>
              <w:top w:val="nil"/>
              <w:left w:val="nil"/>
              <w:bottom w:val="nil"/>
              <w:right w:val="nil"/>
            </w:tcBorders>
            <w:noWrap/>
            <w:vAlign w:val="bottom"/>
            <w:hideMark/>
          </w:tcPr>
          <w:p w:rsidR="006C359E" w:rsidRPr="00BF3F84" w:rsidP="00B56B1A" w14:paraId="19783DE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58 </w:t>
            </w:r>
          </w:p>
        </w:tc>
        <w:tc>
          <w:tcPr>
            <w:tcW w:w="975" w:type="dxa"/>
            <w:tcBorders>
              <w:top w:val="nil"/>
              <w:left w:val="nil"/>
              <w:bottom w:val="nil"/>
              <w:right w:val="nil"/>
            </w:tcBorders>
            <w:noWrap/>
            <w:vAlign w:val="bottom"/>
            <w:hideMark/>
          </w:tcPr>
          <w:p w:rsidR="006C359E" w:rsidRPr="00BF3F84" w:rsidP="00B56B1A" w14:paraId="34EA842E"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175 </w:t>
            </w:r>
          </w:p>
        </w:tc>
      </w:tr>
      <w:tr w14:paraId="3C256A68"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0A9C0276"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Moravskoslezský kraj</w:t>
            </w:r>
          </w:p>
        </w:tc>
        <w:tc>
          <w:tcPr>
            <w:tcW w:w="974" w:type="dxa"/>
            <w:tcBorders>
              <w:top w:val="nil"/>
              <w:left w:val="nil"/>
              <w:bottom w:val="nil"/>
              <w:right w:val="nil"/>
            </w:tcBorders>
            <w:noWrap/>
            <w:vAlign w:val="bottom"/>
            <w:hideMark/>
          </w:tcPr>
          <w:p w:rsidR="006C359E" w:rsidRPr="00BF3F84" w:rsidP="00B56B1A" w14:paraId="1E170D4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427 </w:t>
            </w:r>
          </w:p>
        </w:tc>
        <w:tc>
          <w:tcPr>
            <w:tcW w:w="975" w:type="dxa"/>
            <w:tcBorders>
              <w:top w:val="nil"/>
              <w:left w:val="nil"/>
              <w:bottom w:val="nil"/>
              <w:right w:val="nil"/>
            </w:tcBorders>
            <w:noWrap/>
            <w:vAlign w:val="bottom"/>
            <w:hideMark/>
          </w:tcPr>
          <w:p w:rsidR="006C359E" w:rsidRPr="00BF3F84" w:rsidP="00B56B1A" w14:paraId="756567A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801 </w:t>
            </w:r>
          </w:p>
        </w:tc>
        <w:tc>
          <w:tcPr>
            <w:tcW w:w="975" w:type="dxa"/>
            <w:tcBorders>
              <w:top w:val="nil"/>
              <w:left w:val="nil"/>
              <w:bottom w:val="nil"/>
              <w:right w:val="nil"/>
            </w:tcBorders>
            <w:noWrap/>
            <w:vAlign w:val="bottom"/>
            <w:hideMark/>
          </w:tcPr>
          <w:p w:rsidR="006C359E" w:rsidRPr="00BF3F84" w:rsidP="00B56B1A" w14:paraId="4E45A1F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287 </w:t>
            </w:r>
          </w:p>
        </w:tc>
        <w:tc>
          <w:tcPr>
            <w:tcW w:w="975" w:type="dxa"/>
            <w:tcBorders>
              <w:top w:val="nil"/>
              <w:left w:val="nil"/>
              <w:bottom w:val="nil"/>
              <w:right w:val="nil"/>
            </w:tcBorders>
            <w:noWrap/>
            <w:vAlign w:val="bottom"/>
            <w:hideMark/>
          </w:tcPr>
          <w:p w:rsidR="006C359E" w:rsidRPr="00BF3F84" w:rsidP="00B56B1A" w14:paraId="6062909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619 </w:t>
            </w:r>
          </w:p>
        </w:tc>
        <w:tc>
          <w:tcPr>
            <w:tcW w:w="975" w:type="dxa"/>
            <w:tcBorders>
              <w:top w:val="nil"/>
              <w:left w:val="nil"/>
              <w:bottom w:val="nil"/>
              <w:right w:val="nil"/>
            </w:tcBorders>
            <w:noWrap/>
            <w:vAlign w:val="bottom"/>
            <w:hideMark/>
          </w:tcPr>
          <w:p w:rsidR="006C359E" w:rsidRPr="00BF3F84" w:rsidP="00B56B1A" w14:paraId="4050C160"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114 </w:t>
            </w:r>
          </w:p>
        </w:tc>
        <w:tc>
          <w:tcPr>
            <w:tcW w:w="975" w:type="dxa"/>
            <w:tcBorders>
              <w:top w:val="nil"/>
              <w:left w:val="nil"/>
              <w:bottom w:val="nil"/>
              <w:right w:val="nil"/>
            </w:tcBorders>
            <w:noWrap/>
            <w:vAlign w:val="bottom"/>
            <w:hideMark/>
          </w:tcPr>
          <w:p w:rsidR="006C359E" w:rsidRPr="00BF3F84" w:rsidP="00B56B1A" w14:paraId="75174A4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530 </w:t>
            </w:r>
          </w:p>
        </w:tc>
        <w:tc>
          <w:tcPr>
            <w:tcW w:w="975" w:type="dxa"/>
            <w:tcBorders>
              <w:top w:val="nil"/>
              <w:left w:val="nil"/>
              <w:bottom w:val="nil"/>
              <w:right w:val="nil"/>
            </w:tcBorders>
            <w:noWrap/>
            <w:vAlign w:val="bottom"/>
            <w:hideMark/>
          </w:tcPr>
          <w:p w:rsidR="006C359E" w:rsidRPr="00BF3F84" w:rsidP="00B56B1A" w14:paraId="19896DCC"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114 </w:t>
            </w:r>
          </w:p>
        </w:tc>
        <w:tc>
          <w:tcPr>
            <w:tcW w:w="975" w:type="dxa"/>
            <w:tcBorders>
              <w:top w:val="nil"/>
              <w:left w:val="nil"/>
              <w:bottom w:val="nil"/>
              <w:right w:val="nil"/>
            </w:tcBorders>
            <w:noWrap/>
            <w:vAlign w:val="bottom"/>
            <w:hideMark/>
          </w:tcPr>
          <w:p w:rsidR="006C359E" w:rsidRPr="00BF3F84" w:rsidP="00B56B1A" w14:paraId="4845E315"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421 </w:t>
            </w:r>
          </w:p>
        </w:tc>
      </w:tr>
      <w:tr w14:paraId="785639A1" w14:textId="77777777" w:rsidTr="00B56B1A">
        <w:tblPrEx>
          <w:tblW w:w="9072" w:type="dxa"/>
          <w:tblLayout w:type="fixed"/>
          <w:tblCellMar>
            <w:left w:w="70" w:type="dxa"/>
            <w:right w:w="70" w:type="dxa"/>
          </w:tblCellMar>
          <w:tblLook w:val="04A0"/>
        </w:tblPrEx>
        <w:trPr>
          <w:trHeight w:val="300"/>
        </w:trPr>
        <w:tc>
          <w:tcPr>
            <w:tcW w:w="1273" w:type="dxa"/>
            <w:tcBorders>
              <w:top w:val="nil"/>
              <w:left w:val="nil"/>
              <w:bottom w:val="nil"/>
              <w:right w:val="single" w:sz="4" w:space="0" w:color="auto"/>
            </w:tcBorders>
            <w:noWrap/>
            <w:vAlign w:val="bottom"/>
            <w:hideMark/>
          </w:tcPr>
          <w:p w:rsidR="006C359E" w:rsidRPr="00BF3F84" w:rsidP="00B56B1A" w14:paraId="026FE01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Neuvedeno</w:t>
            </w:r>
          </w:p>
        </w:tc>
        <w:tc>
          <w:tcPr>
            <w:tcW w:w="974" w:type="dxa"/>
            <w:tcBorders>
              <w:top w:val="nil"/>
              <w:left w:val="nil"/>
              <w:bottom w:val="nil"/>
              <w:right w:val="nil"/>
            </w:tcBorders>
            <w:noWrap/>
            <w:vAlign w:val="bottom"/>
            <w:hideMark/>
          </w:tcPr>
          <w:p w:rsidR="006C359E" w:rsidRPr="00BF3F84" w:rsidP="00B56B1A" w14:paraId="18F490B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1 256 </w:t>
            </w:r>
          </w:p>
        </w:tc>
        <w:tc>
          <w:tcPr>
            <w:tcW w:w="975" w:type="dxa"/>
            <w:tcBorders>
              <w:top w:val="nil"/>
              <w:left w:val="nil"/>
              <w:bottom w:val="nil"/>
              <w:right w:val="nil"/>
            </w:tcBorders>
            <w:noWrap/>
            <w:vAlign w:val="bottom"/>
            <w:hideMark/>
          </w:tcPr>
          <w:p w:rsidR="006C359E" w:rsidRPr="00BF3F84" w:rsidP="00B56B1A" w14:paraId="795FDB4C"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2 190 </w:t>
            </w:r>
          </w:p>
        </w:tc>
        <w:tc>
          <w:tcPr>
            <w:tcW w:w="975" w:type="dxa"/>
            <w:tcBorders>
              <w:top w:val="nil"/>
              <w:left w:val="nil"/>
              <w:bottom w:val="nil"/>
              <w:right w:val="nil"/>
            </w:tcBorders>
            <w:noWrap/>
            <w:vAlign w:val="bottom"/>
            <w:hideMark/>
          </w:tcPr>
          <w:p w:rsidR="006C359E" w:rsidRPr="00BF3F84" w:rsidP="00B56B1A" w14:paraId="6D6CF34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857 </w:t>
            </w:r>
          </w:p>
        </w:tc>
        <w:tc>
          <w:tcPr>
            <w:tcW w:w="975" w:type="dxa"/>
            <w:tcBorders>
              <w:top w:val="nil"/>
              <w:left w:val="nil"/>
              <w:bottom w:val="nil"/>
              <w:right w:val="nil"/>
            </w:tcBorders>
            <w:noWrap/>
            <w:vAlign w:val="bottom"/>
            <w:hideMark/>
          </w:tcPr>
          <w:p w:rsidR="006C359E" w:rsidRPr="00BF3F84" w:rsidP="00B56B1A" w14:paraId="07BD268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3 175 </w:t>
            </w:r>
          </w:p>
        </w:tc>
        <w:tc>
          <w:tcPr>
            <w:tcW w:w="975" w:type="dxa"/>
            <w:tcBorders>
              <w:top w:val="nil"/>
              <w:left w:val="nil"/>
              <w:bottom w:val="nil"/>
              <w:right w:val="nil"/>
            </w:tcBorders>
            <w:noWrap/>
            <w:vAlign w:val="bottom"/>
            <w:hideMark/>
          </w:tcPr>
          <w:p w:rsidR="006C359E" w:rsidRPr="00BF3F84" w:rsidP="00B56B1A" w14:paraId="7E7C1D79"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295 </w:t>
            </w:r>
          </w:p>
        </w:tc>
        <w:tc>
          <w:tcPr>
            <w:tcW w:w="975" w:type="dxa"/>
            <w:tcBorders>
              <w:top w:val="nil"/>
              <w:left w:val="nil"/>
              <w:bottom w:val="nil"/>
              <w:right w:val="nil"/>
            </w:tcBorders>
            <w:noWrap/>
            <w:vAlign w:val="bottom"/>
            <w:hideMark/>
          </w:tcPr>
          <w:p w:rsidR="006C359E" w:rsidRPr="00BF3F84" w:rsidP="00B56B1A" w14:paraId="7A83A4A3"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1 514 </w:t>
            </w:r>
          </w:p>
        </w:tc>
        <w:tc>
          <w:tcPr>
            <w:tcW w:w="975" w:type="dxa"/>
            <w:tcBorders>
              <w:top w:val="nil"/>
              <w:left w:val="nil"/>
              <w:bottom w:val="nil"/>
              <w:right w:val="nil"/>
            </w:tcBorders>
            <w:noWrap/>
            <w:vAlign w:val="bottom"/>
            <w:hideMark/>
          </w:tcPr>
          <w:p w:rsidR="006C359E" w:rsidRPr="00BF3F84" w:rsidP="00B56B1A" w14:paraId="275000D2"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295 </w:t>
            </w:r>
          </w:p>
        </w:tc>
        <w:tc>
          <w:tcPr>
            <w:tcW w:w="975" w:type="dxa"/>
            <w:tcBorders>
              <w:top w:val="nil"/>
              <w:left w:val="nil"/>
              <w:bottom w:val="nil"/>
              <w:right w:val="nil"/>
            </w:tcBorders>
            <w:noWrap/>
            <w:vAlign w:val="bottom"/>
            <w:hideMark/>
          </w:tcPr>
          <w:p w:rsidR="006C359E" w:rsidRPr="00BF3F84" w:rsidP="00B56B1A" w14:paraId="433C38A7" w14:textId="77777777">
            <w:pPr>
              <w:spacing w:before="0" w:after="0"/>
              <w:jc w:val="left"/>
              <w:rPr>
                <w:rFonts w:ascii="Calibri" w:eastAsia="Times New Roman" w:hAnsi="Calibri" w:cs="Calibri"/>
                <w:color w:val="auto"/>
                <w:sz w:val="16"/>
                <w:szCs w:val="16"/>
                <w:lang w:eastAsia="cs-CZ"/>
              </w:rPr>
            </w:pPr>
            <w:r w:rsidRPr="00BF3F84">
              <w:rPr>
                <w:rFonts w:ascii="Calibri" w:eastAsia="Times New Roman" w:hAnsi="Calibri" w:cs="Calibri"/>
                <w:color w:val="auto"/>
                <w:sz w:val="16"/>
                <w:szCs w:val="16"/>
                <w:lang w:eastAsia="cs-CZ"/>
              </w:rPr>
              <w:t xml:space="preserve">              966 </w:t>
            </w:r>
          </w:p>
        </w:tc>
      </w:tr>
    </w:tbl>
    <w:p w:rsidR="006C359E" w:rsidP="006C359E" w14:paraId="225D1962" w14:textId="32DAB769">
      <w:pPr>
        <w:rPr>
          <w:rFonts w:cs="Times New Roman"/>
          <w:color w:val="auto"/>
          <w:sz w:val="20"/>
          <w:szCs w:val="20"/>
        </w:rPr>
      </w:pPr>
      <w:bookmarkStart w:id="507" w:name="_Hlk203314628"/>
      <w:r>
        <w:rPr>
          <w:rFonts w:cs="Times New Roman"/>
          <w:color w:val="auto"/>
          <w:sz w:val="20"/>
          <w:szCs w:val="20"/>
        </w:rPr>
        <w:t xml:space="preserve">Zdroj: </w:t>
      </w:r>
      <w:r w:rsidRPr="007A1873">
        <w:t>NRHZS</w:t>
      </w:r>
      <w:r>
        <w:rPr>
          <w:noProof/>
        </w:rPr>
        <w:t xml:space="preserve"> </w:t>
      </w:r>
      <w:bookmarkEnd w:id="507"/>
      <w:r w:rsidRPr="00BF3F84">
        <w:rPr>
          <w:rFonts w:cs="Times New Roman"/>
          <w:color w:val="auto"/>
          <w:sz w:val="20"/>
          <w:szCs w:val="20"/>
        </w:rPr>
        <w:t>Zdroj dat: NRHZS 2024, návštěvy LPS jsou identifikovány pomocí vykázaného výkonu 09563 - VÝKON LÉKAŘSKÉ POHOTOVOSTNÍ SLUŽBY a odborností 003 (LSPP) a 019 (stomatologická LSPP) jako návštěva se započítává unikátní doklad s vykázaným alespoň jedním výkonem 09563 nebo v rámci odborností 003 a 019</w:t>
      </w:r>
    </w:p>
    <w:p w:rsidR="00FC5DCD" w:rsidRPr="00BF3F84" w:rsidP="006C359E" w14:paraId="659B23D8" w14:textId="77777777">
      <w:pPr>
        <w:rPr>
          <w:rFonts w:cs="Times New Roman"/>
          <w:color w:val="auto"/>
          <w:sz w:val="20"/>
          <w:szCs w:val="20"/>
        </w:rPr>
      </w:pPr>
    </w:p>
    <w:p w:rsidR="00FC5DCD" w:rsidP="0070747B" w14:paraId="193D7CFF" w14:textId="77777777">
      <w:pPr>
        <w:pStyle w:val="Podkapitola111opaten"/>
        <w:numPr>
          <w:ilvl w:val="2"/>
          <w:numId w:val="44"/>
        </w:numPr>
        <w:ind w:left="1134" w:hanging="360"/>
        <w:jc w:val="both"/>
      </w:pPr>
      <w:bookmarkStart w:id="508" w:name="_Toc256000041"/>
      <w:r w:rsidRPr="00A30085">
        <w:t xml:space="preserve">Specifický cíl 2.2 ‒ </w:t>
      </w:r>
      <w:r w:rsidRPr="00A955AF">
        <w:t>Personální stabilizace resortu zdravotnictví.</w:t>
      </w:r>
      <w:bookmarkEnd w:id="508"/>
      <w:r w:rsidRPr="00A955AF">
        <w:t xml:space="preserve"> </w:t>
      </w:r>
    </w:p>
    <w:p w:rsidR="00FC5DCD" w:rsidP="00FC5DCD" w14:paraId="40B669AD" w14:textId="3100D955">
      <w:pPr>
        <w:rPr>
          <w:rFonts w:cs="Times New Roman"/>
          <w:sz w:val="24"/>
        </w:rPr>
      </w:pPr>
      <w:r w:rsidRPr="00A955AF">
        <w:rPr>
          <w:rFonts w:cs="Times New Roman"/>
          <w:sz w:val="24"/>
        </w:rPr>
        <w:t>Specifické cíle 2.2</w:t>
      </w:r>
      <w:r>
        <w:rPr>
          <w:rFonts w:cs="Times New Roman"/>
          <w:sz w:val="24"/>
        </w:rPr>
        <w:t>–</w:t>
      </w:r>
      <w:r w:rsidRPr="00A955AF">
        <w:rPr>
          <w:rFonts w:cs="Times New Roman"/>
          <w:sz w:val="24"/>
        </w:rPr>
        <w:t xml:space="preserve">2.4 Strategického rámce Zdraví </w:t>
      </w:r>
      <w:r>
        <w:rPr>
          <w:rFonts w:cs="Times New Roman"/>
          <w:sz w:val="24"/>
        </w:rPr>
        <w:t>2035</w:t>
      </w:r>
      <w:r w:rsidRPr="00A955AF">
        <w:rPr>
          <w:rFonts w:cs="Times New Roman"/>
          <w:sz w:val="24"/>
        </w:rPr>
        <w:t xml:space="preserve"> se zaměřují na stabilizaci sítě poskytovatelů zdravotních služeb, zejména na personální a finanční zajištění jejich kapacit. Tyto aktivity se vzájemně silně potencují, neboť například personální stabilizaci resortu nelze oddělit od zajištění dostatečné úrovně platů a mezd, které dále úzce souvisí s úhradami zdravotních služeb. Osobní náklady přitom představují velký podíl celkového rozpočtu poskytovatelů, v segmentu lůžkové péče jde o více než 55</w:t>
      </w:r>
      <w:r>
        <w:rPr>
          <w:rFonts w:cs="Times New Roman"/>
          <w:sz w:val="24"/>
        </w:rPr>
        <w:t>–</w:t>
      </w:r>
      <w:r w:rsidRPr="00A955AF">
        <w:rPr>
          <w:rFonts w:cs="Times New Roman"/>
          <w:sz w:val="24"/>
        </w:rPr>
        <w:t>60 % celkových nákladů. Ačkoli</w:t>
      </w:r>
      <w:r>
        <w:rPr>
          <w:rFonts w:cs="Times New Roman"/>
          <w:sz w:val="24"/>
        </w:rPr>
        <w:t> </w:t>
      </w:r>
      <w:r w:rsidRPr="00A955AF">
        <w:rPr>
          <w:rFonts w:cs="Times New Roman"/>
          <w:sz w:val="24"/>
        </w:rPr>
        <w:t>příjmová stránka veřejného zdravotního pojištění každoročně absolutně roste, zdroje systému nejsou neomezené. To v ještě větší míře platí o zdrojích lidských. Stárnutí české populace se týká i pracovníků ve zdravotnictví a populačně slabší ročníky budou v budoucnosti limitovat lidské zdroje zdravotních i sociálních služeb. Z těchto důvodů je strategické hledat nové cesty v optimalizaci úhradových mechanismů (</w:t>
      </w:r>
      <w:r w:rsidRPr="00255D77">
        <w:rPr>
          <w:rFonts w:cs="Times New Roman"/>
          <w:color w:val="auto"/>
          <w:sz w:val="24"/>
        </w:rPr>
        <w:t xml:space="preserve">specifický cíl 2.4) a také </w:t>
      </w:r>
      <w:r w:rsidRPr="00A955AF">
        <w:rPr>
          <w:rFonts w:cs="Times New Roman"/>
          <w:sz w:val="24"/>
        </w:rPr>
        <w:t xml:space="preserve">usilovat o snížení administrativní zátěže a o usnadnění práce lékařů a zdravotníků například účinnou elektronizací procesů a řízení zdravotních </w:t>
      </w:r>
      <w:r w:rsidRPr="00255D77">
        <w:rPr>
          <w:rFonts w:cs="Times New Roman"/>
          <w:sz w:val="24"/>
        </w:rPr>
        <w:t>služeb (specifický cíl 2.3).</w:t>
      </w:r>
    </w:p>
    <w:p w:rsidR="00FC5DCD" w:rsidRPr="00255D77" w:rsidP="00FC5DCD" w14:paraId="75AFA6D8" w14:textId="0B4066DA">
      <w:pPr>
        <w:rPr>
          <w:rFonts w:cs="Times New Roman"/>
          <w:color w:val="auto"/>
          <w:sz w:val="24"/>
        </w:rPr>
      </w:pPr>
      <w:r w:rsidRPr="00255D77">
        <w:rPr>
          <w:rFonts w:cs="Times New Roman"/>
          <w:sz w:val="24"/>
        </w:rPr>
        <w:t>Pandemie C</w:t>
      </w:r>
      <w:r>
        <w:rPr>
          <w:rFonts w:cs="Times New Roman"/>
          <w:sz w:val="24"/>
        </w:rPr>
        <w:t>ovid</w:t>
      </w:r>
      <w:r w:rsidRPr="00255D77">
        <w:rPr>
          <w:rFonts w:cs="Times New Roman"/>
          <w:sz w:val="24"/>
        </w:rPr>
        <w:t>-19 ukázala nepřipravenost zdravotnických systémů jak na mezinárodní, tak </w:t>
      </w:r>
      <w:r w:rsidRPr="00255D77">
        <w:rPr>
          <w:rFonts w:cs="Times New Roman"/>
          <w:color w:val="auto"/>
          <w:sz w:val="24"/>
        </w:rPr>
        <w:t>na národní úrovni. Z toho důvodu přistoupilo MZ</w:t>
      </w:r>
      <w:r>
        <w:rPr>
          <w:rFonts w:cs="Times New Roman"/>
          <w:color w:val="auto"/>
          <w:sz w:val="24"/>
        </w:rPr>
        <w:t>D</w:t>
      </w:r>
      <w:r w:rsidRPr="00255D77">
        <w:rPr>
          <w:rFonts w:cs="Times New Roman"/>
          <w:color w:val="auto"/>
          <w:sz w:val="24"/>
        </w:rPr>
        <w:t xml:space="preserve"> k reprofilaci personálního zajištění českého zdravotnictví, a to včetně posílení orgánů ochrany veřejného zdraví. </w:t>
      </w:r>
    </w:p>
    <w:p w:rsidR="00FC5DCD" w:rsidRPr="00255D77" w:rsidP="00FC5DCD" w14:paraId="6EA0A5DA" w14:textId="77777777">
      <w:pPr>
        <w:pStyle w:val="ListParagraph"/>
        <w:rPr>
          <w:rFonts w:ascii="Calibri" w:eastAsia="Calibri" w:hAnsi="Calibri" w:cs="Calibri"/>
          <w:color w:val="auto"/>
          <w:sz w:val="24"/>
          <w:szCs w:val="24"/>
        </w:rPr>
      </w:pPr>
      <w:r w:rsidRPr="00255D77">
        <w:rPr>
          <w:rFonts w:cs="Times New Roman"/>
          <w:color w:val="auto"/>
          <w:sz w:val="24"/>
          <w:szCs w:val="24"/>
        </w:rPr>
        <w:t xml:space="preserve">Personální kapacity lékařů a nelékařských zdravotnických pracovníků jsou podmínkou dostupnosti a kvality zdravotních i zdravotně sociálních služeb. </w:t>
      </w:r>
      <w:r w:rsidRPr="00255D77">
        <w:rPr>
          <w:rFonts w:ascii="Calibri" w:eastAsia="Calibri" w:hAnsi="Calibri" w:cs="Calibri"/>
          <w:color w:val="auto"/>
          <w:sz w:val="24"/>
          <w:szCs w:val="24"/>
        </w:rPr>
        <w:t>Hlavní aktivity specifického cíle 2.2 Strategického rámce Zdraví 2035 vyplývají z nálezů nově získaných plošných dat Národního registru zdravotnických pracovníků (NRZP), Národního registru hrazených zdravotnických služeb, E-výkazů a Národního registru poskytovatelů zdravotních služeb (NRPZS). V řadě segmentů není současné personální zajištění zdravotních služeb optimální, v případě praktických lékařů pro dospělé a pro děti a dorost je situace v některých regionech až kritická (ukončování praxí bez náhrady z důvodu postupujícího demografického stárnutí). Druhým nejslabším místem je dlouhodobě nedostatečná a klesající kapacita všeobecných sester a porodních asistentek v akutní lůžkové péči. Data funkčních registrů a každoročních resortních statistických šetření lze shrnout následovně:</w:t>
      </w:r>
    </w:p>
    <w:p w:rsidR="00FC5DCD" w:rsidRPr="00255D77" w:rsidP="00FC5DCD" w14:paraId="24077FED" w14:textId="387AA56B">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Celkem je v systému kvantifikována kapacita lékařů v celkovém počtu 42 265 úvazků, dále zubních lékařů (7484 úvazků) a farmaceutů (6703 úvazků). Všeobecné sestry a</w:t>
      </w:r>
      <w:r>
        <w:rPr>
          <w:rFonts w:ascii="Calibri" w:eastAsia="Calibri" w:hAnsi="Calibri" w:cs="Calibri"/>
          <w:color w:val="auto"/>
          <w:sz w:val="24"/>
          <w:szCs w:val="24"/>
        </w:rPr>
        <w:t> </w:t>
      </w:r>
      <w:r w:rsidRPr="00255D77">
        <w:rPr>
          <w:rFonts w:ascii="Calibri" w:eastAsia="Calibri" w:hAnsi="Calibri" w:cs="Calibri"/>
          <w:color w:val="auto"/>
          <w:sz w:val="24"/>
          <w:szCs w:val="24"/>
        </w:rPr>
        <w:t xml:space="preserve">porodní asistentky vykazují úhrnně 87 800 aktivních plných úvazků v systému. Celkový počet úvazků všech aktivních zdravotnických pracovníků dosáhl v roce 2023 hodnoty 235 825. </w:t>
      </w:r>
    </w:p>
    <w:p w:rsidR="00FC5DCD" w:rsidRPr="00255D77" w:rsidP="00FC5DCD" w14:paraId="4EC377F2" w14:textId="77777777">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 xml:space="preserve">V ČR působí celkově přibližně 4,2 úvazku lékařů na tisíc obyvatel, což je hodnota mírně nadprůměrná v mezinárodním srovnání zemí OECD, ale nižší ve srovnání s obdobnými </w:t>
      </w:r>
      <w:r w:rsidRPr="00255D77">
        <w:rPr>
          <w:rFonts w:ascii="Calibri" w:eastAsia="Calibri" w:hAnsi="Calibri" w:cs="Calibri"/>
          <w:color w:val="auto"/>
          <w:sz w:val="24"/>
          <w:szCs w:val="24"/>
        </w:rPr>
        <w:t xml:space="preserve">zdravotnickými systémy, jako je Německo či Rakousko (4,5–5,4 úvazku na tisíc obyvatel). </w:t>
      </w:r>
    </w:p>
    <w:p w:rsidR="00FC5DCD" w:rsidRPr="00255D77" w:rsidP="00FC5DCD" w14:paraId="3BDD5861" w14:textId="77777777">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 xml:space="preserve">Velkým problémem ČR je nerovnoměrná distribuce kapacit lékařů v systému. Je jasně patrný vliv velkých měst a fakultních nemocnic, zejména v Brně a Praze, kde dostupné kapacity přesahují 6,5 úvazku lékaře na tisíc obyvatel. Naopak v krajích Středočeském, Ústeckém, Jihočeském a Pardubickém jsou hodnoty nižší než 3,5 úvazku na tisíc obyvatel a tyto lze interpretovat jako podprůměrné i z evropského hlediska. </w:t>
      </w:r>
    </w:p>
    <w:p w:rsidR="00FC5DCD" w:rsidRPr="00255D77" w:rsidP="00FC5DCD" w14:paraId="3594566F" w14:textId="77777777">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 xml:space="preserve">Určitým problémem demografické struktury populace českých lékařů je rovněž nevyváženost podílu pohlaví. Zejména v posledních deseti letech absolvuje lékařské fakulty výrazně vyšší podíl žen než mužů (průměrně 65 % ku 35 %) a tento nepoměr se v čase mírně prohlubuje. Feminizace povolání lékaře musí být promítnuta do modelů predikujících dostupnost kapacit v následujících letech, neboť předpokládané odchody lékařek na mateřskou dovolenou budou mít na zajištění rozsahu péče značný vliv. </w:t>
      </w:r>
    </w:p>
    <w:p w:rsidR="00FC5DCD" w:rsidRPr="00255D77" w:rsidP="00FC5DCD" w14:paraId="16C4A7F5" w14:textId="395DCC2F">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Z pohledu počtu lékařů v nemocnicích na obyvatele nevybočuje ČR z průměru evropských států s 216 nemocničními lékaři na 100 tis. obyvatel, stejný počet má například Německo. Struktura lékařů v nemocniční péči kategorií L1-L3 se v rámci let 2010–2023 výrazně neměnila. Z kvantitativního hlediska počet lékařů mírně narůstá, a</w:t>
      </w:r>
      <w:r>
        <w:rPr>
          <w:rFonts w:ascii="Calibri" w:eastAsia="Calibri" w:hAnsi="Calibri" w:cs="Calibri"/>
          <w:color w:val="auto"/>
          <w:sz w:val="24"/>
          <w:szCs w:val="24"/>
        </w:rPr>
        <w:t> </w:t>
      </w:r>
      <w:r w:rsidRPr="00255D77">
        <w:rPr>
          <w:rFonts w:ascii="Calibri" w:eastAsia="Calibri" w:hAnsi="Calibri" w:cs="Calibri"/>
          <w:color w:val="auto"/>
          <w:sz w:val="24"/>
          <w:szCs w:val="24"/>
        </w:rPr>
        <w:t>klesá tudíž počet obyvatel na jednoho lékaře. Ročně v ČR přibývá do systému poskytovatelů zdravotních služeb přibližně +300 plných úvazků lékařů. Tato hodnota je relativně nízká, uvážíme-li, že produkce lékařských fakult dosahuje ročně hodnoty převyšující až tisíc očekávatelných nových úvazků. Důvodů tohoto rozdílu je více:</w:t>
      </w:r>
    </w:p>
    <w:p w:rsidR="00FC5DCD" w:rsidRPr="00255D77" w:rsidP="00FC5DCD" w14:paraId="116C2E5C" w14:textId="71C81FC1">
      <w:pPr>
        <w:pStyle w:val="ListParagraph"/>
        <w:spacing w:before="0" w:after="0"/>
        <w:rPr>
          <w:rFonts w:ascii="Calibri" w:eastAsia="Calibri" w:hAnsi="Calibri" w:cs="Calibri"/>
          <w:color w:val="auto"/>
        </w:rPr>
      </w:pPr>
      <w:r>
        <w:rPr>
          <w:rFonts w:ascii="Calibri" w:eastAsia="Calibri" w:hAnsi="Calibri" w:cs="Calibri"/>
          <w:color w:val="auto"/>
          <w:sz w:val="24"/>
          <w:szCs w:val="24"/>
        </w:rPr>
        <w:t>U</w:t>
      </w:r>
      <w:r w:rsidRPr="00255D77">
        <w:rPr>
          <w:rFonts w:ascii="Calibri" w:eastAsia="Calibri" w:hAnsi="Calibri" w:cs="Calibri"/>
          <w:color w:val="auto"/>
          <w:sz w:val="24"/>
          <w:szCs w:val="24"/>
        </w:rPr>
        <w:t xml:space="preserve">rčitá kapacita nových absolventů lékařských fakult je absorbována mimo zdravotnictví (posudkové lékařství, hygiena, výzkum, další studium), </w:t>
      </w:r>
    </w:p>
    <w:p w:rsidR="00FC5DCD" w:rsidRPr="00255D77" w:rsidP="00FC5DCD" w14:paraId="7E3B366A" w14:textId="68258AC2">
      <w:pPr>
        <w:pStyle w:val="ListParagraph"/>
        <w:spacing w:before="0" w:after="0"/>
        <w:rPr>
          <w:rFonts w:ascii="Calibri" w:eastAsia="Calibri" w:hAnsi="Calibri" w:cs="Calibri"/>
          <w:color w:val="auto"/>
        </w:rPr>
      </w:pPr>
      <w:r>
        <w:rPr>
          <w:rFonts w:ascii="Calibri" w:eastAsia="Calibri" w:hAnsi="Calibri" w:cs="Calibri"/>
          <w:color w:val="auto"/>
          <w:sz w:val="24"/>
          <w:szCs w:val="24"/>
        </w:rPr>
        <w:t>Č</w:t>
      </w:r>
      <w:r w:rsidRPr="00255D77">
        <w:rPr>
          <w:rFonts w:ascii="Calibri" w:eastAsia="Calibri" w:hAnsi="Calibri" w:cs="Calibri"/>
          <w:color w:val="auto"/>
          <w:sz w:val="24"/>
          <w:szCs w:val="24"/>
        </w:rPr>
        <w:t xml:space="preserve">ást absolventů-lékařů nenastupuje do zdravotnictví anebo odchází do zahraničí, </w:t>
      </w:r>
    </w:p>
    <w:p w:rsidR="00FC5DCD" w:rsidRPr="00255D77" w:rsidP="00FC5DCD" w14:paraId="40A38D26" w14:textId="268B9605">
      <w:pPr>
        <w:pStyle w:val="ListParagraph"/>
        <w:spacing w:before="0" w:after="0"/>
        <w:rPr>
          <w:rFonts w:ascii="Calibri" w:eastAsia="Calibri" w:hAnsi="Calibri" w:cs="Calibri"/>
          <w:color w:val="auto"/>
        </w:rPr>
      </w:pPr>
      <w:r>
        <w:rPr>
          <w:rFonts w:ascii="Calibri" w:eastAsia="Calibri" w:hAnsi="Calibri" w:cs="Calibri"/>
          <w:color w:val="auto"/>
          <w:sz w:val="24"/>
          <w:szCs w:val="24"/>
        </w:rPr>
        <w:t>K</w:t>
      </w:r>
      <w:r w:rsidRPr="00255D77">
        <w:rPr>
          <w:rFonts w:ascii="Calibri" w:eastAsia="Calibri" w:hAnsi="Calibri" w:cs="Calibri"/>
          <w:color w:val="auto"/>
          <w:sz w:val="24"/>
          <w:szCs w:val="24"/>
        </w:rPr>
        <w:t>aždoročně přibližně 400‒500 úvazků lékařů ze systému odchází z důvodů dosažení vysokého/důchodového věku.</w:t>
      </w:r>
    </w:p>
    <w:p w:rsidR="00FC5DCD" w:rsidRPr="00255D77" w:rsidP="00FC5DCD" w14:paraId="5D6AC265" w14:textId="77777777">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 xml:space="preserve">Počty lékařů v ambulantní péči zaznamenaly v období 2010–2023 mírný nárůst, navíc dochází ke zvětšování podílu kategorie L3 (k 31. 12. 2023 se jednalo o 31 381 pracovníků kategorie L3, což je 89 % ze všech lékařů v ambulantní péči). Problémem ambulantní péče v ČR není absolutní počet, ale struktura odborností a geograficky asymetrické rozmístění v ní působících lékařů. Detailní analýzy identifikují zejména významný nepoměr mezi ambulantními specialisty a praktickými lékaři, dále nerovnoměrnou regionální distribuci dostupných kapacit a u praktických lékařů problém s jejich demografickým stárnutím, které není vyvažováno odpovídajícími vstupy nových kapacit. </w:t>
      </w:r>
    </w:p>
    <w:p w:rsidR="00FC5DCD" w:rsidRPr="00255D77" w:rsidP="00FC5DCD" w14:paraId="63B0837E" w14:textId="77777777">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 xml:space="preserve">Počty zubních lékařů v ambulantní péči v období 2010–2023 stagnovaly, až mírně klesaly, ale nadto došlo ke zvětšování kategorie LZ1 (k 31. 12. 2023 se jednalo o 7 260 pracovníků kategorie LZ1, což je 89 % ze všech zubních lékařů v ambulantní péči). Tento trend je pozitivní a velmi žádoucí, neboť vede k omlazení této skupiny specialistů. </w:t>
      </w:r>
    </w:p>
    <w:p w:rsidR="00FC5DCD" w:rsidRPr="00255D77" w:rsidP="00FC5DCD" w14:paraId="05B15AB5" w14:textId="3C7B32D9">
      <w:pPr>
        <w:pStyle w:val="ListParagraph"/>
        <w:spacing w:before="0" w:after="0"/>
        <w:rPr>
          <w:rFonts w:ascii="Calibri" w:eastAsia="Calibri" w:hAnsi="Calibri" w:cs="Calibri"/>
          <w:color w:val="auto"/>
        </w:rPr>
      </w:pPr>
      <w:r w:rsidRPr="00255D77">
        <w:rPr>
          <w:rFonts w:ascii="Calibri" w:eastAsia="Calibri" w:hAnsi="Calibri" w:cs="Calibri"/>
          <w:color w:val="auto"/>
          <w:sz w:val="24"/>
          <w:szCs w:val="24"/>
        </w:rPr>
        <w:t>V ČR působí celkově přibližně 7,2 úvazku všeobecných sester na tisíc obyvatel, což je hodnota celkově mírně podprůměrná ve srovnání se zeměmi OECD. Z okolních zemí vyspělé Evropy jde o počet srovnatelný s Rakouskem, avšak významně nižší než v</w:t>
      </w:r>
      <w:r>
        <w:rPr>
          <w:rFonts w:ascii="Calibri" w:eastAsia="Calibri" w:hAnsi="Calibri" w:cs="Calibri"/>
          <w:color w:val="auto"/>
          <w:sz w:val="24"/>
          <w:szCs w:val="24"/>
        </w:rPr>
        <w:t> </w:t>
      </w:r>
      <w:r w:rsidRPr="00255D77">
        <w:rPr>
          <w:rFonts w:ascii="Calibri" w:eastAsia="Calibri" w:hAnsi="Calibri" w:cs="Calibri"/>
          <w:color w:val="auto"/>
          <w:sz w:val="24"/>
          <w:szCs w:val="24"/>
        </w:rPr>
        <w:t>Německu. Na rozdíl od lékařů je v ČR celkový počet všeobecných sester v</w:t>
      </w:r>
      <w:r>
        <w:rPr>
          <w:rFonts w:ascii="Calibri" w:eastAsia="Calibri" w:hAnsi="Calibri" w:cs="Calibri"/>
          <w:color w:val="auto"/>
          <w:sz w:val="24"/>
          <w:szCs w:val="24"/>
        </w:rPr>
        <w:t> </w:t>
      </w:r>
      <w:r w:rsidRPr="00255D77">
        <w:rPr>
          <w:rFonts w:ascii="Calibri" w:eastAsia="Calibri" w:hAnsi="Calibri" w:cs="Calibri"/>
          <w:color w:val="auto"/>
          <w:sz w:val="24"/>
          <w:szCs w:val="24"/>
        </w:rPr>
        <w:t>nemocnicích (3,9 na 1000 obyvatel) pod průměrem zemí OECD (9 na 1000 obyvatel). Poměr všeobecných sester k lékařům je rovněž nižší než průměr OECD. ČR má v rámci OECD jeden z nejnižších počtů absolventů ošetřovatelství – 13,6 na 100 000 obyvatel.</w:t>
      </w:r>
    </w:p>
    <w:p w:rsidR="00FC5DCD" w:rsidRPr="00255D77" w:rsidP="00FC5DCD" w14:paraId="7FF194BC" w14:textId="77777777">
      <w:pPr>
        <w:rPr>
          <w:rFonts w:ascii="Calibri" w:eastAsia="Calibri" w:hAnsi="Calibri" w:cs="Calibri"/>
          <w:color w:val="auto"/>
          <w:sz w:val="24"/>
        </w:rPr>
      </w:pPr>
      <w:r w:rsidRPr="00255D77">
        <w:rPr>
          <w:rFonts w:ascii="Calibri" w:eastAsia="Calibri" w:hAnsi="Calibri" w:cs="Calibri"/>
          <w:color w:val="auto"/>
          <w:sz w:val="24"/>
        </w:rPr>
        <w:t xml:space="preserve">Zásadním problémem v dostupnosti kapacit však není absolutní počet dostupných úvazků všeobecných sester, ale jejich nerovnoměrná distribuce v regionech a v různých segmentech péče a kontinuálně klesající kapacita úvazků všeobecných sester v akutní lůžkové péči. </w:t>
      </w:r>
    </w:p>
    <w:p w:rsidR="00FC5DCD" w:rsidRPr="00255D77" w:rsidP="00FC5DCD" w14:paraId="71E3FF55" w14:textId="0BBB15B5">
      <w:pPr>
        <w:rPr>
          <w:rFonts w:ascii="Calibri" w:eastAsia="Calibri" w:hAnsi="Calibri" w:cs="Calibri"/>
          <w:color w:val="auto"/>
          <w:sz w:val="24"/>
        </w:rPr>
      </w:pPr>
      <w:r w:rsidRPr="00255D77">
        <w:rPr>
          <w:rFonts w:ascii="Calibri" w:eastAsia="Calibri" w:hAnsi="Calibri" w:cs="Calibri"/>
          <w:color w:val="auto"/>
          <w:sz w:val="24"/>
        </w:rPr>
        <w:t>Na regionální distribuci úvazků všeobecných sester a porodních asistentek je stále jasně patrný vliv velkých měst, nikoli však poskytovatelů akutní lůžkové péče v těchto městech. Naopak v</w:t>
      </w:r>
      <w:r>
        <w:rPr>
          <w:rFonts w:ascii="Calibri" w:eastAsia="Calibri" w:hAnsi="Calibri" w:cs="Calibri"/>
          <w:color w:val="auto"/>
          <w:sz w:val="24"/>
        </w:rPr>
        <w:t> </w:t>
      </w:r>
      <w:r w:rsidRPr="00255D77">
        <w:rPr>
          <w:rFonts w:ascii="Calibri" w:eastAsia="Calibri" w:hAnsi="Calibri" w:cs="Calibri"/>
          <w:color w:val="auto"/>
          <w:sz w:val="24"/>
        </w:rPr>
        <w:t xml:space="preserve">krajích Středočeském a Libereckém pracuje méně než 5,7 úvazku všeobecných sester na tisíc obyvatel a tyto hodnoty lze interpretovat jako silně podprůměrné i z mezinárodního hlediska. V regionálních přehledech je rovněž patrný významný nepoměr mezi kapacitou všeobecných sester dostupnou pro akutní lůžkovou péči a pro péči dlouhodobou a následnou. </w:t>
      </w:r>
      <w:bookmarkStart w:id="509" w:name="_Hlk204450811"/>
      <w:r w:rsidRPr="00255D77">
        <w:rPr>
          <w:rFonts w:ascii="Calibri" w:eastAsia="Calibri" w:hAnsi="Calibri" w:cs="Calibri"/>
          <w:color w:val="auto"/>
          <w:sz w:val="24"/>
        </w:rPr>
        <w:t xml:space="preserve">Řádově nižší počet úvazků všeobecných sester v neakutní lůžkové péči </w:t>
      </w:r>
      <w:r w:rsidRPr="00255D77" w:rsidR="004F646E">
        <w:rPr>
          <w:rFonts w:ascii="Calibri" w:eastAsia="Calibri" w:hAnsi="Calibri" w:cs="Calibri"/>
          <w:color w:val="auto"/>
          <w:sz w:val="24"/>
        </w:rPr>
        <w:t>reflektuj</w:t>
      </w:r>
      <w:r w:rsidR="004F646E">
        <w:rPr>
          <w:rFonts w:ascii="Calibri" w:eastAsia="Calibri" w:hAnsi="Calibri" w:cs="Calibri"/>
          <w:color w:val="auto"/>
          <w:sz w:val="24"/>
        </w:rPr>
        <w:t>e</w:t>
      </w:r>
      <w:r w:rsidRPr="00255D77" w:rsidR="004F646E">
        <w:rPr>
          <w:rFonts w:ascii="Calibri" w:eastAsia="Calibri" w:hAnsi="Calibri" w:cs="Calibri"/>
          <w:color w:val="auto"/>
          <w:sz w:val="24"/>
        </w:rPr>
        <w:t xml:space="preserve"> </w:t>
      </w:r>
      <w:r w:rsidRPr="00255D77">
        <w:rPr>
          <w:rFonts w:ascii="Calibri" w:eastAsia="Calibri" w:hAnsi="Calibri" w:cs="Calibri"/>
          <w:color w:val="auto"/>
          <w:sz w:val="24"/>
        </w:rPr>
        <w:t xml:space="preserve">nevyváženě nízký počet lůžek v tomto segmentu péče. </w:t>
      </w:r>
      <w:bookmarkEnd w:id="509"/>
      <w:r w:rsidRPr="00255D77">
        <w:rPr>
          <w:rFonts w:ascii="Calibri" w:eastAsia="Calibri" w:hAnsi="Calibri" w:cs="Calibri"/>
          <w:color w:val="auto"/>
          <w:sz w:val="24"/>
        </w:rPr>
        <w:t xml:space="preserve">Tato situace nevyhnutelně vede ke zvýšené zátěži akutní lůžkové péče, včetně jejího využívání pro řešení zdravotních problémů umírajících. </w:t>
      </w:r>
    </w:p>
    <w:p w:rsidR="00FC5DCD" w:rsidRPr="00255D77" w:rsidP="00FC5DCD" w14:paraId="52C756A4" w14:textId="77777777">
      <w:pPr>
        <w:rPr>
          <w:rFonts w:ascii="Calibri" w:eastAsia="Calibri" w:hAnsi="Calibri" w:cs="Calibri"/>
          <w:color w:val="auto"/>
          <w:sz w:val="24"/>
        </w:rPr>
      </w:pPr>
      <w:r w:rsidRPr="03B59B71">
        <w:rPr>
          <w:rFonts w:ascii="Calibri" w:eastAsia="Calibri" w:hAnsi="Calibri" w:cs="Calibri"/>
          <w:color w:val="auto"/>
          <w:sz w:val="24"/>
        </w:rPr>
        <w:t>Hlavním problémem kapacity všeobecných sester v českém zdravotnictví je dostupnost kapacit v nemocniční péči, zejména ve směnném provozu akutní lůžkové péče. Mezinárodní šetření zaměřené na počty všeobecných sester v nemocniční péči (EUROSTAT 2022) odhalilo, že celkový počet všeobecných sester v tomto segmentu péče je v ČR mírně nižší než v řadě zemí se srovnatelným zdravotnictvím (např. Německo či Rakousko). Nadto kapacity všeobecných sester zejména v akutní lůžkové péči stagnují. Tento fakt již v současnosti limituje dosažitelnou obložnost akutních lůžek a vede k dočasnému uzavírání celých lůžkových stanic. Problémem je též dostupnost všeobecných sester v segmentu pobytových sociálních služeb, ve kterých je poskytována zdravotní péče.</w:t>
      </w:r>
    </w:p>
    <w:p w:rsidR="00F63E76" w:rsidP="00FC5DCD" w14:paraId="0546EDE4" w14:textId="77777777">
      <w:pPr>
        <w:rPr>
          <w:rFonts w:cs="Times New Roman"/>
          <w:color w:val="auto"/>
          <w:sz w:val="24"/>
        </w:rPr>
      </w:pPr>
      <w:r w:rsidRPr="00DE33D8">
        <w:rPr>
          <w:rFonts w:cs="Times New Roman"/>
          <w:color w:val="auto"/>
          <w:sz w:val="24"/>
        </w:rPr>
        <w:t>Práce všeobecných sester ve směnném provozu je náročná a je uváděna jako jeden z důvodů odchodu všeobecných sester z tohoto segmentu péče. Podle Národního registru zdravotnických pracovníků celkově v ČR pracuje ve směnném provozu cca 39 800 všeobecných sester jako fyzických osob; tyto osoby pokrývají cca 35 000 plných přepočtených úvazků (podle výsledků resortních statistických šetření). Vztaženo na celkový počet všeobecných sester, dětských sester a porodních asistentek v ČR, pak ve směnném provozu jakékoli lůžkové péče pracuje 48 % z celkového počtu fyzických osob a 42 % z celkového objemu úvazků všeobecných sester v ČR. V akutní lůžkové péči pracuje ve směnném provozu 64 % všeobecných sester, což činí cca 35 600 fyzických osob pokrývajících cca plných přepočtených 30 800 úvazků a v ostatní lůžkové péči pracuje ve směnném provozu 71 % všeobecných sester, což činí cca 4190 fyzických osob pokrývajících cca plných přepočtených 4180 úvazků.</w:t>
      </w:r>
    </w:p>
    <w:p w:rsidR="00F63E76" w:rsidRPr="00DE33D8" w:rsidP="00F63E76" w14:paraId="0D20F4FC" w14:textId="233C7D13">
      <w:pPr>
        <w:rPr>
          <w:rFonts w:cs="Times New Roman"/>
          <w:sz w:val="24"/>
        </w:rPr>
      </w:pPr>
      <w:r w:rsidRPr="03B59B71">
        <w:rPr>
          <w:rFonts w:cs="Times New Roman"/>
          <w:sz w:val="24"/>
        </w:rPr>
        <w:t>Od roku 2018 mapuje resort úbytek úvazkové kapacity všeobecných sester a porodních asistentek v segmentu akutní lůžkové péče o více než 2000 úvazků. Z těchto důvodů se hlavní aktivity specifických cílů 2.</w:t>
      </w:r>
      <w:r w:rsidRPr="03B59B71" w:rsidR="009B7E0E">
        <w:rPr>
          <w:rFonts w:cs="Times New Roman"/>
          <w:sz w:val="24"/>
        </w:rPr>
        <w:t>2–2</w:t>
      </w:r>
      <w:r w:rsidRPr="03B59B71">
        <w:rPr>
          <w:rFonts w:cs="Times New Roman"/>
          <w:sz w:val="24"/>
        </w:rPr>
        <w:t>.4 Strategického rámce Zdraví 2035 zaměřují na široké spektrum opatření s cílem usnadnit práci zdravotnických pracovníků, zvýšit společenskou hodnotu jejich práce a tím i zájem mladých lidí o ni. Potenciálně velmi účinná mohou v tomto ohledu být zejména tato opatření:</w:t>
      </w:r>
    </w:p>
    <w:p w:rsidR="00F63E76" w:rsidRPr="00DE33D8" w:rsidP="00F63E76" w14:paraId="44632104" w14:textId="77777777">
      <w:pPr>
        <w:pStyle w:val="ListParagraph"/>
        <w:numPr>
          <w:ilvl w:val="0"/>
          <w:numId w:val="29"/>
        </w:numPr>
        <w:rPr>
          <w:rFonts w:cs="Times New Roman"/>
          <w:sz w:val="24"/>
          <w:szCs w:val="24"/>
        </w:rPr>
      </w:pPr>
      <w:r w:rsidRPr="00DE33D8">
        <w:rPr>
          <w:rFonts w:cs="Times New Roman"/>
          <w:sz w:val="24"/>
          <w:szCs w:val="24"/>
        </w:rPr>
        <w:t xml:space="preserve">Organizační opatření, zejména efektivnější a úhradami podpořené změny v organizaci péče (specifický cíl 2.2, 2.4) a s tím související posílení postavení </w:t>
      </w:r>
      <w:r w:rsidRPr="00DE33D8">
        <w:rPr>
          <w:rFonts w:cs="Times New Roman"/>
          <w:color w:val="222222"/>
          <w:sz w:val="24"/>
          <w:szCs w:val="24"/>
        </w:rPr>
        <w:t>všeobecných a dětských sester v systému zdravotní péče.</w:t>
      </w:r>
    </w:p>
    <w:p w:rsidR="00F63E76" w:rsidRPr="00DE33D8" w:rsidP="00F63E76" w14:paraId="29F67C82" w14:textId="77777777">
      <w:pPr>
        <w:pStyle w:val="ListParagraph"/>
        <w:numPr>
          <w:ilvl w:val="0"/>
          <w:numId w:val="29"/>
        </w:numPr>
        <w:rPr>
          <w:rFonts w:cs="Times New Roman"/>
          <w:sz w:val="24"/>
          <w:szCs w:val="24"/>
        </w:rPr>
      </w:pPr>
      <w:r w:rsidRPr="00DE33D8">
        <w:rPr>
          <w:rFonts w:cs="Times New Roman"/>
          <w:sz w:val="24"/>
          <w:szCs w:val="24"/>
        </w:rPr>
        <w:t>Obecně zlepšení organizace a průchodnosti (nejen) postgraduálního vzdělávání zdravotnických pracovníků, zvýšení atraktivity vzdělávání a atraktivity práce ve zdravotnictví (Specifický cíl 2.2).</w:t>
      </w:r>
    </w:p>
    <w:p w:rsidR="00F63E76" w:rsidRPr="00DE33D8" w:rsidP="00F63E76" w14:paraId="701349D6" w14:textId="77777777">
      <w:pPr>
        <w:pStyle w:val="ListParagraph"/>
        <w:numPr>
          <w:ilvl w:val="0"/>
          <w:numId w:val="29"/>
        </w:numPr>
        <w:rPr>
          <w:rFonts w:cs="Times New Roman"/>
          <w:sz w:val="24"/>
          <w:szCs w:val="24"/>
        </w:rPr>
      </w:pPr>
      <w:r w:rsidRPr="00DE33D8">
        <w:rPr>
          <w:rFonts w:cs="Times New Roman"/>
          <w:sz w:val="24"/>
          <w:szCs w:val="24"/>
        </w:rPr>
        <w:t>Snižování administrativní zátěže, zlepšení a usnadnění komunikace při výkonu práce prostřednictvím digitalizace agend a elektronizace organizace práce (specifický cíl 2.3).</w:t>
      </w:r>
    </w:p>
    <w:p w:rsidR="00F63E76" w:rsidRPr="00DE33D8" w:rsidP="00F63E76" w14:paraId="2F0482F1" w14:textId="77777777">
      <w:pPr>
        <w:pStyle w:val="ListParagraph"/>
        <w:numPr>
          <w:ilvl w:val="0"/>
          <w:numId w:val="29"/>
        </w:numPr>
        <w:rPr>
          <w:rFonts w:cs="Times New Roman"/>
          <w:sz w:val="24"/>
          <w:szCs w:val="24"/>
        </w:rPr>
      </w:pPr>
      <w:r w:rsidRPr="00DE33D8">
        <w:rPr>
          <w:rFonts w:cs="Times New Roman"/>
          <w:sz w:val="24"/>
          <w:szCs w:val="24"/>
        </w:rPr>
        <w:t>Podpora slaďování rodinného a pracovního života (specifický cíl 2.2).</w:t>
      </w:r>
    </w:p>
    <w:p w:rsidR="00FC5DCD" w:rsidRPr="00F63E76" w:rsidP="00F63E76" w14:paraId="7743AC81" w14:textId="53877F6C">
      <w:pPr>
        <w:rPr>
          <w:rFonts w:cs="Times New Roman"/>
          <w:color w:val="auto"/>
          <w:sz w:val="24"/>
        </w:rPr>
      </w:pPr>
      <w:r w:rsidRPr="00DE33D8">
        <w:rPr>
          <w:rFonts w:cs="Times New Roman"/>
          <w:color w:val="auto"/>
          <w:sz w:val="24"/>
        </w:rPr>
        <w:t xml:space="preserve">  </w:t>
      </w:r>
    </w:p>
    <w:p w:rsidR="00FC5DCD" w:rsidP="0070747B" w14:paraId="45B1219D" w14:textId="6EA14AD4">
      <w:pPr>
        <w:pStyle w:val="Podkapitola111opaten"/>
        <w:numPr>
          <w:ilvl w:val="2"/>
          <w:numId w:val="44"/>
        </w:numPr>
        <w:ind w:left="1134" w:hanging="360"/>
        <w:jc w:val="both"/>
      </w:pPr>
      <w:bookmarkStart w:id="510" w:name="_Toc256000042"/>
      <w:r w:rsidRPr="00A955AF">
        <w:t>S</w:t>
      </w:r>
      <w:r w:rsidRPr="00A30085">
        <w:t xml:space="preserve">pecifický cíl 2.3 ‒ </w:t>
      </w:r>
      <w:r w:rsidRPr="00A955AF">
        <w:t>Digitalizace zdravotnictví</w:t>
      </w:r>
      <w:bookmarkEnd w:id="510"/>
    </w:p>
    <w:p w:rsidR="00F63E76" w:rsidRPr="00F63E76" w:rsidP="00F63E76" w14:paraId="2D369FC6" w14:textId="77777777">
      <w:pPr>
        <w:rPr>
          <w:rFonts w:cs="Times New Roman"/>
          <w:sz w:val="24"/>
        </w:rPr>
      </w:pPr>
      <w:r w:rsidRPr="00F63E76">
        <w:rPr>
          <w:rFonts w:cs="Times New Roman"/>
          <w:sz w:val="24"/>
        </w:rPr>
        <w:t xml:space="preserve">Vybudování systému elektronického zdravotnictví představuje důležitý potenciál pro zlepšení správy zdravotnictví prostřednictvím lepšího shromažďování informací a jejich využití pro efektivnější řízení služeb. Ucelená koncepce elektronického zdravotnictví byla připravena v rámci Národní strategie elektronického zdravotnictví 2025-2035 a zároveň také promítnuta do novely zákona o elektronizaci zdravotnictví s předpokládanou účinnosti od 1. 1. 2026. </w:t>
      </w:r>
    </w:p>
    <w:p w:rsidR="00F63E76" w:rsidRPr="00A955AF" w:rsidP="00F63E76" w14:paraId="239C2C00"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Od počátku roku 2018 byl rovněž zaveden povinný elektronický recept (s ročním odkladem sankcí za nedodržování). Po uplynutí </w:t>
      </w:r>
      <w:r>
        <w:rPr>
          <w:rFonts w:asciiTheme="minorHAnsi" w:hAnsiTheme="minorHAnsi"/>
          <w:sz w:val="24"/>
          <w:lang w:val="cs-CZ"/>
        </w:rPr>
        <w:t>šesti</w:t>
      </w:r>
      <w:r w:rsidRPr="00A955AF">
        <w:rPr>
          <w:rFonts w:asciiTheme="minorHAnsi" w:hAnsiTheme="minorHAnsi"/>
          <w:sz w:val="24"/>
          <w:lang w:val="cs-CZ"/>
        </w:rPr>
        <w:t xml:space="preserve"> měsíců byla elektronická preskripce používána z cca 80 % maximální kapacity. Avšak dosud nebyly klíčové komponenty elektronického zdravotnictví implementovány tak, aby mohly být využity pro řízení zdravotnictví. Nové technologie k zefektivnění komunikace mezi lékaři a zdravotními pojišťovnami nejsou dostatečně využívány v rozsahu, který by odpovídal počítačové vybavenosti ordinací, včetně ambulantního sektoru. </w:t>
      </w:r>
      <w:r w:rsidRPr="00A955AF">
        <w:rPr>
          <w:rFonts w:asciiTheme="minorHAnsi" w:hAnsiTheme="minorHAnsi"/>
          <w:bCs/>
          <w:sz w:val="24"/>
          <w:lang w:val="cs-CZ"/>
        </w:rPr>
        <w:t xml:space="preserve">Provedená šetření ukazují, že ordinace lékařů v nelůžkové péči jsou většinově vybavena jak počítači, tak připojením k internetu. Vycházíme-li ze záznamů řádně odevzdaných hlášení, pak pouze cca 5 % ordinací vykazuje v dané oblasti problém. Pokud ordinace pracují s PC, mají v téměř 98 % zároveň zajištěnou konektivitu k internetu. V uvedených šetřeních nebyly zjištěny zásadní regionální rozdíly. </w:t>
      </w:r>
      <w:r w:rsidRPr="00A955AF">
        <w:rPr>
          <w:rFonts w:asciiTheme="minorHAnsi" w:hAnsiTheme="minorHAnsi"/>
          <w:sz w:val="24"/>
          <w:lang w:val="cs-CZ"/>
        </w:rPr>
        <w:t>Současné nastavení systému by mělo usnadnit elektronizaci, protože systém je již silně centralizovaný a samo</w:t>
      </w:r>
      <w:r>
        <w:rPr>
          <w:rFonts w:asciiTheme="minorHAnsi" w:hAnsiTheme="minorHAnsi"/>
          <w:sz w:val="24"/>
          <w:lang w:val="cs-CZ"/>
        </w:rPr>
        <w:t>tné</w:t>
      </w:r>
      <w:r w:rsidRPr="00A955AF">
        <w:rPr>
          <w:rFonts w:asciiTheme="minorHAnsi" w:hAnsiTheme="minorHAnsi"/>
          <w:sz w:val="24"/>
          <w:lang w:val="cs-CZ"/>
        </w:rPr>
        <w:t xml:space="preserve"> odměňování poskytovatelů zdravotních služeb již závisí na předávání informací elektronickou cestou.</w:t>
      </w:r>
    </w:p>
    <w:p w:rsidR="00F63E76" w:rsidP="00A458DB" w14:paraId="45DC991D" w14:textId="7A879593">
      <w:pPr>
        <w:pStyle w:val="Bntext"/>
        <w:spacing w:line="240" w:lineRule="auto"/>
        <w:ind w:firstLine="0"/>
        <w:rPr>
          <w:rFonts w:asciiTheme="minorHAnsi" w:hAnsiTheme="minorHAnsi"/>
          <w:sz w:val="24"/>
          <w:lang w:val="cs-CZ"/>
        </w:rPr>
      </w:pPr>
      <w:r w:rsidRPr="00A955AF">
        <w:rPr>
          <w:rFonts w:asciiTheme="minorHAnsi" w:hAnsiTheme="minorHAnsi"/>
          <w:sz w:val="24"/>
          <w:lang w:val="cs-CZ"/>
        </w:rPr>
        <w:t xml:space="preserve">Stejně jako v mnoha jiných zemích čelí sdílení osobních zdravotních údajů prostřednictvím elektronických zdravotních záznamů určitému odporu vzhledem k ochraně osobních údajů. Vývoj </w:t>
      </w:r>
      <w:r w:rsidRPr="00255D77">
        <w:rPr>
          <w:rFonts w:asciiTheme="minorHAnsi" w:hAnsiTheme="minorHAnsi"/>
          <w:sz w:val="24"/>
          <w:lang w:val="cs-CZ"/>
        </w:rPr>
        <w:t>moderních systémů elektronického zdravotnictví se již systematicky zaměřuje i na otázky zabezpečení. Na tuto problematiku bude zaměřena i řada aktivit specifického cíle 2.3 Strategického</w:t>
      </w:r>
      <w:r w:rsidRPr="00A955AF">
        <w:rPr>
          <w:rFonts w:asciiTheme="minorHAnsi" w:hAnsiTheme="minorHAnsi"/>
          <w:sz w:val="24"/>
          <w:lang w:val="cs-CZ"/>
        </w:rPr>
        <w:t xml:space="preserve"> rámce Zdraví </w:t>
      </w:r>
      <w:r>
        <w:rPr>
          <w:rFonts w:asciiTheme="minorHAnsi" w:hAnsiTheme="minorHAnsi"/>
          <w:sz w:val="24"/>
          <w:lang w:val="cs-CZ"/>
        </w:rPr>
        <w:t>2035</w:t>
      </w:r>
      <w:r w:rsidRPr="00A955AF">
        <w:rPr>
          <w:rFonts w:asciiTheme="minorHAnsi" w:hAnsiTheme="minorHAnsi"/>
          <w:sz w:val="24"/>
          <w:lang w:val="cs-CZ"/>
        </w:rPr>
        <w:t>. Je nutná osvěta ohledně významu sdílení dat a též řešení jejich zabezpečení. Cíleně zaměřená politika by měla zajistit vhodné vybavení poskytovatelů zdravotních služeb včetně případných dotací, motivaci k zavádění a využívání systémů, vyškolení uživatelů a zavedení soudních pravidel, která by dala lidem jistotu ohledně využívání informací.</w:t>
      </w:r>
    </w:p>
    <w:p w:rsidR="00A458DB" w:rsidRPr="00A458DB" w:rsidP="00A458DB" w14:paraId="44D2AF3C" w14:textId="77777777">
      <w:pPr>
        <w:pStyle w:val="Bntext"/>
        <w:spacing w:line="240" w:lineRule="auto"/>
        <w:ind w:firstLine="0"/>
        <w:rPr>
          <w:rFonts w:asciiTheme="minorHAnsi" w:hAnsiTheme="minorHAnsi"/>
          <w:sz w:val="24"/>
          <w:lang w:val="cs-CZ"/>
        </w:rPr>
      </w:pPr>
    </w:p>
    <w:p w:rsidR="006C359E" w:rsidRPr="00A955AF" w:rsidP="0070747B" w14:paraId="68A3790D" w14:textId="66F0F9EF">
      <w:pPr>
        <w:pStyle w:val="Podkapitola111opaten"/>
        <w:numPr>
          <w:ilvl w:val="2"/>
          <w:numId w:val="44"/>
        </w:numPr>
        <w:ind w:left="1134" w:hanging="360"/>
        <w:jc w:val="both"/>
      </w:pPr>
      <w:bookmarkStart w:id="511" w:name="_Toc256000043"/>
      <w:r w:rsidRPr="00A955AF">
        <w:t>Specifický cíl 2.4</w:t>
      </w:r>
      <w:r>
        <w:t xml:space="preserve"> </w:t>
      </w:r>
      <w:r w:rsidRPr="00A30085">
        <w:t>‒</w:t>
      </w:r>
      <w:r w:rsidRPr="00A955AF">
        <w:t xml:space="preserve"> Optimalizace systému úhrad ve zdravotnictví</w:t>
      </w:r>
      <w:bookmarkEnd w:id="511"/>
    </w:p>
    <w:p w:rsidR="006C359E" w:rsidRPr="00DE33D8" w:rsidP="006C359E" w14:paraId="08955D28" w14:textId="183676EB">
      <w:pPr>
        <w:pStyle w:val="Bntext"/>
        <w:spacing w:line="240" w:lineRule="auto"/>
        <w:ind w:firstLine="0"/>
        <w:rPr>
          <w:rFonts w:asciiTheme="minorHAnsi" w:hAnsiTheme="minorHAnsi"/>
          <w:sz w:val="24"/>
          <w:lang w:val="cs-CZ"/>
        </w:rPr>
      </w:pPr>
      <w:r w:rsidRPr="00DE33D8">
        <w:rPr>
          <w:rFonts w:asciiTheme="minorHAnsi" w:hAnsiTheme="minorHAnsi"/>
          <w:sz w:val="24"/>
          <w:lang w:val="cs-CZ"/>
        </w:rPr>
        <w:t xml:space="preserve">Velmi podstatným nástrojem pro stabilizaci personálních kapacit systému zdravotních služeb je samozřejmě odměňování a progresivní růst platů a mezd se správně nastavenými motivačními složkami. Zajištění odpovídajících personálních nákladů musí vycházet z optimálních úhradových mechanismů a je samozřejmě závislé na celkové úrovni úhrad zdravotní péče v ČR. Z těchto důvodů jsou hlavní aktivity specifického cíle 2.4 zaměřeny právě na optimalizaci a racionalizaci systému úhrad všech segmentů péče, včetně návrhu formy hrazení nově vznikajících, velmi potřebných, segmentů integrované péče. Velmi významným dílčím cílem zde je optimalizace a další vývoj nově vzniklého systému úhrad akutní lůžkové péče (systém CZ-DRG). </w:t>
      </w:r>
      <w:r w:rsidRPr="00DE33D8">
        <w:rPr>
          <w:rFonts w:asciiTheme="minorHAnsi" w:hAnsiTheme="minorHAnsi"/>
          <w:color w:val="222222"/>
          <w:sz w:val="24"/>
          <w:lang w:val="cs-CZ"/>
        </w:rPr>
        <w:t>Stárnutí obyvatel ČR a s ním spojený očekávatelný nárůst nemocnosti i nárůst počtu seniorů vyžadujících dlouhodobou péči si nově žádají vybudování podobného systému jako DRG pro segment následné a dlouhodobé péče. Implementace exaktně řízeného sytému úhrad pro tuto péči, včetně různých modelů komunitní péče a péče paliativní, napomůže potřebnému posílení kapacit a zvýší dostupnost pro všechny potřebné občany ČR,</w:t>
      </w:r>
      <w:r w:rsidRPr="00DE33D8">
        <w:rPr>
          <w:color w:val="222222"/>
          <w:sz w:val="24"/>
          <w:lang w:val="cs-CZ"/>
        </w:rPr>
        <w:t xml:space="preserve"> napomůže </w:t>
      </w:r>
      <w:r w:rsidRPr="00DE33D8">
        <w:rPr>
          <w:rFonts w:asciiTheme="minorHAnsi" w:eastAsiaTheme="minorEastAsia" w:hAnsiTheme="minorHAnsi" w:cstheme="minorBidi"/>
          <w:color w:val="222222"/>
          <w:sz w:val="24"/>
          <w:lang w:val="cs-CZ" w:eastAsia="en-US"/>
        </w:rPr>
        <w:t>standardizaci zdravotní péče a dopomůže k využívání moderních metod při diagnostice i léčbě</w:t>
      </w:r>
      <w:r w:rsidRPr="00DE33D8">
        <w:rPr>
          <w:rFonts w:asciiTheme="minorHAnsi" w:hAnsiTheme="minorHAnsi"/>
          <w:color w:val="222222"/>
          <w:sz w:val="24"/>
          <w:lang w:val="cs-CZ"/>
        </w:rPr>
        <w:t xml:space="preserve">. </w:t>
      </w:r>
      <w:r w:rsidRPr="00DE33D8">
        <w:rPr>
          <w:rFonts w:asciiTheme="minorHAnsi" w:hAnsiTheme="minorHAnsi"/>
          <w:sz w:val="24"/>
          <w:lang w:val="cs-CZ"/>
        </w:rPr>
        <w:t xml:space="preserve">V návaznosti na reformu primární péče (Specifický cíl </w:t>
      </w:r>
      <w:r w:rsidR="00F63E76">
        <w:rPr>
          <w:rFonts w:asciiTheme="minorHAnsi" w:hAnsiTheme="minorHAnsi"/>
          <w:sz w:val="24"/>
          <w:lang w:val="cs-CZ"/>
        </w:rPr>
        <w:t>2</w:t>
      </w:r>
      <w:r w:rsidRPr="00DE33D8">
        <w:rPr>
          <w:rFonts w:asciiTheme="minorHAnsi" w:hAnsiTheme="minorHAnsi"/>
          <w:sz w:val="24"/>
          <w:lang w:val="cs-CZ"/>
        </w:rPr>
        <w:t xml:space="preserve">.1) bude nutné </w:t>
      </w:r>
      <w:r w:rsidRPr="00DE33D8">
        <w:rPr>
          <w:rFonts w:asciiTheme="minorHAnsi" w:hAnsiTheme="minorHAnsi"/>
          <w:sz w:val="24"/>
          <w:lang w:val="cs-CZ"/>
        </w:rPr>
        <w:t xml:space="preserve">optimalizovat systém úhrad v primární péči s důrazem na motivační, výkon podporující složky a vytvořit modely nastavující vyváženost úhrad v různých segmentech ambulantní péče.   </w:t>
      </w:r>
    </w:p>
    <w:p w:rsidR="006C359E" w:rsidRPr="00DE33D8" w:rsidP="006C359E" w14:paraId="65238139" w14:textId="72763568">
      <w:pPr>
        <w:rPr>
          <w:rFonts w:cs="Times New Roman"/>
          <w:sz w:val="24"/>
        </w:rPr>
      </w:pPr>
      <w:r w:rsidRPr="00DE33D8">
        <w:rPr>
          <w:rFonts w:cs="Times New Roman"/>
          <w:sz w:val="24"/>
        </w:rPr>
        <w:t xml:space="preserve">Výstupy aktivit Specifického cíle 2.4 tak přispějí k racionalizaci systému úhrad, který má v českém zdravotnictví významné rezervy, a to i v absolutním objemu prostředků ve vztahu k hrubému domácímu produktu. Výdaje na zdravotní péči ve výši </w:t>
      </w:r>
      <w:r w:rsidR="004622B4">
        <w:rPr>
          <w:rFonts w:cs="Times New Roman"/>
          <w:sz w:val="24"/>
        </w:rPr>
        <w:t>8,5</w:t>
      </w:r>
      <w:r w:rsidRPr="00DE33D8">
        <w:rPr>
          <w:rFonts w:cs="Times New Roman"/>
          <w:sz w:val="24"/>
        </w:rPr>
        <w:t xml:space="preserve"> % HDP byly v roce </w:t>
      </w:r>
      <w:r w:rsidRPr="00DE33D8" w:rsidR="004622B4">
        <w:rPr>
          <w:rFonts w:cs="Times New Roman"/>
          <w:sz w:val="24"/>
        </w:rPr>
        <w:t>20</w:t>
      </w:r>
      <w:r w:rsidR="004622B4">
        <w:rPr>
          <w:rFonts w:cs="Times New Roman"/>
          <w:sz w:val="24"/>
        </w:rPr>
        <w:t>22</w:t>
      </w:r>
      <w:r w:rsidRPr="00DE33D8" w:rsidR="004622B4">
        <w:rPr>
          <w:rFonts w:cs="Times New Roman"/>
          <w:sz w:val="24"/>
        </w:rPr>
        <w:t xml:space="preserve"> </w:t>
      </w:r>
      <w:r w:rsidRPr="00DE33D8">
        <w:rPr>
          <w:rFonts w:cs="Times New Roman"/>
          <w:sz w:val="24"/>
        </w:rPr>
        <w:t xml:space="preserve">ve srovnání s ostatními zeměmi OECD </w:t>
      </w:r>
      <w:r w:rsidR="004622B4">
        <w:rPr>
          <w:rFonts w:cs="Times New Roman"/>
          <w:sz w:val="24"/>
        </w:rPr>
        <w:t>o něco</w:t>
      </w:r>
      <w:r w:rsidRPr="00DE33D8" w:rsidR="004622B4">
        <w:rPr>
          <w:rFonts w:cs="Times New Roman"/>
          <w:sz w:val="24"/>
        </w:rPr>
        <w:t xml:space="preserve"> </w:t>
      </w:r>
      <w:r w:rsidRPr="00DE33D8">
        <w:rPr>
          <w:rFonts w:cs="Times New Roman"/>
          <w:sz w:val="24"/>
        </w:rPr>
        <w:t xml:space="preserve">nižší než celkový průměr, který přesahuje hodnotu 9 %. Rakouské a německé zdravotnictví je financováno více než 10 % HDP těchto zemí. </w:t>
      </w:r>
      <w:r w:rsidRPr="004622B4" w:rsidR="004622B4">
        <w:rPr>
          <w:rFonts w:cs="Times New Roman"/>
          <w:sz w:val="24"/>
        </w:rPr>
        <w:t xml:space="preserve">Nicméně, mezi lety 2014 a 2022 se výdaje ČR na zdravotní péči zdvojnásobily, což představuje jeden z největších nárůstů v rámci EU. </w:t>
      </w:r>
      <w:r w:rsidR="004622B4">
        <w:rPr>
          <w:rFonts w:cs="Times New Roman"/>
          <w:sz w:val="24"/>
        </w:rPr>
        <w:t>P</w:t>
      </w:r>
      <w:r w:rsidRPr="00DE33D8" w:rsidR="004622B4">
        <w:rPr>
          <w:rFonts w:cs="Times New Roman"/>
          <w:sz w:val="24"/>
        </w:rPr>
        <w:t xml:space="preserve">roblémem </w:t>
      </w:r>
      <w:r w:rsidRPr="00DE33D8">
        <w:rPr>
          <w:rFonts w:cs="Times New Roman"/>
          <w:sz w:val="24"/>
        </w:rPr>
        <w:t xml:space="preserve">ČR </w:t>
      </w:r>
      <w:r w:rsidR="004622B4">
        <w:rPr>
          <w:rFonts w:cs="Times New Roman"/>
          <w:sz w:val="24"/>
        </w:rPr>
        <w:t xml:space="preserve">však zůstává </w:t>
      </w:r>
      <w:r w:rsidRPr="00DE33D8">
        <w:rPr>
          <w:rFonts w:cs="Times New Roman"/>
          <w:sz w:val="24"/>
        </w:rPr>
        <w:t>i nízká heterogenita zdrojů a mezinárodní analýzy dále kritizují i neexistenci možnosti občanů volit různé formy pojištění či připojištění. Multizdrojové financování by do zdravotní péče přineslo další prostředky a zvýšilo by stabilitu systému, resp. jeho odolnost vůči výkyvům výkonnosti národního hospodářství. Další faktory hodné zřetele lze v této oblasti shrnout následovně:</w:t>
      </w:r>
    </w:p>
    <w:p w:rsidR="006C359E" w:rsidRPr="00DE33D8" w:rsidP="006C359E" w14:paraId="1E2162AB" w14:textId="77777777">
      <w:pPr>
        <w:pStyle w:val="ListParagraph"/>
        <w:numPr>
          <w:ilvl w:val="0"/>
          <w:numId w:val="25"/>
        </w:numPr>
        <w:rPr>
          <w:rFonts w:cs="Times New Roman"/>
          <w:sz w:val="24"/>
          <w:szCs w:val="24"/>
        </w:rPr>
      </w:pPr>
      <w:r w:rsidRPr="00DE33D8">
        <w:rPr>
          <w:rFonts w:cs="Times New Roman"/>
          <w:sz w:val="24"/>
          <w:szCs w:val="24"/>
        </w:rPr>
        <w:t>Obecně platí, že větší využívání ambulantní péče bývá nákladově efektivnější než lůžková péče. Omezuje čekací doby a je nejvhodnější léčebnou metodou pro mnoho zákroků (ambulantní chirurgie). Podle dostupných mezinárodních srovnání (2015–2016) tvořil sektor lůžkové péče (převážně nemocnice) v ČR 26 % celkových výdajů, oproti 29 % v EU a 28 % v OECD v roce 2015. Na rozdíl od ostatních ekonomik střední a východní Evropy, které podobně jako Česká republika zdědily velké nemocniční sektory, je největším sektorem ambulantní péče s 32 % výdajů na zdravotnictví, zatímco výdaje na dlouhodobou a lůžkovou péči jsou méně významné a pohybují se okolo průměru OECD.</w:t>
      </w:r>
    </w:p>
    <w:p w:rsidR="006C359E" w:rsidRPr="00DE33D8" w:rsidP="006C359E" w14:paraId="01D2F060" w14:textId="77777777">
      <w:pPr>
        <w:pStyle w:val="ListParagraph"/>
        <w:numPr>
          <w:ilvl w:val="0"/>
          <w:numId w:val="25"/>
        </w:numPr>
        <w:rPr>
          <w:rFonts w:cs="Times New Roman"/>
          <w:sz w:val="24"/>
          <w:szCs w:val="24"/>
        </w:rPr>
      </w:pPr>
      <w:r w:rsidRPr="00DE33D8">
        <w:rPr>
          <w:rFonts w:cs="Times New Roman"/>
          <w:sz w:val="24"/>
          <w:szCs w:val="24"/>
        </w:rPr>
        <w:t>Zatímco v řadě zemí OECD dochází k posunu od lůžkové péče k jednodenní péči, který je motivován snahou o zvýšení efektivity, v ČR jsou výdaje na jednodenní péči v nemocnicích i nadále nízké (podle odhadů pouze 2</w:t>
      </w:r>
      <w:r w:rsidRPr="00DE33D8">
        <w:rPr>
          <w:rFonts w:cstheme="minorHAnsi"/>
          <w:sz w:val="24"/>
          <w:szCs w:val="24"/>
        </w:rPr>
        <w:t>‒</w:t>
      </w:r>
      <w:r w:rsidRPr="00DE33D8">
        <w:rPr>
          <w:rFonts w:cs="Times New Roman"/>
          <w:sz w:val="24"/>
          <w:szCs w:val="24"/>
        </w:rPr>
        <w:t xml:space="preserve">3 % výdajů na nemocnice). Je třeba vynaložit větší úsilí směrem k posunu vybraných typů hospitalizací od delší lůžkové péče k jednodenní péči. Tento trend je výzvou jak pro hledání vhodných úhradových mechanismů, tak pro definici klinických doporučených postupů pro jednodenní péči. </w:t>
      </w:r>
    </w:p>
    <w:p w:rsidR="006C359E" w:rsidRPr="00DE33D8" w:rsidP="006C359E" w14:paraId="145C3379" w14:textId="77777777">
      <w:pPr>
        <w:pStyle w:val="ListParagraph"/>
        <w:numPr>
          <w:ilvl w:val="0"/>
          <w:numId w:val="25"/>
        </w:numPr>
        <w:rPr>
          <w:rFonts w:cs="Times New Roman"/>
          <w:sz w:val="24"/>
          <w:szCs w:val="24"/>
        </w:rPr>
      </w:pPr>
      <w:r w:rsidRPr="00DE33D8">
        <w:rPr>
          <w:rFonts w:cs="Times New Roman"/>
          <w:sz w:val="24"/>
          <w:szCs w:val="24"/>
        </w:rPr>
        <w:t>Podíl HDP mířící na investice v českém zdravotnictví sice odpovídá celkovému průměru zemí OECD, avšak stále je významně nižší např. ve srovnání s Rakouskem či Německem. Jistým problémem českého zdravotnictví je fakt, že investice a obnova infrastruktury zejména nemocnic není adekvátně zohledněna v úhradovém mechanismu lůžkové péče. Nemocnice a zdravotnická zařízení proto při investicích spoléhají na veřejné dotace a finanční prostředky EU. Investice do zdravotnické infrastruktury a její modernizace by měly být lépe plánovány a koordinovány napříč kraji a měly by se řídit integrovaným přístupem v rámci financování zdravotnictví na úrovni nemocnic, krajů a ministerstva. Například léčba akutních ischemických cévních mozkových příhod byla přeskupena do iktových center a vedla k významným zlepšením. V důsledku toho pravděpodobnost, že pacient podstoupí nezbytnou léčbu v rámci doporučeného limitu šedesáti minut, patří k nejvyšším v EU.</w:t>
      </w:r>
    </w:p>
    <w:p w:rsidR="006C359E" w:rsidRPr="00A955AF" w:rsidP="006C359E" w14:paraId="302F5CF6" w14:textId="77777777">
      <w:pPr>
        <w:pStyle w:val="Bntext"/>
        <w:spacing w:line="240" w:lineRule="auto"/>
        <w:ind w:firstLine="0"/>
        <w:rPr>
          <w:rFonts w:asciiTheme="minorHAnsi" w:hAnsiTheme="minorHAnsi"/>
          <w:sz w:val="24"/>
          <w:lang w:val="cs-CZ"/>
        </w:rPr>
      </w:pPr>
      <w:r w:rsidRPr="00DE33D8">
        <w:rPr>
          <w:rFonts w:asciiTheme="minorHAnsi" w:hAnsiTheme="minorHAnsi"/>
          <w:sz w:val="24"/>
          <w:lang w:val="cs-CZ"/>
        </w:rPr>
        <w:t xml:space="preserve">Zvyšování výdajů na zdravotnictví spolu se zvyšováním jeho efektivity může být vysoce přínosné. Odhady založené na vzorku zemí OECD v letech 1990–2015 naznačují, že 10% nárůst výdajů na zdravotnictví (neboli přibližně 245 USD na obyvatele a rok) je spojen s potenciálním přírůstkem střední délky života o cca 3,5 měsíce. Nicméně zároveň je třeba dbát na zvyšování efektivity systému zdravotních služeb. Srovnání ČR se zeměmi s podobnými výdaji a institucionálními rysy naznačuje, že zdravotní výsledky jsou stále částečně nedostatečné. </w:t>
      </w:r>
      <w:r w:rsidRPr="00DE33D8">
        <w:rPr>
          <w:rFonts w:asciiTheme="minorHAnsi" w:hAnsiTheme="minorHAnsi"/>
          <w:sz w:val="24"/>
          <w:lang w:val="cs-CZ"/>
        </w:rPr>
        <w:t xml:space="preserve">Srovnávací analýzy OECD ukazují, že český zdravotní stav zůstává pod úrovní Slovinska, Koreje a Řecka, a to i při zohlednění dalších rozdílů v životním stylu a sociálních faktorů. To naznačuje, že při současné úrovni financování existuje v českém systému zdravotní péče prostor pro zvyšování efektivity a zlepšování zdravotních výsledků. </w:t>
      </w:r>
    </w:p>
    <w:p w:rsidR="006C359E" w:rsidRPr="00A955AF" w:rsidP="006C359E" w14:paraId="240E1619" w14:textId="0F7DA02D">
      <w:pPr>
        <w:rPr>
          <w:rFonts w:cs="Times New Roman"/>
          <w:sz w:val="24"/>
        </w:rPr>
      </w:pPr>
      <w:r w:rsidRPr="00A955AF">
        <w:rPr>
          <w:rFonts w:cs="Times New Roman"/>
          <w:sz w:val="24"/>
        </w:rPr>
        <w:t>Odměňování zdravotnického personálu je velkou výzvou pro úhradové mechanismy ve všech segmentech péče. V posledních letech došlo k významnému navýšení odměn pracovníků, zejména v lůžkové péči a plošné, centrálně řízené navyšování v podobném objemu není ve stejném tempu dlouhodobě možné. Jednak se plošným zvyšováním odměn ztrácí selektivní motivační potenciál a jednak takový systém nereflektuje specifické personální potřeby regionů nebo jednotlivých poskytovatelů. Celkový vývoj odměn lze na aktuálních datech roku 20</w:t>
      </w:r>
      <w:r>
        <w:rPr>
          <w:rFonts w:cs="Times New Roman"/>
          <w:sz w:val="24"/>
        </w:rPr>
        <w:t>23</w:t>
      </w:r>
      <w:r w:rsidRPr="00A955AF">
        <w:rPr>
          <w:rFonts w:cs="Times New Roman"/>
          <w:sz w:val="24"/>
        </w:rPr>
        <w:t xml:space="preserve"> shrnout takto:</w:t>
      </w:r>
    </w:p>
    <w:p w:rsidR="006C359E" w:rsidRPr="00725D3D" w:rsidP="006C359E" w14:paraId="4B72708F" w14:textId="77777777">
      <w:pPr>
        <w:numPr>
          <w:ilvl w:val="0"/>
          <w:numId w:val="26"/>
        </w:numPr>
        <w:rPr>
          <w:rFonts w:cs="Times New Roman"/>
          <w:color w:val="auto"/>
          <w:sz w:val="24"/>
        </w:rPr>
      </w:pPr>
      <w:r w:rsidRPr="00725D3D">
        <w:rPr>
          <w:rFonts w:cs="Times New Roman"/>
          <w:color w:val="auto"/>
          <w:sz w:val="24"/>
        </w:rPr>
        <w:t xml:space="preserve">Platy i mzdy lékařů a zubních lékařů od roku 2017 významně narostly a v roce 2023 dosáhly průměru (celkový průměr platů a mezd, všechny segmenty lůžkové péče) cca 105 500 Kč. Segment akutní péče se v celkovém průměru odměn lékařů významně liší od segmentu ostatní lůžkové péče (celkový průměr v akutní péči: 105 600 Kč vs. v ostatní lůžkové péči: 104 400 Kč). Zjištěný růst od roku 2017 pokračuje v trendu z předchozího období a tento v celkovém průměru nemění. Meziročně 2022 -&gt; 2023 mzdy rostly průměrně o 5 %, platy o 7 %). </w:t>
      </w:r>
      <w:r w:rsidRPr="00725D3D">
        <w:rPr>
          <w:color w:val="auto"/>
          <w:sz w:val="24"/>
        </w:rPr>
        <w:t>Ačkoli platy i mzdy lékařů a zubních lékařů rostou relativně stejným tempem, nadále zůstává mezi těmito dvěma formami odměny významný rozdíl. Průměrný plat lékařů a zubních lékařů dosáhnul v roce 2023 hodnoty 106 100 Kč, zatímco průměrná mzda 104 600 Kč.</w:t>
      </w:r>
    </w:p>
    <w:p w:rsidR="006C359E" w:rsidRPr="00725D3D" w:rsidP="006C359E" w14:paraId="0054EFA0" w14:textId="77777777">
      <w:pPr>
        <w:numPr>
          <w:ilvl w:val="0"/>
          <w:numId w:val="26"/>
        </w:numPr>
        <w:rPr>
          <w:rFonts w:cs="Times New Roman"/>
          <w:color w:val="auto"/>
          <w:sz w:val="24"/>
        </w:rPr>
      </w:pPr>
      <w:r w:rsidRPr="00725D3D">
        <w:rPr>
          <w:rFonts w:cs="Times New Roman"/>
          <w:color w:val="auto"/>
          <w:sz w:val="24"/>
        </w:rPr>
        <w:t xml:space="preserve">Průměrná odměna lékaře a zubního lékaře tak v roce 2023 významně převýšila průměrnou odměnu v ČR (podle dat ČSÚ: 43 300 Kč). Oproti roku 2010 odměna lékařů a zubních lékařů roste v roce 2018 kumulativním indexem růstu +210 %, zatímco průměrná mzda v ČR rostla proti roku 2010 o +182 %. Ačkoli platy i mzdy rostou relativně stejným tempem, nadále zůstává mezi těmito dvěma formami odměny významný rozdíl. Průměrný plat lékařů a zubních lékařů dosáhl v roce 2023 hodnoty 106 100 Kč, zatímco průměrná mzda 104 600 Kč. V nemocnicích zřizovaných Ministerstvem zdravotnictví ČR dosáhl v roce 2023 průměrný plat lékaře hodnoty </w:t>
      </w:r>
      <w:r w:rsidRPr="00725D3D">
        <w:rPr>
          <w:rFonts w:cs="Times New Roman"/>
          <w:color w:val="auto"/>
          <w:sz w:val="24"/>
        </w:rPr>
        <w:br/>
        <w:t>108 400 Kč.</w:t>
      </w:r>
    </w:p>
    <w:p w:rsidR="006C359E" w:rsidRPr="00725D3D" w:rsidP="006C359E" w14:paraId="55798026" w14:textId="77777777">
      <w:pPr>
        <w:numPr>
          <w:ilvl w:val="0"/>
          <w:numId w:val="26"/>
        </w:numPr>
        <w:rPr>
          <w:rFonts w:cs="Times New Roman"/>
          <w:color w:val="auto"/>
          <w:sz w:val="24"/>
        </w:rPr>
      </w:pPr>
      <w:r w:rsidRPr="00725D3D">
        <w:rPr>
          <w:rFonts w:cs="Times New Roman"/>
          <w:color w:val="auto"/>
          <w:sz w:val="24"/>
        </w:rPr>
        <w:t xml:space="preserve">Platy i mzdy všeobecných sester od roku 2017 významně vzrostly a v roce 2023 dosáhly průměru (celkový průměr platů a mezd, všechny segmenty lůžkové péče) cca 56 600 Kč. Segment akutní péče se v celkovém průměru odměn všeobecných sester významně neliší od segmentu ostatní lůžkové péče. Zjištěný růst od roku 2017 pokračuje v trendu z předchozího období a tento nemění. Meziročně 2022 -&gt; 2023 tak jde o nárůst o 5 %. </w:t>
      </w:r>
    </w:p>
    <w:p w:rsidR="006C359E" w:rsidP="03B59B71" w14:paraId="31362665" w14:textId="6BF02913">
      <w:pPr>
        <w:numPr>
          <w:ilvl w:val="0"/>
          <w:numId w:val="26"/>
        </w:numPr>
        <w:rPr>
          <w:rFonts w:cs="Times New Roman"/>
          <w:color w:val="auto"/>
          <w:sz w:val="24"/>
        </w:rPr>
      </w:pPr>
      <w:r w:rsidRPr="03B59B71">
        <w:rPr>
          <w:rFonts w:cs="Times New Roman"/>
          <w:color w:val="auto"/>
          <w:sz w:val="24"/>
        </w:rPr>
        <w:t xml:space="preserve">Průměrná odměna všeobecných sester tak v roce 2018 významně převýšila průměrnou odměnu v ČR (podle dat ČSÚ: 43 300 Kč). Oproti roku 2010 odměna všeobecných sester roste v roce 2023 kumulativním indexem růstu +206 %, zatímco průměrná mzda v ČR rostla proti roku 2010 o +182 %. Ačkoli platy i mzdy rostou relativně stejným tempem, nadále zůstává mezi těmito dvěma formami odměny významný rozdíl. Průměrný plat všeobecné sestry dosáhl v roce 2023 hodnoty 59 500 Kč, zatímco průměrná mzda 52 700 Kč.  </w:t>
      </w:r>
    </w:p>
    <w:p w:rsidR="00F63E76" w:rsidRPr="00725D3D" w:rsidP="00F63E76" w14:paraId="7D67AEA1" w14:textId="77777777">
      <w:pPr>
        <w:rPr>
          <w:rFonts w:cs="Times New Roman"/>
          <w:color w:val="auto"/>
          <w:sz w:val="24"/>
        </w:rPr>
      </w:pPr>
    </w:p>
    <w:p w:rsidR="00F63E76" w:rsidP="0070747B" w14:paraId="7D131313" w14:textId="77777777">
      <w:pPr>
        <w:pStyle w:val="Podkapitola111opaten"/>
        <w:numPr>
          <w:ilvl w:val="2"/>
          <w:numId w:val="44"/>
        </w:numPr>
        <w:ind w:left="1134" w:hanging="360"/>
        <w:jc w:val="both"/>
      </w:pPr>
      <w:r w:rsidRPr="03B59B71">
        <w:rPr>
          <w:rFonts w:cs="Times New Roman"/>
        </w:rPr>
        <w:t xml:space="preserve"> </w:t>
      </w:r>
      <w:bookmarkStart w:id="512" w:name="_Toc256000044"/>
      <w:r w:rsidRPr="004C0CFB" w:rsidR="006C359E">
        <w:t>Specifický cíl 2.</w:t>
      </w:r>
      <w:r w:rsidR="006C359E">
        <w:t>5</w:t>
      </w:r>
      <w:r w:rsidRPr="00225F93" w:rsidR="006C359E">
        <w:t xml:space="preserve"> ‒ </w:t>
      </w:r>
      <w:r w:rsidR="006C359E">
        <w:t>Péče na sociálně zdravotním pomezí</w:t>
      </w:r>
      <w:bookmarkEnd w:id="512"/>
      <w:r w:rsidR="006C359E">
        <w:t xml:space="preserve"> </w:t>
      </w:r>
    </w:p>
    <w:p w:rsidR="00102850" w:rsidP="00F63E76" w14:paraId="150197B0" w14:textId="435D48C6">
      <w:pPr>
        <w:rPr>
          <w:rFonts w:cs="Times New Roman"/>
          <w:sz w:val="24"/>
        </w:rPr>
      </w:pPr>
      <w:r w:rsidRPr="00A955AF">
        <w:rPr>
          <w:rFonts w:cs="Times New Roman"/>
          <w:sz w:val="24"/>
        </w:rPr>
        <w:t>Zásadní motivací pro zařazení tohoto specifického cíle mezi priority Strategického rámce Zdraví 203</w:t>
      </w:r>
      <w:r>
        <w:rPr>
          <w:rFonts w:cs="Times New Roman"/>
          <w:sz w:val="24"/>
        </w:rPr>
        <w:t>5</w:t>
      </w:r>
      <w:r w:rsidRPr="00A955AF">
        <w:rPr>
          <w:rFonts w:cs="Times New Roman"/>
          <w:sz w:val="24"/>
        </w:rPr>
        <w:t xml:space="preserve"> byla podkladová data o stárnutí české populace a o rostoucím podílu chronicky nemocných pacientů. </w:t>
      </w:r>
      <w:r>
        <w:rPr>
          <w:rFonts w:cs="Times New Roman"/>
          <w:sz w:val="24"/>
        </w:rPr>
        <w:t xml:space="preserve">Tento specifický cíl úzce souvisí se specifickými cíli 2.6 Péče o duševní zdraví a 2.7 Specializovaná zdravotní péče, neboť se tyto oblasti v mnoha případech prolínají. </w:t>
      </w:r>
    </w:p>
    <w:p w:rsidR="00F63E76" w:rsidRPr="00A955AF" w:rsidP="00F63E76" w14:paraId="7F4274C5" w14:textId="1CA08490">
      <w:pPr>
        <w:rPr>
          <w:rFonts w:cs="Times New Roman"/>
          <w:sz w:val="24"/>
        </w:rPr>
      </w:pPr>
      <w:r w:rsidRPr="00A955AF">
        <w:rPr>
          <w:rFonts w:cs="Times New Roman"/>
          <w:sz w:val="24"/>
        </w:rPr>
        <w:t>V ČR přibývá občanů, kteří trpí dlouhodobě nepříznivým zdravotním stavem, což zvyšuje nároky na dostupné zdravotní a sociální služby poskytované současně, a to v různé intenzitě a</w:t>
      </w:r>
      <w:r w:rsidR="004433F0">
        <w:rPr>
          <w:rFonts w:cs="Times New Roman"/>
          <w:sz w:val="24"/>
        </w:rPr>
        <w:t> </w:t>
      </w:r>
      <w:r w:rsidRPr="00A955AF">
        <w:rPr>
          <w:rFonts w:cs="Times New Roman"/>
          <w:sz w:val="24"/>
        </w:rPr>
        <w:t xml:space="preserve">měnícím se poměru. Vedle stárnutí populace a prodlužující se absolutní délky života má v tomto ohledu zásadní význam stále relativně krátká doba života ve zdraví, tedy do první vážné nemoci. Vyjdeme-li z recentních mezinárodních srovnání období deseti let mezi rokem 2006 a 2016 (Eurostat Health Database ve verzi z roku 2019), pak naděje dožití při narození byla v roce 2016 u českých mužů 76,1 roku (2006: 73,5), avšak délka života ve zdraví dosáhla v roce 2016 pouze 62,7 let (2006: 57,9). U českých žen je tento rozdíl ještě patrnější, v roce 2016 byla u této populace naděje dožití při narození 82,1 roku (2006: 79,9 roku), avšak délka života ve zdraví pouze 64 let (2006: 59,9 let). I </w:t>
      </w:r>
      <w:r>
        <w:rPr>
          <w:rFonts w:cs="Times New Roman"/>
          <w:sz w:val="24"/>
        </w:rPr>
        <w:t>navzdory</w:t>
      </w:r>
      <w:r w:rsidRPr="00A955AF">
        <w:rPr>
          <w:rFonts w:cs="Times New Roman"/>
          <w:sz w:val="24"/>
        </w:rPr>
        <w:t xml:space="preserve"> pozitivní</w:t>
      </w:r>
      <w:r>
        <w:rPr>
          <w:rFonts w:cs="Times New Roman"/>
          <w:sz w:val="24"/>
        </w:rPr>
        <w:t>mu</w:t>
      </w:r>
      <w:r w:rsidRPr="00A955AF">
        <w:rPr>
          <w:rFonts w:cs="Times New Roman"/>
          <w:sz w:val="24"/>
        </w:rPr>
        <w:t xml:space="preserve"> zlepšování těchto integrálních ukazatelů zdraví české populace v čase, jde stále o hodnoty nižší, než jaké jsou typické pro populace vyspělých zemí EU. </w:t>
      </w:r>
    </w:p>
    <w:p w:rsidR="00F63E76" w:rsidRPr="00A955AF" w:rsidP="00F63E76" w14:paraId="338695D7" w14:textId="77777777">
      <w:pPr>
        <w:rPr>
          <w:rFonts w:cs="Times New Roman"/>
          <w:sz w:val="24"/>
        </w:rPr>
      </w:pPr>
      <w:r w:rsidRPr="00A955AF">
        <w:rPr>
          <w:rFonts w:cs="Times New Roman"/>
          <w:sz w:val="24"/>
        </w:rPr>
        <w:t xml:space="preserve">Zejména v důsledku výše uvedených faktů pozorujeme v ČR s věkem významně narůstající chronickou nemocnost (ČSÚ, výběrové šetření </w:t>
      </w:r>
      <w:r>
        <w:rPr>
          <w:rFonts w:cs="Times New Roman"/>
          <w:sz w:val="24"/>
        </w:rPr>
        <w:t>EU-</w:t>
      </w:r>
      <w:r w:rsidRPr="00A955AF">
        <w:rPr>
          <w:rFonts w:cs="Times New Roman"/>
          <w:sz w:val="24"/>
        </w:rPr>
        <w:t>SILC). U populace starší 65 let dosahuje podíl chronicky nemocných téměř 64 %, avšak vysoká je i chronická nemocnost kalkulovaná pro celkovou populaci ČR (35 %). Vysoká chronická nemocnost osob ve věku 65+ je zátěží pro zdravotní systém, která bude s pokračujícím demografickým stárnutím populace narůstat. Ve srovnání krajů je nejnižší celkový podíl chronicky nemocných obyvatel v Praze 25 % a v Jihomoravském kraji 29 %. Naopak nejvyšší chronickou nemocnost vykazují kraje Plzeňský 46 % a dále Olomoucký, Moravskoslezský a Kraj Vysočina, všechny 38</w:t>
      </w:r>
      <w:r>
        <w:rPr>
          <w:rFonts w:cs="Times New Roman"/>
          <w:sz w:val="24"/>
        </w:rPr>
        <w:t>–</w:t>
      </w:r>
      <w:r w:rsidRPr="00A955AF">
        <w:rPr>
          <w:rFonts w:cs="Times New Roman"/>
          <w:sz w:val="24"/>
        </w:rPr>
        <w:t xml:space="preserve">39 %. Těmto datům odpovídají i výsledky populačních šetření zaměřených na subjektivní vnímání zdravotního stavu české populace. Česká populace celkově vnímá subjektivně svůj zdravotní stav jako dobrý až velmi dobrý ve vysokém procentu, tj. z více než 60 %. Avšak pozitivní hodnocení vlastního zdravotního stavu prudce klesá s věkem a u osob starších než 65 let již dosahuje pouze 24 %. Mezi regiony ČR je i v tomto ukazateli patrný značný rozptyl, podíl osob pozitivně hodnotících svůj zdravotní stav kolísá od 53 % do 68 %. </w:t>
      </w:r>
    </w:p>
    <w:p w:rsidR="00F63E76" w:rsidRPr="00A955AF" w:rsidP="00F63E76" w14:paraId="4D2F1EB7" w14:textId="77777777">
      <w:pPr>
        <w:rPr>
          <w:rFonts w:cs="Times New Roman"/>
          <w:sz w:val="24"/>
        </w:rPr>
      </w:pPr>
      <w:r w:rsidRPr="00A955AF">
        <w:rPr>
          <w:rFonts w:cs="Times New Roman"/>
          <w:sz w:val="24"/>
        </w:rPr>
        <w:t xml:space="preserve">Vedle narůstající celkové nemocnosti populace seniorů jsou hlavními faktory zvyšujícími potřebu efektivních modelů integrované zdravotní, zdravotně sociální a sociální péče zejména narůstající prevalence vážných dlouhodobých onemocnění (zhoubné nádory, </w:t>
      </w:r>
      <w:r w:rsidRPr="00BF108D">
        <w:rPr>
          <w:rFonts w:cs="Times New Roman"/>
          <w:iCs/>
          <w:sz w:val="24"/>
        </w:rPr>
        <w:t>diabetes mellitus</w:t>
      </w:r>
      <w:r w:rsidRPr="00A955AF">
        <w:rPr>
          <w:rFonts w:cs="Times New Roman"/>
          <w:sz w:val="24"/>
        </w:rPr>
        <w:t>, neurodegenerativní poruchy ve stáří aj.) a problémy s finančním a personálním zajištěním dostupnosti péče o takto postiženou část populace. Následující data jsou stručným shrnutím epidemiologických charakteristik vybraných onemocnění, které by měly být primárním cílem aktivit měnících modely organizace péče a integrující zdravotní a sociální služby:</w:t>
      </w:r>
    </w:p>
    <w:p w:rsidR="00F63E76" w:rsidRPr="00A955AF" w:rsidP="00F63E76" w14:paraId="23BA2282" w14:textId="77777777">
      <w:pPr>
        <w:pStyle w:val="ListParagraph"/>
        <w:numPr>
          <w:ilvl w:val="0"/>
          <w:numId w:val="23"/>
        </w:numPr>
        <w:rPr>
          <w:rFonts w:cs="Times New Roman"/>
          <w:sz w:val="24"/>
          <w:szCs w:val="24"/>
        </w:rPr>
      </w:pPr>
      <w:r w:rsidRPr="00A955AF">
        <w:rPr>
          <w:rFonts w:cs="Times New Roman"/>
          <w:b/>
          <w:sz w:val="24"/>
          <w:szCs w:val="24"/>
        </w:rPr>
        <w:t>Celková nemocnost.</w:t>
      </w:r>
      <w:r w:rsidRPr="00A955AF">
        <w:rPr>
          <w:rFonts w:cs="Times New Roman"/>
          <w:sz w:val="24"/>
          <w:szCs w:val="24"/>
        </w:rPr>
        <w:t xml:space="preserve"> V roce 2017 žilo přibližně 60 % obyvatelstva ČR bez vážnějšího onemocnění (např. kardiovaskulární nemoci, diabetes, nádorová onemocnění). Avšak</w:t>
      </w:r>
      <w:r>
        <w:rPr>
          <w:rFonts w:cs="Times New Roman"/>
          <w:sz w:val="24"/>
          <w:szCs w:val="24"/>
        </w:rPr>
        <w:t> </w:t>
      </w:r>
      <w:r w:rsidRPr="00A955AF">
        <w:rPr>
          <w:rFonts w:cs="Times New Roman"/>
          <w:sz w:val="24"/>
          <w:szCs w:val="24"/>
        </w:rPr>
        <w:t>s věkem nemocnost výrazně narůstá, ve věku nad 65 let dosahuje měřitelná hodnota Deyovy modifikace indexu komorbidit</w:t>
      </w:r>
      <w:r>
        <w:rPr>
          <w:rFonts w:cs="Times New Roman"/>
          <w:sz w:val="24"/>
          <w:szCs w:val="24"/>
        </w:rPr>
        <w:t xml:space="preserve"> podle </w:t>
      </w:r>
      <w:r w:rsidRPr="00A955AF">
        <w:rPr>
          <w:rFonts w:cs="Times New Roman"/>
          <w:sz w:val="24"/>
          <w:szCs w:val="24"/>
        </w:rPr>
        <w:t xml:space="preserve">Charlsonové (DCCI) hranice </w:t>
      </w:r>
      <w:r>
        <w:rPr>
          <w:rFonts w:cs="Times New Roman"/>
          <w:sz w:val="24"/>
          <w:szCs w:val="24"/>
        </w:rPr>
        <w:t>dvou</w:t>
      </w:r>
      <w:r w:rsidRPr="00A955AF">
        <w:rPr>
          <w:rFonts w:cs="Times New Roman"/>
          <w:sz w:val="24"/>
          <w:szCs w:val="24"/>
        </w:rPr>
        <w:t xml:space="preserve"> a více bodů (tj. </w:t>
      </w:r>
      <w:r>
        <w:rPr>
          <w:rFonts w:cs="Times New Roman"/>
          <w:sz w:val="24"/>
          <w:szCs w:val="24"/>
        </w:rPr>
        <w:t>dvě</w:t>
      </w:r>
      <w:r w:rsidRPr="00A955AF">
        <w:rPr>
          <w:rFonts w:cs="Times New Roman"/>
          <w:sz w:val="24"/>
          <w:szCs w:val="24"/>
        </w:rPr>
        <w:t xml:space="preserve"> onemocnění nebo </w:t>
      </w:r>
      <w:r>
        <w:rPr>
          <w:rFonts w:cs="Times New Roman"/>
          <w:sz w:val="24"/>
          <w:szCs w:val="24"/>
        </w:rPr>
        <w:t>jedno</w:t>
      </w:r>
      <w:r w:rsidRPr="00A955AF">
        <w:rPr>
          <w:rFonts w:cs="Times New Roman"/>
          <w:sz w:val="24"/>
          <w:szCs w:val="24"/>
        </w:rPr>
        <w:t xml:space="preserve"> komplikovanější onemocnění) u poloviny populace; ve věku nad 85 let dosahuje této hranice dokonce 75 % populace. Zdraví poloviny české populace nad 85 let je ve zhoršeném či závažném stavu. U mužů je mírně vyšší nemocnost ve věku 0–20 let, od 20 do 55 let je mírně vyšší nemocnost </w:t>
      </w:r>
      <w:r w:rsidRPr="00A955AF">
        <w:rPr>
          <w:rFonts w:cs="Times New Roman"/>
          <w:sz w:val="24"/>
          <w:szCs w:val="24"/>
        </w:rPr>
        <w:t>u</w:t>
      </w:r>
      <w:r>
        <w:rPr>
          <w:rFonts w:cs="Times New Roman"/>
          <w:sz w:val="24"/>
          <w:szCs w:val="24"/>
        </w:rPr>
        <w:t> </w:t>
      </w:r>
      <w:r w:rsidRPr="00A955AF">
        <w:rPr>
          <w:rFonts w:cs="Times New Roman"/>
          <w:sz w:val="24"/>
          <w:szCs w:val="24"/>
        </w:rPr>
        <w:t>žen. Od 55 let po zbytek života je vyšší nemocnost u mužů ve srovnání se ženami stejného věku.</w:t>
      </w:r>
    </w:p>
    <w:p w:rsidR="00F63E76" w:rsidRPr="00A955AF" w:rsidP="00F63E76" w14:paraId="36CA8867" w14:textId="77777777">
      <w:pPr>
        <w:pStyle w:val="ListParagraph"/>
        <w:numPr>
          <w:ilvl w:val="0"/>
          <w:numId w:val="23"/>
        </w:numPr>
        <w:rPr>
          <w:rFonts w:cs="Times New Roman"/>
          <w:sz w:val="24"/>
          <w:szCs w:val="24"/>
        </w:rPr>
      </w:pPr>
      <w:r w:rsidRPr="00A955AF">
        <w:rPr>
          <w:rFonts w:cs="Times New Roman"/>
          <w:b/>
          <w:sz w:val="24"/>
          <w:szCs w:val="24"/>
        </w:rPr>
        <w:t>Epidemiologie zhoubných nádorových onemocnění</w:t>
      </w:r>
      <w:r w:rsidRPr="00A955AF">
        <w:rPr>
          <w:rFonts w:cs="Times New Roman"/>
          <w:sz w:val="24"/>
          <w:szCs w:val="24"/>
        </w:rPr>
        <w:t xml:space="preserve"> je velkou výzvou pro racionalizaci organizace péče v českém zdravotnictví. V roce 2016 bylo v ČR nově diagnostikováno 87 290 pacientů se zhoubným novotvarem, což je 826,2 na 100 000 osob. V roce 2016 zemřelo 27 261 osob v souvislosti se zhoubným novotvarem, což je 258,0 na 100 000 osob. Celkem k 31. 12. 2016 žilo v ČR 562 329 osob se zhoubným novotvarem nebo s minulostí tohoto onemocnění, což je 5322 na 100 000 osob. Zátěž české populace zhoubnými nádory je velmi vysoká i z mezinárodního hlediska a v čase setrvale narůstá (roční nárůst v prevalenci +3 až 4 %). I relativně konzervativní prediktivní modely ukazují, že do roku 2030 by se roční počet nově diagnostikovaných nádorových onemocnění mohl zvýšit až na 110 000 a v prevalenci lze očekávat až 790 000 osob. </w:t>
      </w:r>
    </w:p>
    <w:p w:rsidR="00F63E76" w:rsidRPr="004E2864" w:rsidP="00F63E76" w14:paraId="12DFB395" w14:textId="77777777">
      <w:pPr>
        <w:pStyle w:val="ListParagraph"/>
        <w:numPr>
          <w:ilvl w:val="0"/>
          <w:numId w:val="23"/>
        </w:numPr>
        <w:rPr>
          <w:rFonts w:cs="Times New Roman"/>
          <w:sz w:val="24"/>
          <w:szCs w:val="24"/>
        </w:rPr>
      </w:pPr>
      <w:r w:rsidRPr="004E2864">
        <w:rPr>
          <w:rFonts w:cs="Times New Roman"/>
          <w:b/>
          <w:sz w:val="24"/>
          <w:szCs w:val="24"/>
        </w:rPr>
        <w:t>Diabetes.</w:t>
      </w:r>
      <w:r w:rsidRPr="004E2864">
        <w:rPr>
          <w:rFonts w:cs="Times New Roman"/>
          <w:sz w:val="24"/>
          <w:szCs w:val="24"/>
        </w:rPr>
        <w:t xml:space="preserve"> ČR se nachází v horní třetině mezinárodních žebříčků hodnotících výskyt diabetu v populaci osob ve věku 20–79. Celkový počet diabetiků se v ČR každoročně zvyšuje o cca </w:t>
      </w:r>
      <w:r>
        <w:rPr>
          <w:rFonts w:cs="Times New Roman"/>
          <w:sz w:val="24"/>
          <w:szCs w:val="24"/>
        </w:rPr>
        <w:t>dvacet</w:t>
      </w:r>
      <w:r w:rsidRPr="004E2864">
        <w:rPr>
          <w:rFonts w:cs="Times New Roman"/>
          <w:sz w:val="24"/>
          <w:szCs w:val="24"/>
        </w:rPr>
        <w:t xml:space="preserve"> tisíc, v roce 2018 přesáhla četnost výskytu </w:t>
      </w:r>
      <w:r>
        <w:rPr>
          <w:rFonts w:cs="Times New Roman"/>
          <w:sz w:val="24"/>
          <w:szCs w:val="24"/>
        </w:rPr>
        <w:t>jeden</w:t>
      </w:r>
      <w:r w:rsidRPr="004E2864">
        <w:rPr>
          <w:rFonts w:cs="Times New Roman"/>
          <w:sz w:val="24"/>
          <w:szCs w:val="24"/>
        </w:rPr>
        <w:t xml:space="preserve"> milion. Ve věku nad </w:t>
      </w:r>
      <w:r>
        <w:rPr>
          <w:rFonts w:cs="Times New Roman"/>
          <w:sz w:val="24"/>
          <w:szCs w:val="24"/>
        </w:rPr>
        <w:t>sedmdesát</w:t>
      </w:r>
      <w:r w:rsidRPr="004E2864">
        <w:rPr>
          <w:rFonts w:cs="Times New Roman"/>
          <w:sz w:val="24"/>
          <w:szCs w:val="24"/>
        </w:rPr>
        <w:t> let se DM vyskytuje u více než 30 % populace, tedy v souvislosti se</w:t>
      </w:r>
      <w:r>
        <w:rPr>
          <w:rFonts w:cs="Times New Roman"/>
          <w:sz w:val="24"/>
          <w:szCs w:val="24"/>
        </w:rPr>
        <w:t> </w:t>
      </w:r>
      <w:r w:rsidRPr="004E2864">
        <w:rPr>
          <w:rFonts w:cs="Times New Roman"/>
          <w:sz w:val="24"/>
          <w:szCs w:val="24"/>
        </w:rPr>
        <w:t xml:space="preserve">stárnutím populace lze očekávat pokračující nárůst počtu pacientů. Pro rok 2030 je predikován výskyt diabetu u více než 1,3 milionu osob. </w:t>
      </w:r>
    </w:p>
    <w:p w:rsidR="00F63E76" w:rsidRPr="00A955AF" w:rsidP="00F63E76" w14:paraId="2AF91EA4" w14:textId="77777777">
      <w:pPr>
        <w:pStyle w:val="ListParagraph"/>
        <w:numPr>
          <w:ilvl w:val="0"/>
          <w:numId w:val="23"/>
        </w:numPr>
        <w:rPr>
          <w:rFonts w:cs="Times New Roman"/>
          <w:sz w:val="24"/>
          <w:szCs w:val="24"/>
        </w:rPr>
      </w:pPr>
      <w:r w:rsidRPr="00A955AF">
        <w:rPr>
          <w:rFonts w:cs="Times New Roman"/>
          <w:b/>
          <w:sz w:val="24"/>
          <w:szCs w:val="24"/>
        </w:rPr>
        <w:t>Chronická onemocnění dýchacích cest.</w:t>
      </w:r>
      <w:r w:rsidRPr="00A955AF">
        <w:rPr>
          <w:rFonts w:cs="Times New Roman"/>
          <w:sz w:val="24"/>
          <w:szCs w:val="24"/>
        </w:rPr>
        <w:t xml:space="preserve"> Chronická nemoc dolních cest dýchacích byla v roce 2017 zaznamenána u 330 tisíc obyvatel ČR (3,1 % populace). Počet nemocných se v jednotlivých krajích pohybuje od 25 do 37 případů na </w:t>
      </w:r>
      <w:r>
        <w:rPr>
          <w:rFonts w:cs="Times New Roman"/>
          <w:sz w:val="24"/>
          <w:szCs w:val="24"/>
        </w:rPr>
        <w:t>tisíc</w:t>
      </w:r>
      <w:r w:rsidRPr="00A955AF">
        <w:rPr>
          <w:rFonts w:cs="Times New Roman"/>
          <w:sz w:val="24"/>
          <w:szCs w:val="24"/>
        </w:rPr>
        <w:t xml:space="preserve"> obyvatel. Astmatem trpí půl milionu obyvatel ČR (4,9 % populace v roce 2017). Počet nemocných se v jednotlivých krajích pohybuje od 40 do 57 případů na </w:t>
      </w:r>
      <w:r>
        <w:rPr>
          <w:rFonts w:cs="Times New Roman"/>
          <w:sz w:val="24"/>
          <w:szCs w:val="24"/>
        </w:rPr>
        <w:t>tisíc</w:t>
      </w:r>
      <w:r w:rsidRPr="00A955AF">
        <w:rPr>
          <w:rFonts w:cs="Times New Roman"/>
          <w:sz w:val="24"/>
          <w:szCs w:val="24"/>
        </w:rPr>
        <w:t xml:space="preserve"> obyvatel. Počet astmatiků se významně zvyšuje meziročně v průměru až o 2,5 %.</w:t>
      </w:r>
    </w:p>
    <w:p w:rsidR="00F63E76" w:rsidRPr="00A955AF" w:rsidP="00F63E76" w14:paraId="3219464E" w14:textId="77777777">
      <w:pPr>
        <w:pStyle w:val="ListParagraph"/>
        <w:numPr>
          <w:ilvl w:val="0"/>
          <w:numId w:val="23"/>
        </w:numPr>
        <w:rPr>
          <w:rFonts w:cs="Times New Roman"/>
          <w:sz w:val="24"/>
          <w:szCs w:val="24"/>
        </w:rPr>
      </w:pPr>
      <w:r w:rsidRPr="00A955AF">
        <w:rPr>
          <w:rFonts w:cs="Times New Roman"/>
          <w:b/>
          <w:sz w:val="24"/>
          <w:szCs w:val="24"/>
        </w:rPr>
        <w:t>Hypertenze.</w:t>
      </w:r>
      <w:r w:rsidRPr="00A955AF">
        <w:rPr>
          <w:rFonts w:cs="Times New Roman"/>
          <w:sz w:val="24"/>
          <w:szCs w:val="24"/>
        </w:rPr>
        <w:t xml:space="preserve"> Počet pacientů léčených s hypertenzí v čase roste a představuje tak stále větší zátěž pro zdravotní systém. V roce 2017 mělo na dokladu vykázanou diagnózu I10 a zároveň bylo léčeno vybranými léky téměř dva miliony pacientů. Nárůst oproti roku 2016 je 11 499 osob, proti roku 2010 je to o 299 148 pacientů více. </w:t>
      </w:r>
    </w:p>
    <w:p w:rsidR="00F63E76" w:rsidRPr="00A955AF" w:rsidP="00F63E76" w14:paraId="0EAAF82E" w14:textId="77777777">
      <w:pPr>
        <w:pStyle w:val="ListParagraph"/>
        <w:numPr>
          <w:ilvl w:val="0"/>
          <w:numId w:val="23"/>
        </w:numPr>
        <w:rPr>
          <w:rFonts w:cs="Times New Roman"/>
          <w:sz w:val="24"/>
          <w:szCs w:val="24"/>
        </w:rPr>
      </w:pPr>
      <w:r w:rsidRPr="00A955AF">
        <w:rPr>
          <w:rFonts w:cs="Times New Roman"/>
          <w:b/>
          <w:sz w:val="24"/>
          <w:szCs w:val="24"/>
        </w:rPr>
        <w:t>Dlouhodobé hospitalizace u seniorů.</w:t>
      </w:r>
      <w:r w:rsidRPr="00A955AF">
        <w:rPr>
          <w:rFonts w:cs="Times New Roman"/>
          <w:sz w:val="24"/>
          <w:szCs w:val="24"/>
        </w:rPr>
        <w:t xml:space="preserve"> Za poslední roky počet hospitalizací delších než </w:t>
      </w:r>
      <w:r>
        <w:rPr>
          <w:rFonts w:cs="Times New Roman"/>
          <w:sz w:val="24"/>
          <w:szCs w:val="24"/>
        </w:rPr>
        <w:t>třicet</w:t>
      </w:r>
      <w:r w:rsidRPr="00A955AF">
        <w:rPr>
          <w:rFonts w:cs="Times New Roman"/>
          <w:sz w:val="24"/>
          <w:szCs w:val="24"/>
        </w:rPr>
        <w:t xml:space="preserve"> dní u pacientů nad 65 let stoupá průměrně o 1,3 % ročně. Tento trend signalizuje velmi pravděpodobný budoucí vývoj související se stárnutím české populace. </w:t>
      </w:r>
    </w:p>
    <w:p w:rsidR="00F63E76" w:rsidRPr="00A955AF" w:rsidP="00F63E76" w14:paraId="4FFFA805" w14:textId="77777777">
      <w:pPr>
        <w:pStyle w:val="ListParagraph"/>
        <w:numPr>
          <w:ilvl w:val="0"/>
          <w:numId w:val="23"/>
        </w:numPr>
        <w:rPr>
          <w:rFonts w:cs="Times New Roman"/>
          <w:sz w:val="24"/>
          <w:szCs w:val="24"/>
        </w:rPr>
      </w:pPr>
      <w:r w:rsidRPr="00A955AF">
        <w:rPr>
          <w:rFonts w:cs="Times New Roman"/>
          <w:b/>
          <w:sz w:val="24"/>
          <w:szCs w:val="24"/>
        </w:rPr>
        <w:t>Hospitalizace v závěru života chronicky nemocných pacientů.</w:t>
      </w:r>
      <w:r w:rsidRPr="00A955AF">
        <w:rPr>
          <w:rFonts w:cs="Times New Roman"/>
          <w:sz w:val="24"/>
          <w:szCs w:val="24"/>
        </w:rPr>
        <w:t xml:space="preserve"> Dostupná data Národního registru hospitalizací dokládají, že v posledním půlroce života absolvuje více než polovina pacientů opakované hospitalizace a téměř z 15 % více než tři hospitalizační pobyty. Evidentně se tak projevují rezervy v organizaci péče, neboť řadě těchto hospitalizací </w:t>
      </w:r>
      <w:r>
        <w:rPr>
          <w:rFonts w:cs="Times New Roman"/>
          <w:sz w:val="24"/>
          <w:szCs w:val="24"/>
        </w:rPr>
        <w:t>lz</w:t>
      </w:r>
      <w:r w:rsidRPr="00A955AF">
        <w:rPr>
          <w:rFonts w:cs="Times New Roman"/>
          <w:sz w:val="24"/>
          <w:szCs w:val="24"/>
        </w:rPr>
        <w:t xml:space="preserve">e předejít efektivním managementem péče o umírající. Velmi četné hospitalizace u více než 15 % pacientů v posledním půlroce života vykazuje </w:t>
      </w:r>
      <w:r>
        <w:rPr>
          <w:rFonts w:cs="Times New Roman"/>
          <w:sz w:val="24"/>
          <w:szCs w:val="24"/>
        </w:rPr>
        <w:t>šest</w:t>
      </w:r>
      <w:r w:rsidRPr="00A955AF">
        <w:rPr>
          <w:rFonts w:cs="Times New Roman"/>
          <w:sz w:val="24"/>
          <w:szCs w:val="24"/>
        </w:rPr>
        <w:t xml:space="preserve"> krajů ČR. </w:t>
      </w:r>
    </w:p>
    <w:p w:rsidR="00F63E76" w:rsidRPr="00A955AF" w:rsidP="00F63E76" w14:paraId="1DDDA135" w14:textId="77777777">
      <w:pPr>
        <w:rPr>
          <w:rFonts w:cs="Times New Roman"/>
          <w:sz w:val="24"/>
        </w:rPr>
      </w:pPr>
      <w:r w:rsidRPr="00A955AF">
        <w:rPr>
          <w:rFonts w:cs="Times New Roman"/>
          <w:sz w:val="24"/>
        </w:rPr>
        <w:t xml:space="preserve">Je objektivní skutečností, že české zdravotnictví vstupuje do procesů změn organizace a integrace různých forem péče nepřipraveno. Téměř všechny hlavní segmenty péče charakterizuje více či méně oddělený systém zdravotních a sociálních služeb, jejichž propojení je těžkopádné, mnohdy s legislativními překážkami. Provedené analýzy kapacit různých kategorií poskytovatelů ukazují na nedostatečnou saturaci zdravotních a sociálních potřeb pacientů s různou mírou nutné podpory. Je dokladována vysoká heterogenita ve struktuře zdravotně sociálních a sociálních služeb mezi regiony ČR, což značí absenci ucelené koncepce </w:t>
      </w:r>
      <w:r w:rsidRPr="00A955AF">
        <w:rPr>
          <w:rFonts w:cs="Times New Roman"/>
          <w:sz w:val="24"/>
        </w:rPr>
        <w:t xml:space="preserve">integrovaných modelů péče. Následující shrnutí dostupných datových zdrojů popisuje vybrané problémy, na jejichž řešení bude nutné se prioritně zaměřit: </w:t>
      </w:r>
    </w:p>
    <w:p w:rsidR="00F63E76" w:rsidRPr="00A955AF" w:rsidP="00F63E76" w14:paraId="5A7E3C7A" w14:textId="77777777">
      <w:pPr>
        <w:pStyle w:val="ListParagraph"/>
        <w:numPr>
          <w:ilvl w:val="0"/>
          <w:numId w:val="64"/>
        </w:numPr>
        <w:rPr>
          <w:rFonts w:cs="Times New Roman"/>
          <w:sz w:val="24"/>
          <w:szCs w:val="24"/>
        </w:rPr>
      </w:pPr>
      <w:r w:rsidRPr="00A955AF">
        <w:rPr>
          <w:rFonts w:cs="Times New Roman"/>
          <w:b/>
          <w:sz w:val="24"/>
          <w:szCs w:val="24"/>
        </w:rPr>
        <w:t xml:space="preserve">Poskytovatelé sociálních služeb. </w:t>
      </w:r>
      <w:r w:rsidRPr="00A955AF">
        <w:rPr>
          <w:rFonts w:cs="Times New Roman"/>
          <w:sz w:val="24"/>
          <w:szCs w:val="24"/>
        </w:rPr>
        <w:t xml:space="preserve">Z dostupných přehledů o počtech poskytovatelů sociálních služeb (MPSV) vyplývá, že distribuce kapacit je mezi jednotlivými regiony ČR značně rozdílná. V některých kategoriích je mezi regiony ČR významný nepoměr a řada forem služeb není v některých regionech vůbec zastoupena. Mezi nejčastější a také relativně rovnoměrně zastoupené typy sociálních služeb patří sociální poradny, domovy pro seniory, domovy pro osoby se zdravotním postižením, domovy se zvláštním režimem, a částečně též centra sociálně rehabilitačních služeb. U celkově četných azylových domů a chráněného bydlení existují některé zcela nepokryté regiony. Následující typy služeb jsou významně méně četné a nejsou dostupné v řadě regionů ČR: centra denních služeb, týdenní stacionáře, nízkoprahová denní centra, intervenční centra, zařízení následné péče a další. Poskytovatelé sociálních služeb vykazují chybějící kapacitu vyjádřenou v počtu, resp. podílu neuspokojených klientů v daném kalendářním roce. Z dostupných dat vyplývá, že celkový podíl neuspokojených žadatelů (klientů) za všechny regiony ČR je 20 %, přičemž např. ve Středočeském kraji je to 32 %; nejvyšší podíl je ve Zlínském kraji, a to 39 %. V absolutním počtu neuspokojených klientů dominují nejlidnatější regiony, tedy Praha, Jihomoravský kraj, Moravskoslezský kraj. </w:t>
      </w:r>
    </w:p>
    <w:p w:rsidR="00F63E76" w:rsidRPr="00A955AF" w:rsidP="00F63E76" w14:paraId="37E30670" w14:textId="77777777">
      <w:pPr>
        <w:pStyle w:val="ListParagraph"/>
        <w:numPr>
          <w:ilvl w:val="0"/>
          <w:numId w:val="64"/>
        </w:numPr>
        <w:rPr>
          <w:rFonts w:cs="Times New Roman"/>
          <w:sz w:val="24"/>
          <w:szCs w:val="24"/>
        </w:rPr>
      </w:pPr>
      <w:r w:rsidRPr="00A955AF">
        <w:rPr>
          <w:rFonts w:cs="Times New Roman"/>
          <w:b/>
          <w:sz w:val="24"/>
          <w:szCs w:val="24"/>
        </w:rPr>
        <w:t>Domácí péče.</w:t>
      </w:r>
      <w:r w:rsidRPr="00A955AF">
        <w:rPr>
          <w:rFonts w:cs="Times New Roman"/>
          <w:sz w:val="24"/>
          <w:szCs w:val="24"/>
        </w:rPr>
        <w:t xml:space="preserve"> Ročně je v domácí péči léčeno necelých 150 tisíc obyvatel (1,36 % populace v roce 2017), přičemž mezi kraji jsou výrazné rozdíly v počtu osob léčených v domácí péči. Nicméně nárůst počtu osob v domácí péč</w:t>
      </w:r>
      <w:r>
        <w:rPr>
          <w:rFonts w:cs="Times New Roman"/>
          <w:sz w:val="24"/>
          <w:szCs w:val="24"/>
        </w:rPr>
        <w:t>i</w:t>
      </w:r>
      <w:r w:rsidRPr="00A955AF">
        <w:rPr>
          <w:rFonts w:cs="Times New Roman"/>
          <w:sz w:val="24"/>
          <w:szCs w:val="24"/>
        </w:rPr>
        <w:t xml:space="preserve"> v letech 2010–2017 je patrný ve všech krajích, ale s rozdílnou intenzitou. Ve Středočeském kraji narůstá počet osob v domácí péči o 6 % ročně, zatímco v Jihočeském a Karlovarském kraji je nárůst pouze o 1 % za rok.</w:t>
      </w:r>
    </w:p>
    <w:p w:rsidR="00F63E76" w:rsidRPr="00BF108D" w:rsidP="00F63E76" w14:paraId="1B7AC2AB" w14:textId="77777777">
      <w:pPr>
        <w:pStyle w:val="ListParagraph"/>
        <w:numPr>
          <w:ilvl w:val="0"/>
          <w:numId w:val="64"/>
        </w:numPr>
        <w:rPr>
          <w:rFonts w:cs="Times New Roman"/>
          <w:sz w:val="24"/>
          <w:szCs w:val="24"/>
        </w:rPr>
      </w:pPr>
      <w:r w:rsidRPr="00A955AF">
        <w:rPr>
          <w:rFonts w:cs="Times New Roman"/>
          <w:b/>
          <w:sz w:val="24"/>
          <w:szCs w:val="24"/>
        </w:rPr>
        <w:t>Dlouhodobá péče.</w:t>
      </w:r>
      <w:r w:rsidRPr="00A955AF">
        <w:rPr>
          <w:rFonts w:cs="Times New Roman"/>
          <w:sz w:val="24"/>
          <w:szCs w:val="24"/>
        </w:rPr>
        <w:t xml:space="preserve"> Poptávka po dlouhodobé péči se v ČR v posledních letech zvýšila, stejně jako v ostatních zemích OECD. Dopad stárnutí populace již v současnosti zvyšuje tlak na kapacity v segmentu dlouhodobé péče. Předpokládá se, že podíl obyvatelstva ve věku </w:t>
      </w:r>
      <w:r>
        <w:rPr>
          <w:rFonts w:cs="Times New Roman"/>
          <w:sz w:val="24"/>
          <w:szCs w:val="24"/>
        </w:rPr>
        <w:t>osmdesáti</w:t>
      </w:r>
      <w:r w:rsidRPr="00A955AF">
        <w:rPr>
          <w:rFonts w:cs="Times New Roman"/>
          <w:sz w:val="24"/>
          <w:szCs w:val="24"/>
        </w:rPr>
        <w:t xml:space="preserve"> let a více stoupne ze 4 % v roce 2015 na 9 % do roku 2050. Současná organizace a financování dlouhodobé péče nejsou dostatečné pro absorbování takového navýšení poptávky. Výdaje na dlouhodobou péči představovaly v roce 2015 1,3 % HDP, z čehož 82 % představuje lůžková dlouhodobá péče. Je zapotřebí podporovat rozvoj pečovatelských zařízení a harmonizovat politiku úhrad zdravotní péče poskytované v nemocnicích a jiných zařízeních. Rozvoj komplexní domácí péče by měl být upřednostňován jako alternativa k dlouhé hospitalizaci.</w:t>
      </w:r>
    </w:p>
    <w:p w:rsidR="00F63E76" w:rsidRPr="00A955AF" w:rsidP="00F63E76" w14:paraId="4F8AD4A4" w14:textId="77777777">
      <w:pPr>
        <w:rPr>
          <w:rFonts w:cs="Times New Roman"/>
          <w:sz w:val="24"/>
        </w:rPr>
      </w:pPr>
      <w:r w:rsidRPr="00A955AF">
        <w:rPr>
          <w:rFonts w:cs="Times New Roman"/>
          <w:sz w:val="24"/>
        </w:rPr>
        <w:t xml:space="preserve">Významným strategickým cílem musí být </w:t>
      </w:r>
      <w:r w:rsidRPr="00A955AF">
        <w:rPr>
          <w:rFonts w:cs="Times New Roman"/>
          <w:b/>
          <w:sz w:val="24"/>
        </w:rPr>
        <w:t>integrace včasné paliativní péče a péče v závěru života</w:t>
      </w:r>
      <w:r w:rsidRPr="00A955AF">
        <w:rPr>
          <w:rFonts w:cs="Times New Roman"/>
          <w:sz w:val="24"/>
        </w:rPr>
        <w:t xml:space="preserve"> do systému péče. Kvalifikované odhady z vyspělých zemí západního světa deklarují potřebu některé z forem paliativní péče u 60</w:t>
      </w:r>
      <w:r>
        <w:rPr>
          <w:rFonts w:cstheme="minorHAnsi"/>
          <w:sz w:val="24"/>
        </w:rPr>
        <w:t>‒</w:t>
      </w:r>
      <w:r w:rsidRPr="00A955AF">
        <w:rPr>
          <w:rFonts w:cs="Times New Roman"/>
          <w:sz w:val="24"/>
        </w:rPr>
        <w:t xml:space="preserve">80 % všech úmrtí. Populace ČR vzhledem ke struktuře mortality bude generovat přibližně stejný objem péče v závěru života. Recentní data Listu o prohlídce zemřelých ukazují, že téměř 78 % všech úmrtí spadá do diagnostických skupin, které jsou relevantní pro paliativní péči. Tzv. očekávatelná úmrtí jsou výzvou pro integrované modely organizace péče, neboť vhodnou kombinací a dostupností služeb z různých segmentů lze dosáhnout nejen vyšší kvality, ale i úspory nákladů. Kombinace služeb poskytovaných v domácím prostředí pacientů, mobilních služeb a služeb specializovaných týmů může přinést snížení počtu akutních hospitalizací v závěru života pacientů. </w:t>
      </w:r>
    </w:p>
    <w:p w:rsidR="00F63E76" w:rsidRPr="00A955AF" w:rsidP="00F63E76" w14:paraId="1C0C6C1A" w14:textId="77777777">
      <w:pPr>
        <w:rPr>
          <w:rFonts w:cs="Times New Roman"/>
          <w:sz w:val="24"/>
        </w:rPr>
      </w:pPr>
      <w:r w:rsidRPr="00A955AF">
        <w:rPr>
          <w:rFonts w:cs="Times New Roman"/>
          <w:sz w:val="24"/>
        </w:rPr>
        <w:t xml:space="preserve">Celkem 59,2 % všech úmrtí v ČR lze na základě úmrtní diagnózy a hospitalizační historie zpětně označit jako úmrtí z chronické příčiny. U těchto úmrtí lze předpokládat značnou míru </w:t>
      </w:r>
      <w:r w:rsidRPr="00A955AF">
        <w:rPr>
          <w:rFonts w:cs="Times New Roman"/>
          <w:sz w:val="24"/>
        </w:rPr>
        <w:t>očekávatelnosti a vysokou pravděpodobnost potřeby některé z forem paliativní péče. Tento</w:t>
      </w:r>
      <w:r>
        <w:rPr>
          <w:rFonts w:cs="Times New Roman"/>
          <w:sz w:val="24"/>
        </w:rPr>
        <w:t> </w:t>
      </w:r>
      <w:r w:rsidRPr="00A955AF">
        <w:rPr>
          <w:rFonts w:cs="Times New Roman"/>
          <w:sz w:val="24"/>
        </w:rPr>
        <w:t xml:space="preserve">podíl představuje cca </w:t>
      </w:r>
      <w:r>
        <w:rPr>
          <w:rFonts w:cs="Times New Roman"/>
          <w:sz w:val="24"/>
        </w:rPr>
        <w:t>šedesát</w:t>
      </w:r>
      <w:r w:rsidRPr="00A955AF">
        <w:rPr>
          <w:rFonts w:cs="Times New Roman"/>
          <w:sz w:val="24"/>
        </w:rPr>
        <w:t xml:space="preserve"> tisíc zemřelých ročně.</w:t>
      </w:r>
    </w:p>
    <w:p w:rsidR="00F63E76" w:rsidP="00F63E76" w14:paraId="239BD0BA" w14:textId="77777777">
      <w:pPr>
        <w:rPr>
          <w:rFonts w:cs="Times New Roman"/>
          <w:sz w:val="24"/>
        </w:rPr>
      </w:pPr>
      <w:r w:rsidRPr="00A955AF">
        <w:rPr>
          <w:rFonts w:cs="Times New Roman"/>
          <w:sz w:val="24"/>
        </w:rPr>
        <w:t>Ačkoli v období 2014</w:t>
      </w:r>
      <w:r>
        <w:rPr>
          <w:rFonts w:cs="Times New Roman"/>
          <w:sz w:val="24"/>
        </w:rPr>
        <w:t>–</w:t>
      </w:r>
      <w:r w:rsidRPr="00A955AF">
        <w:rPr>
          <w:rFonts w:cs="Times New Roman"/>
          <w:sz w:val="24"/>
        </w:rPr>
        <w:t>2018 došlo v ČR v oblasti podpory paliativní péče a péče v závěru života k řadě pozitivních kroků a proběhly pilotní projekty zaměřené na mobilní paliativní péči</w:t>
      </w:r>
      <w:r>
        <w:rPr>
          <w:rFonts w:cs="Times New Roman"/>
          <w:sz w:val="24"/>
        </w:rPr>
        <w:t>,</w:t>
      </w:r>
      <w:r w:rsidRPr="00A955AF">
        <w:rPr>
          <w:rFonts w:cs="Times New Roman"/>
          <w:sz w:val="24"/>
        </w:rPr>
        <w:t xml:space="preserve"> v mnoha regionech stále chybí komplexní model víceúrovňové a formami dostatečně heterogenní paliativní péče. Zejména kapacity zaměřené na domácí hospicovou péči nejsou dostatečné. To v řadě regionů vede k nadužívání nemocniční péče, typicky spojené s výjezdy zdravotnické záchranné služby. Tato oblast se musí v následujícím období stát jednou z priorit reorganizace zdravotních služeb, neboť představuje velký potenciál pro úsporu dostupných kapacit českého zdravotnictví. </w:t>
      </w:r>
    </w:p>
    <w:p w:rsidR="00F63E76" w:rsidP="00A458DB" w14:paraId="2EC70143" w14:textId="5B5CC1A1">
      <w:pPr>
        <w:rPr>
          <w:rFonts w:cs="Times New Roman"/>
          <w:sz w:val="24"/>
        </w:rPr>
      </w:pPr>
      <w:r w:rsidRPr="00A955AF">
        <w:rPr>
          <w:rFonts w:cs="Times New Roman"/>
          <w:sz w:val="24"/>
        </w:rPr>
        <w:t>Současné epidemiologické trendy indikují výrazný nárůst potřeb zdravotně sociálních a sociálních služeb v péči o chronicky nemocné pacienty, zejména o dlouhodobě nemocné seniory</w:t>
      </w:r>
      <w:r>
        <w:rPr>
          <w:rFonts w:cs="Times New Roman"/>
          <w:sz w:val="24"/>
        </w:rPr>
        <w:t xml:space="preserve"> (specifický cíl 2.7)</w:t>
      </w:r>
      <w:r w:rsidRPr="00A955AF">
        <w:rPr>
          <w:rFonts w:cs="Times New Roman"/>
          <w:sz w:val="24"/>
        </w:rPr>
        <w:t>. Rostoucí počet nemocných vyžadujících dlouhodobou péči je predikován i do budoucna a vytváří tak tlak na zavádění nových modelů organizace péče, efektivně integrující péči primární, ambulantní a nemocniční a nastavující vyvážený poměr mezi lůžkovou péčí akutní a následnou.</w:t>
      </w:r>
    </w:p>
    <w:p w:rsidR="00A458DB" w:rsidRPr="00A458DB" w:rsidP="00A458DB" w14:paraId="0B4580C9" w14:textId="77777777">
      <w:pPr>
        <w:rPr>
          <w:rFonts w:cs="Times New Roman"/>
          <w:sz w:val="24"/>
        </w:rPr>
      </w:pPr>
    </w:p>
    <w:p w:rsidR="00F63E76" w:rsidP="0070747B" w14:paraId="3D6EBB8F" w14:textId="179B5884">
      <w:pPr>
        <w:pStyle w:val="Podkapitola111opaten"/>
        <w:numPr>
          <w:ilvl w:val="2"/>
          <w:numId w:val="44"/>
        </w:numPr>
        <w:ind w:left="1134" w:hanging="360"/>
        <w:jc w:val="both"/>
      </w:pPr>
      <w:bookmarkStart w:id="513" w:name="_Toc256000045"/>
      <w:r w:rsidRPr="004C0CFB">
        <w:t>Specifický cíl 2.</w:t>
      </w:r>
      <w:r>
        <w:t>6</w:t>
      </w:r>
      <w:r w:rsidRPr="00225F93">
        <w:t xml:space="preserve"> ‒ </w:t>
      </w:r>
      <w:r>
        <w:t>Péče o duševní zdraví</w:t>
      </w:r>
      <w:bookmarkEnd w:id="513"/>
    </w:p>
    <w:p w:rsidR="00102850" w:rsidRPr="00A955AF" w:rsidP="00102850" w14:paraId="45E55D08" w14:textId="7E55C89B">
      <w:pPr>
        <w:rPr>
          <w:rFonts w:cs="Times New Roman"/>
          <w:sz w:val="24"/>
        </w:rPr>
      </w:pPr>
      <w:r>
        <w:rPr>
          <w:rFonts w:cs="Times New Roman"/>
          <w:sz w:val="24"/>
        </w:rPr>
        <w:t>S předchozím specifickým cílem úzce souvisí oblast zaměřená na</w:t>
      </w:r>
      <w:r w:rsidRPr="00A955AF">
        <w:rPr>
          <w:rFonts w:cs="Times New Roman"/>
          <w:sz w:val="24"/>
        </w:rPr>
        <w:t xml:space="preserve"> reformu péče o osoby s duševním onemocněním, což znamená zejména posilování procesů destigmatizace těchto zdravotních problémů, posilování dostupnosti multioborové péče v komunitním prostředí a posilování rovnosti přístupu ke zdravotním a sociálním službám u zranitelné a početně významné populace osob s duševním onemocněním. </w:t>
      </w:r>
    </w:p>
    <w:p w:rsidR="00102850" w:rsidRPr="00A955AF" w:rsidP="00102850" w14:paraId="0B2EDC0B" w14:textId="77777777">
      <w:pPr>
        <w:pStyle w:val="Bntext"/>
        <w:spacing w:line="240" w:lineRule="auto"/>
        <w:ind w:firstLine="0"/>
        <w:rPr>
          <w:rFonts w:asciiTheme="minorHAnsi" w:hAnsiTheme="minorHAnsi"/>
          <w:sz w:val="24"/>
          <w:lang w:val="cs-CZ"/>
        </w:rPr>
      </w:pPr>
      <w:r w:rsidRPr="00A955AF">
        <w:rPr>
          <w:rFonts w:asciiTheme="minorHAnsi" w:hAnsiTheme="minorHAnsi"/>
          <w:sz w:val="24"/>
          <w:lang w:val="cs-CZ"/>
        </w:rPr>
        <w:t>ČR dosáhla významného zlepšení, pokud jde o pokrytí a léčbu v oblasti péče o duševní zdraví. Došlo k posunu od lůžkové péče směrem k ambulantní péči. Počet osob ambulantně léčených pro duševní onemocnění se od roku 2000 zdvojnásobil na téměř 700 000, zatímco využívání hospitalizací pokleslo. V současnosti je za pomoci evropských finančních prostředků realizována reforma, jejímž cílem je zejména zlepšit kvalitu života osob s duševním onemocněním prostřednictvím restrukturalizace služeb a nového přístupu k podpoře pacientů. Nový přístup si klade za cíl zajistit včasnou diagnostiku a léčbu základních duševních poruch prostřednictvím lepší spolupráce mezi primární péčí a specializovanými psychiatrickými službami. Bude rozšířena síť stávajících ambulantních psychiatrických a psychologických služeb, vytvořena síť multidisciplinárních terénních týmů a dalších služeb komunitní péče.</w:t>
      </w:r>
    </w:p>
    <w:p w:rsidR="00102850" w:rsidRPr="00A955AF" w:rsidP="00102850" w14:paraId="1FBC4733" w14:textId="77777777">
      <w:pPr>
        <w:rPr>
          <w:rFonts w:cs="Times New Roman"/>
          <w:sz w:val="24"/>
        </w:rPr>
      </w:pPr>
      <w:r w:rsidRPr="00A955AF">
        <w:rPr>
          <w:rFonts w:cs="Times New Roman"/>
          <w:sz w:val="24"/>
        </w:rPr>
        <w:t xml:space="preserve">Psychiatrická péče a počty pacientů s duševním onemocněním představují objemem velký segment českého zdravotnictví. V posledních letech roste počet pacientů v ambulantních a lůžkových zdravotnických zařízeních psychiatrické péče: </w:t>
      </w:r>
    </w:p>
    <w:p w:rsidR="00102850" w:rsidRPr="00A955AF" w:rsidP="00102850" w14:paraId="150421A8" w14:textId="1CBF5D96">
      <w:pPr>
        <w:pStyle w:val="ListParagraph"/>
        <w:numPr>
          <w:ilvl w:val="0"/>
          <w:numId w:val="24"/>
        </w:numPr>
        <w:rPr>
          <w:rFonts w:cs="Times New Roman"/>
          <w:sz w:val="24"/>
        </w:rPr>
      </w:pPr>
      <w:r w:rsidRPr="00A955AF">
        <w:rPr>
          <w:rFonts w:cs="Times New Roman"/>
          <w:sz w:val="24"/>
        </w:rPr>
        <w:t xml:space="preserve">Přibývá především duševních poruch dětí a mladistvých a neurodegenerativních poruch ve stáří. Velký nárůst pacientů je zaznamenán i u </w:t>
      </w:r>
      <w:r w:rsidRPr="00A955AF" w:rsidR="00E22AF8">
        <w:rPr>
          <w:rFonts w:cs="Times New Roman"/>
          <w:sz w:val="24"/>
        </w:rPr>
        <w:t>neurotických‚</w:t>
      </w:r>
      <w:r w:rsidR="00E22AF8">
        <w:rPr>
          <w:rFonts w:cs="Times New Roman"/>
          <w:sz w:val="24"/>
        </w:rPr>
        <w:t xml:space="preserve"> </w:t>
      </w:r>
      <w:r>
        <w:rPr>
          <w:rFonts w:cs="Times New Roman"/>
          <w:sz w:val="24"/>
        </w:rPr>
        <w:t>stresových</w:t>
      </w:r>
      <w:r w:rsidRPr="00A955AF">
        <w:rPr>
          <w:rFonts w:cs="Times New Roman"/>
          <w:sz w:val="24"/>
        </w:rPr>
        <w:t xml:space="preserve"> a somatoformních poruch u dospělých. Tato skupina tvoří i největší podíl všech pacientů (téměř 40 %). Nejčastěji se jedná o jiné anxiózní poruchy (F41, především smíšená úzkostná a depresivní porucha, panická porucha a generalizovaná úzkostná porucha) a reakce na těžký stres a poruchy přizpůsobení (F43). </w:t>
      </w:r>
    </w:p>
    <w:p w:rsidR="00102850" w:rsidRPr="00A955AF" w:rsidP="00102850" w14:paraId="5A8BF15D" w14:textId="77777777">
      <w:pPr>
        <w:pStyle w:val="ListParagraph"/>
        <w:numPr>
          <w:ilvl w:val="0"/>
          <w:numId w:val="24"/>
        </w:numPr>
        <w:rPr>
          <w:rFonts w:cs="Times New Roman"/>
          <w:sz w:val="24"/>
        </w:rPr>
      </w:pPr>
      <w:r w:rsidRPr="00A955AF">
        <w:rPr>
          <w:rFonts w:cs="Times New Roman"/>
          <w:sz w:val="24"/>
        </w:rPr>
        <w:t>Hospitalizační zátěž diagnózami F00</w:t>
      </w:r>
      <w:r>
        <w:rPr>
          <w:rFonts w:cs="Times New Roman"/>
          <w:sz w:val="24"/>
        </w:rPr>
        <w:t>–</w:t>
      </w:r>
      <w:r w:rsidRPr="00A955AF">
        <w:rPr>
          <w:rFonts w:cs="Times New Roman"/>
          <w:sz w:val="24"/>
        </w:rPr>
        <w:t xml:space="preserve">F99 je v ČR velmi vysoká, i když celkový počet hospitalizací u osob s duševním onemocněním recentně klesá. Ročně v ČR proběhne </w:t>
      </w:r>
      <w:r w:rsidRPr="00A955AF">
        <w:rPr>
          <w:rFonts w:cs="Times New Roman"/>
          <w:sz w:val="24"/>
        </w:rPr>
        <w:t xml:space="preserve">více než 78 000 hospitalizací, u kterých je psychiatrická diagnóza uvedena jako hlavní příčina. Často jde o hospitalizace daným pacientem vícekrát ročně opakované, celkový index ročního počtu hospitalizací na pacienta činí 1,33. </w:t>
      </w:r>
    </w:p>
    <w:p w:rsidR="00102850" w:rsidRPr="00A955AF" w:rsidP="00102850" w14:paraId="45B753A1" w14:textId="77777777">
      <w:pPr>
        <w:pStyle w:val="ListParagraph"/>
        <w:numPr>
          <w:ilvl w:val="0"/>
          <w:numId w:val="24"/>
        </w:numPr>
        <w:rPr>
          <w:rFonts w:cs="Times New Roman"/>
          <w:sz w:val="24"/>
        </w:rPr>
      </w:pPr>
      <w:r w:rsidRPr="00A955AF">
        <w:rPr>
          <w:rFonts w:cs="Times New Roman"/>
          <w:sz w:val="24"/>
        </w:rPr>
        <w:t>Psychiatrické diagnózy tvoří přibližně 3,4 % všech hospitalizačních pobytů, avšak u věkové skupiny 11</w:t>
      </w:r>
      <w:r>
        <w:rPr>
          <w:rFonts w:cs="Times New Roman"/>
          <w:sz w:val="24"/>
        </w:rPr>
        <w:t>–</w:t>
      </w:r>
      <w:r w:rsidRPr="00A955AF">
        <w:rPr>
          <w:rFonts w:cs="Times New Roman"/>
          <w:sz w:val="24"/>
        </w:rPr>
        <w:t>20 let je to 7,2 % a u osob ve věku 21</w:t>
      </w:r>
      <w:r>
        <w:rPr>
          <w:rFonts w:cs="Times New Roman"/>
          <w:sz w:val="24"/>
        </w:rPr>
        <w:t>–</w:t>
      </w:r>
      <w:r w:rsidRPr="00A955AF">
        <w:rPr>
          <w:rFonts w:cs="Times New Roman"/>
          <w:sz w:val="24"/>
        </w:rPr>
        <w:t>50 let jde o 5</w:t>
      </w:r>
      <w:r>
        <w:rPr>
          <w:rFonts w:cs="Times New Roman"/>
          <w:sz w:val="24"/>
        </w:rPr>
        <w:t>–</w:t>
      </w:r>
      <w:r w:rsidRPr="00A955AF">
        <w:rPr>
          <w:rFonts w:cs="Times New Roman"/>
          <w:sz w:val="24"/>
        </w:rPr>
        <w:t xml:space="preserve">6 % všech hospitalizačních pobytů. </w:t>
      </w:r>
    </w:p>
    <w:p w:rsidR="00102850" w:rsidP="00102850" w14:paraId="25100EF9" w14:textId="77777777">
      <w:pPr>
        <w:pStyle w:val="ListParagraph"/>
        <w:numPr>
          <w:ilvl w:val="0"/>
          <w:numId w:val="24"/>
        </w:numPr>
        <w:rPr>
          <w:rFonts w:cs="Times New Roman"/>
          <w:sz w:val="24"/>
        </w:rPr>
      </w:pPr>
      <w:r w:rsidRPr="00A955AF">
        <w:rPr>
          <w:rFonts w:cs="Times New Roman"/>
          <w:sz w:val="24"/>
        </w:rPr>
        <w:t>Tato stále enormní zátěž zatěžuje nemocnice a zejména segment akutní lůžkové péče. Z těchto důvodů je rozvoj reformy psychiatrické péče zařazen jako jeden z principiálních dílčích cílů Strategického rámce Zdraví 2030. Cílovým stavem je podstatné snížení konzumace neakutních hospitalizačních služeb osobami s duševním onemocněním a zajištění účinné pomoci pro ně v následné lůžkové péči a zajištění účinné pomoci osobám s duševním onemocněním v komunitních službách.</w:t>
      </w:r>
    </w:p>
    <w:p w:rsidR="00102850" w:rsidRPr="00102850" w:rsidP="00102850" w14:paraId="6AA95892" w14:textId="77777777">
      <w:pPr>
        <w:ind w:left="360"/>
        <w:rPr>
          <w:rFonts w:cs="Times New Roman"/>
          <w:sz w:val="24"/>
        </w:rPr>
      </w:pPr>
    </w:p>
    <w:p w:rsidR="00C730DC" w:rsidP="0070747B" w14:paraId="7B0CB369" w14:textId="77777777">
      <w:pPr>
        <w:pStyle w:val="Podkapitola111opaten"/>
        <w:numPr>
          <w:ilvl w:val="2"/>
          <w:numId w:val="44"/>
        </w:numPr>
        <w:ind w:left="1134" w:hanging="360"/>
        <w:jc w:val="both"/>
      </w:pPr>
      <w:bookmarkStart w:id="514" w:name="_Toc256000046"/>
      <w:r w:rsidRPr="004C0CFB">
        <w:t>Specifický cíl 2.</w:t>
      </w:r>
      <w:r>
        <w:t>7</w:t>
      </w:r>
      <w:r w:rsidRPr="00225F93">
        <w:t xml:space="preserve"> ‒ </w:t>
      </w:r>
      <w:r>
        <w:t>Specializovaná zdravotní péče</w:t>
      </w:r>
      <w:bookmarkEnd w:id="514"/>
      <w:r>
        <w:t xml:space="preserve"> </w:t>
      </w:r>
    </w:p>
    <w:p w:rsidR="00102850" w:rsidRPr="00C730DC" w:rsidP="00C730DC" w14:paraId="713D47A5" w14:textId="456B925F">
      <w:pPr>
        <w:rPr>
          <w:rFonts w:cs="Times New Roman"/>
          <w:sz w:val="24"/>
        </w:rPr>
      </w:pPr>
      <w:r w:rsidRPr="00C730DC">
        <w:rPr>
          <w:rFonts w:cs="Times New Roman"/>
          <w:sz w:val="24"/>
        </w:rPr>
        <w:t>Specifický cíl rozpracovává vybrané oblasti specializované péče, které v rámci systému zdravotních služeb vyžadují zvláštní pozornost. Jedná se o geriatrickou péči, kardiologi</w:t>
      </w:r>
      <w:r w:rsidR="004726FF">
        <w:rPr>
          <w:rFonts w:cs="Times New Roman"/>
          <w:sz w:val="24"/>
        </w:rPr>
        <w:t>ckou péči</w:t>
      </w:r>
      <w:r w:rsidRPr="00C730DC">
        <w:rPr>
          <w:rFonts w:cs="Times New Roman"/>
          <w:sz w:val="24"/>
        </w:rPr>
        <w:t xml:space="preserve">, </w:t>
      </w:r>
      <w:r w:rsidR="004726FF">
        <w:rPr>
          <w:rFonts w:cs="Times New Roman"/>
          <w:sz w:val="24"/>
        </w:rPr>
        <w:t xml:space="preserve">léčebně </w:t>
      </w:r>
      <w:r w:rsidRPr="00C730DC">
        <w:rPr>
          <w:rFonts w:cs="Times New Roman"/>
          <w:sz w:val="24"/>
        </w:rPr>
        <w:t xml:space="preserve">rehabilitační péči, </w:t>
      </w:r>
      <w:r w:rsidR="004726FF">
        <w:rPr>
          <w:rFonts w:cs="Times New Roman"/>
          <w:sz w:val="24"/>
        </w:rPr>
        <w:t>prevenci a léčbu obezity</w:t>
      </w:r>
      <w:r w:rsidRPr="00C730DC">
        <w:rPr>
          <w:rFonts w:cs="Times New Roman"/>
          <w:sz w:val="24"/>
        </w:rPr>
        <w:t xml:space="preserve">, onkologickou péči, </w:t>
      </w:r>
      <w:r w:rsidRPr="00C730DC" w:rsidR="004726FF">
        <w:rPr>
          <w:rFonts w:cs="Times New Roman"/>
          <w:sz w:val="24"/>
        </w:rPr>
        <w:t>pediatri</w:t>
      </w:r>
      <w:r w:rsidR="004726FF">
        <w:rPr>
          <w:rFonts w:cs="Times New Roman"/>
          <w:sz w:val="24"/>
        </w:rPr>
        <w:t>ckou péči</w:t>
      </w:r>
      <w:r w:rsidRPr="00C730DC" w:rsidR="004726FF">
        <w:rPr>
          <w:rFonts w:cs="Times New Roman"/>
          <w:sz w:val="24"/>
        </w:rPr>
        <w:t xml:space="preserve"> </w:t>
      </w:r>
      <w:r w:rsidRPr="00C730DC">
        <w:rPr>
          <w:rFonts w:cs="Times New Roman"/>
          <w:sz w:val="24"/>
        </w:rPr>
        <w:t>a péči o těhotné ženy, ženy při porodu, ženy v poporodním období, novorozence a jejich rodiny.</w:t>
      </w:r>
    </w:p>
    <w:p w:rsidR="00436997" w:rsidP="00436997" w14:paraId="2E178D94" w14:textId="63D5B577">
      <w:pPr>
        <w:pStyle w:val="ListParagraph"/>
        <w:keepLines/>
        <w:widowControl w:val="0"/>
        <w:numPr>
          <w:ilvl w:val="0"/>
          <w:numId w:val="0"/>
        </w:numPr>
        <w:suppressAutoHyphens/>
        <w:rPr>
          <w:rFonts w:cs="Times New Roman"/>
          <w:sz w:val="24"/>
        </w:rPr>
      </w:pPr>
      <w:r w:rsidRPr="00C730DC">
        <w:rPr>
          <w:rFonts w:cs="Times New Roman"/>
          <w:b/>
          <w:bCs w:val="0"/>
          <w:sz w:val="24"/>
        </w:rPr>
        <w:t>Geriatri</w:t>
      </w:r>
      <w:r w:rsidR="004726FF">
        <w:rPr>
          <w:rFonts w:cs="Times New Roman"/>
          <w:b/>
          <w:bCs w:val="0"/>
          <w:sz w:val="24"/>
        </w:rPr>
        <w:t>cká péče</w:t>
      </w:r>
      <w:r>
        <w:rPr>
          <w:rFonts w:cs="Times New Roman"/>
          <w:b/>
          <w:bCs w:val="0"/>
          <w:sz w:val="24"/>
        </w:rPr>
        <w:t xml:space="preserve"> – Dle</w:t>
      </w:r>
      <w:r w:rsidRPr="00C730DC" w:rsidR="00C730DC">
        <w:rPr>
          <w:rFonts w:cs="Times New Roman"/>
          <w:sz w:val="24"/>
        </w:rPr>
        <w:t xml:space="preserve"> odhadů Eurostatu pro rok 2021 byla hodnota střední délky života při narození (naděje dožití) v ČR 77,4 let (kalkulováno pro obě pohlaví). Hodnota pro ČR je pod průměrem EU-27 o necelé 3 roky kratší a staví tak českou populaci na 17. pozici z 26 zemí EU (za Irsko není odhad k dispozici). </w:t>
      </w:r>
    </w:p>
    <w:p w:rsidR="00436997" w:rsidP="00436997" w14:paraId="20914CF7" w14:textId="340F2694">
      <w:pPr>
        <w:pStyle w:val="ListParagraph"/>
        <w:keepLines/>
        <w:widowControl w:val="0"/>
        <w:numPr>
          <w:ilvl w:val="0"/>
          <w:numId w:val="0"/>
        </w:numPr>
        <w:suppressAutoHyphens/>
        <w:rPr>
          <w:rFonts w:cs="Times New Roman"/>
          <w:sz w:val="24"/>
        </w:rPr>
      </w:pPr>
      <w:r w:rsidRPr="00C730DC">
        <w:rPr>
          <w:rFonts w:cs="Times New Roman"/>
          <w:sz w:val="24"/>
        </w:rPr>
        <w:t>Střední délka života při narození vykazuje v české populaci stejný trend jako průměr EU, dlouhodobě je ale významně nižší než průměr EU. Vlivem pandemie C</w:t>
      </w:r>
      <w:r>
        <w:rPr>
          <w:rFonts w:cs="Times New Roman"/>
          <w:sz w:val="24"/>
        </w:rPr>
        <w:t>ovid</w:t>
      </w:r>
      <w:r w:rsidRPr="00C730DC">
        <w:rPr>
          <w:rFonts w:cs="Times New Roman"/>
          <w:sz w:val="24"/>
        </w:rPr>
        <w:t>-19 došlo v letech 2020 a 2021 k výraznému poklesu tohoto ukazatele na úroveň dosahovanou před 10 lety. V</w:t>
      </w:r>
      <w:r w:rsidR="001D16A6">
        <w:rPr>
          <w:rFonts w:cs="Times New Roman"/>
          <w:sz w:val="24"/>
        </w:rPr>
        <w:t> </w:t>
      </w:r>
      <w:r w:rsidRPr="00C730DC">
        <w:rPr>
          <w:rFonts w:cs="Times New Roman"/>
          <w:sz w:val="24"/>
        </w:rPr>
        <w:t>roce 2021 poklesla střední délka života při narození vlivem pandemie C</w:t>
      </w:r>
      <w:r>
        <w:rPr>
          <w:rFonts w:cs="Times New Roman"/>
          <w:sz w:val="24"/>
        </w:rPr>
        <w:t>ovid</w:t>
      </w:r>
      <w:r w:rsidRPr="00C730DC">
        <w:rPr>
          <w:rFonts w:cs="Times New Roman"/>
          <w:sz w:val="24"/>
        </w:rPr>
        <w:t>-19 u žen na 80,6 let, což je o 1,6 roku méně, než činí historické maximum 82,2 let v roce 2019 a o 2,2 roku méně, než představuje současný průměr EU. Střední délka života při narození u mužů poklesla mezi roky 2019 až 2021 o 2,1 roku na 74,3 let, což je o 2,9 roku méně, než činí současný průměr EU.</w:t>
      </w:r>
    </w:p>
    <w:p w:rsidR="00436997" w:rsidP="00436997" w14:paraId="68568691" w14:textId="189F94F0">
      <w:pPr>
        <w:pStyle w:val="ListParagraph"/>
        <w:keepLines/>
        <w:widowControl w:val="0"/>
        <w:numPr>
          <w:ilvl w:val="0"/>
          <w:numId w:val="0"/>
        </w:numPr>
        <w:suppressAutoHyphens/>
        <w:rPr>
          <w:rFonts w:cs="Times New Roman"/>
          <w:sz w:val="24"/>
        </w:rPr>
      </w:pPr>
      <w:r w:rsidRPr="00C730DC">
        <w:rPr>
          <w:rFonts w:cs="Times New Roman"/>
          <w:sz w:val="24"/>
        </w:rPr>
        <w:t xml:space="preserve"> </w:t>
      </w:r>
      <w:r>
        <w:rPr>
          <w:rFonts w:cs="Times New Roman"/>
          <w:sz w:val="24"/>
        </w:rPr>
        <w:t>D</w:t>
      </w:r>
      <w:r w:rsidRPr="00C730DC">
        <w:rPr>
          <w:rFonts w:cs="Times New Roman"/>
          <w:sz w:val="24"/>
        </w:rPr>
        <w:t xml:space="preserve">le ECHI 2019 byl podíl osob ve věku 65-79 let v ČR o 1,2 % vyšší než průměr celé EU, čímž se řadila na 4. místo mezi státy s nejvyšším podílem uvedených osob. Podíl osob </w:t>
      </w:r>
      <w:r w:rsidRPr="00C730DC" w:rsidR="00E22AF8">
        <w:rPr>
          <w:rFonts w:cs="Times New Roman"/>
          <w:sz w:val="24"/>
        </w:rPr>
        <w:t>65–79</w:t>
      </w:r>
      <w:r w:rsidRPr="00C730DC">
        <w:rPr>
          <w:rFonts w:cs="Times New Roman"/>
          <w:sz w:val="24"/>
        </w:rPr>
        <w:t xml:space="preserve"> let byl v</w:t>
      </w:r>
      <w:r w:rsidR="001D16A6">
        <w:rPr>
          <w:rFonts w:cs="Times New Roman"/>
          <w:sz w:val="24"/>
        </w:rPr>
        <w:t> </w:t>
      </w:r>
      <w:r w:rsidRPr="00C730DC">
        <w:rPr>
          <w:rFonts w:cs="Times New Roman"/>
          <w:sz w:val="24"/>
        </w:rPr>
        <w:t xml:space="preserve">ČR 15,5 %, zatímco podíl v EU je 14,3 %. </w:t>
      </w:r>
    </w:p>
    <w:p w:rsidR="00436997" w:rsidP="00436997" w14:paraId="62CCEDDC" w14:textId="0FE56E0C">
      <w:pPr>
        <w:pStyle w:val="ListParagraph"/>
        <w:keepLines/>
        <w:widowControl w:val="0"/>
        <w:numPr>
          <w:ilvl w:val="0"/>
          <w:numId w:val="0"/>
        </w:numPr>
        <w:suppressAutoHyphens/>
        <w:rPr>
          <w:rFonts w:cs="Times New Roman"/>
          <w:sz w:val="24"/>
        </w:rPr>
      </w:pPr>
      <w:r w:rsidRPr="00C730DC">
        <w:rPr>
          <w:rFonts w:cs="Times New Roman"/>
          <w:sz w:val="24"/>
        </w:rPr>
        <w:t xml:space="preserve">V </w:t>
      </w:r>
      <w:r w:rsidR="001D16A6">
        <w:rPr>
          <w:rFonts w:cs="Times New Roman"/>
          <w:sz w:val="24"/>
        </w:rPr>
        <w:t>ČR</w:t>
      </w:r>
      <w:r w:rsidRPr="00C730DC">
        <w:rPr>
          <w:rFonts w:cs="Times New Roman"/>
          <w:sz w:val="24"/>
        </w:rPr>
        <w:t xml:space="preserve"> můžeme pozorovat zvyšování počtu osob starších 65 let i jejich podílu na populaci. Nejnižší podíl seniorů dlouhodobě vykazují Středočeský kraj a Hlavní město Praha. V</w:t>
      </w:r>
      <w:r w:rsidR="001D16A6">
        <w:rPr>
          <w:rFonts w:cs="Times New Roman"/>
          <w:sz w:val="24"/>
        </w:rPr>
        <w:t> </w:t>
      </w:r>
      <w:r w:rsidRPr="00C730DC">
        <w:rPr>
          <w:rFonts w:cs="Times New Roman"/>
          <w:sz w:val="24"/>
        </w:rPr>
        <w:t xml:space="preserve">roce 2021 byl v celé ČR průměrný podíl osob starších 65 let 20,6 %. </w:t>
      </w:r>
    </w:p>
    <w:p w:rsidR="00436997" w:rsidP="00436997" w14:paraId="6993D41B" w14:textId="4AF4CF82">
      <w:pPr>
        <w:pStyle w:val="ListParagraph"/>
        <w:keepLines/>
        <w:widowControl w:val="0"/>
        <w:numPr>
          <w:ilvl w:val="0"/>
          <w:numId w:val="0"/>
        </w:numPr>
        <w:suppressAutoHyphens/>
        <w:rPr>
          <w:rFonts w:cs="Times New Roman"/>
          <w:sz w:val="24"/>
        </w:rPr>
      </w:pPr>
      <w:r w:rsidRPr="00C730DC">
        <w:rPr>
          <w:rFonts w:cs="Times New Roman"/>
          <w:sz w:val="24"/>
        </w:rPr>
        <w:t>Do 15 let je očekávatelný nárůst nemocnosti v souvislosti s chorobami vyššího věku a</w:t>
      </w:r>
      <w:r>
        <w:rPr>
          <w:rFonts w:cs="Times New Roman"/>
          <w:sz w:val="24"/>
        </w:rPr>
        <w:t> </w:t>
      </w:r>
      <w:r w:rsidRPr="00C730DC">
        <w:rPr>
          <w:rFonts w:cs="Times New Roman"/>
          <w:sz w:val="24"/>
        </w:rPr>
        <w:t xml:space="preserve">seniorů. Do </w:t>
      </w:r>
      <w:r w:rsidRPr="00C730DC" w:rsidR="00E22AF8">
        <w:rPr>
          <w:rFonts w:cs="Times New Roman"/>
          <w:sz w:val="24"/>
        </w:rPr>
        <w:t>20–25</w:t>
      </w:r>
      <w:r w:rsidRPr="00C730DC">
        <w:rPr>
          <w:rFonts w:cs="Times New Roman"/>
          <w:sz w:val="24"/>
        </w:rPr>
        <w:t xml:space="preserve"> let pak prudký nárůst nemocnosti v souvislosti s chorobami vyššího věku a seniorů. Dále lze očekávat i nižší zastoupení mladších věkových skupin jako riziko poklesu porodnosti v</w:t>
      </w:r>
      <w:r w:rsidR="001D16A6">
        <w:rPr>
          <w:rFonts w:cs="Times New Roman"/>
          <w:sz w:val="24"/>
        </w:rPr>
        <w:t> </w:t>
      </w:r>
      <w:r w:rsidRPr="00C730DC">
        <w:rPr>
          <w:rFonts w:cs="Times New Roman"/>
          <w:sz w:val="24"/>
        </w:rPr>
        <w:t xml:space="preserve">následujících </w:t>
      </w:r>
      <w:r w:rsidRPr="00C730DC" w:rsidR="00E22AF8">
        <w:rPr>
          <w:rFonts w:cs="Times New Roman"/>
          <w:sz w:val="24"/>
        </w:rPr>
        <w:t>10–15</w:t>
      </w:r>
      <w:r w:rsidRPr="00C730DC">
        <w:rPr>
          <w:rFonts w:cs="Times New Roman"/>
          <w:sz w:val="24"/>
        </w:rPr>
        <w:t xml:space="preserve"> letech</w:t>
      </w:r>
      <w:r>
        <w:rPr>
          <w:rStyle w:val="FootnoteReference"/>
          <w:rFonts w:cs="Times New Roman"/>
          <w:sz w:val="24"/>
        </w:rPr>
        <w:footnoteReference w:id="36"/>
      </w:r>
      <w:r w:rsidRPr="00C730DC">
        <w:rPr>
          <w:rFonts w:cs="Times New Roman"/>
          <w:sz w:val="24"/>
        </w:rPr>
        <w:t xml:space="preserve">. </w:t>
      </w:r>
    </w:p>
    <w:p w:rsidR="00436997" w:rsidP="00436997" w14:paraId="2B0F669C" w14:textId="609DFC5E">
      <w:pPr>
        <w:pStyle w:val="ListParagraph"/>
        <w:keepLines/>
        <w:widowControl w:val="0"/>
        <w:numPr>
          <w:ilvl w:val="0"/>
          <w:numId w:val="0"/>
        </w:numPr>
        <w:suppressAutoHyphens/>
        <w:rPr>
          <w:rFonts w:cs="Times New Roman"/>
          <w:sz w:val="24"/>
        </w:rPr>
      </w:pPr>
      <w:r w:rsidRPr="00C730DC">
        <w:rPr>
          <w:rFonts w:cs="Times New Roman"/>
          <w:sz w:val="24"/>
        </w:rPr>
        <w:t>V ČR s věkem zásadně narůstá chronická nemocnost. U populace starší 65 let dosahuje podíl chronicky nemocných téměř 64 %, kdy chronická nemocnost pro celkovou populaci ČR je 36 %. Vysoká chronická nemocnost osob ve věku 65+ je výzvou pro zdravotní systém, která bude s pokračujícím demografickým stárnutím populace pravděpodobně narůstat</w:t>
      </w:r>
      <w:r>
        <w:rPr>
          <w:rStyle w:val="FootnoteReference"/>
          <w:rFonts w:cs="Times New Roman"/>
          <w:sz w:val="24"/>
        </w:rPr>
        <w:footnoteReference w:id="37"/>
      </w:r>
      <w:r w:rsidRPr="00C730DC">
        <w:rPr>
          <w:rFonts w:cs="Times New Roman"/>
          <w:sz w:val="24"/>
        </w:rPr>
        <w:t xml:space="preserve">. </w:t>
      </w:r>
    </w:p>
    <w:p w:rsidR="00C730DC" w:rsidP="00436997" w14:paraId="58EE3F1C" w14:textId="15143FE0">
      <w:pPr>
        <w:pStyle w:val="ListParagraph"/>
        <w:keepLines/>
        <w:widowControl w:val="0"/>
        <w:numPr>
          <w:ilvl w:val="0"/>
          <w:numId w:val="0"/>
        </w:numPr>
        <w:suppressAutoHyphens/>
        <w:rPr>
          <w:rFonts w:cs="Times New Roman"/>
          <w:sz w:val="24"/>
        </w:rPr>
      </w:pPr>
      <w:r w:rsidRPr="00C730DC">
        <w:rPr>
          <w:rFonts w:cs="Times New Roman"/>
          <w:sz w:val="24"/>
        </w:rPr>
        <w:t>S narůstajícím věkem roste v populaci výskyt chronických onemocnění, přičemž od 65 let věku postupně narůstá počet osob kumulací těchto onemocnění. I přes celkový nízký počet kontaktů s geriatrickými odbornostmi je patrné, že geriatričtí pacienti, kterým byla geriatrická péče poskytnuta, trpí vícečetným výskytem závažných onemocnění. Obecně je vysoká i</w:t>
      </w:r>
      <w:r w:rsidR="0070160F">
        <w:rPr>
          <w:rFonts w:cs="Times New Roman"/>
          <w:sz w:val="24"/>
        </w:rPr>
        <w:t> </w:t>
      </w:r>
      <w:r w:rsidRPr="00C730DC">
        <w:rPr>
          <w:rFonts w:cs="Times New Roman"/>
          <w:sz w:val="24"/>
        </w:rPr>
        <w:t>polymorbidita u ostatních pacientů nad 65+ let, kteří měli minimálně jeden kontakt se zdravotní péčí mimo geriatrické odbornosti</w:t>
      </w:r>
      <w:r w:rsidR="00436997">
        <w:rPr>
          <w:rFonts w:cs="Times New Roman"/>
          <w:sz w:val="24"/>
        </w:rPr>
        <w:t>.</w:t>
      </w:r>
    </w:p>
    <w:p w:rsidR="0070160F" w:rsidP="00436997" w14:paraId="7D458A20" w14:textId="2CC99C26">
      <w:pPr>
        <w:pStyle w:val="ListParagraph"/>
        <w:keepLines/>
        <w:widowControl w:val="0"/>
        <w:numPr>
          <w:ilvl w:val="0"/>
          <w:numId w:val="0"/>
        </w:numPr>
        <w:suppressAutoHyphens/>
        <w:rPr>
          <w:rFonts w:cs="Times New Roman"/>
          <w:sz w:val="24"/>
        </w:rPr>
      </w:pPr>
      <w:r w:rsidRPr="0070160F">
        <w:rPr>
          <w:rFonts w:cs="Times New Roman"/>
          <w:b/>
          <w:bCs w:val="0"/>
          <w:sz w:val="24"/>
        </w:rPr>
        <w:t>Kardiologi</w:t>
      </w:r>
      <w:r w:rsidR="004726FF">
        <w:rPr>
          <w:rFonts w:cs="Times New Roman"/>
          <w:b/>
          <w:bCs w:val="0"/>
          <w:sz w:val="24"/>
        </w:rPr>
        <w:t>cká péče</w:t>
      </w:r>
      <w:r>
        <w:rPr>
          <w:rFonts w:cs="Times New Roman"/>
          <w:b/>
          <w:bCs w:val="0"/>
          <w:sz w:val="24"/>
        </w:rPr>
        <w:t xml:space="preserve"> </w:t>
      </w:r>
      <w:r w:rsidRPr="00A76456">
        <w:rPr>
          <w:rFonts w:cs="Times New Roman"/>
          <w:sz w:val="24"/>
        </w:rPr>
        <w:t>– Onemocnění</w:t>
      </w:r>
      <w:r w:rsidRPr="0070160F">
        <w:rPr>
          <w:rFonts w:cs="Times New Roman"/>
          <w:sz w:val="24"/>
        </w:rPr>
        <w:t xml:space="preserve"> oběhové soustavy představují dominantní příčinu úmrtnosti v Č</w:t>
      </w:r>
      <w:r>
        <w:rPr>
          <w:rFonts w:cs="Times New Roman"/>
          <w:sz w:val="24"/>
        </w:rPr>
        <w:t>R</w:t>
      </w:r>
      <w:r w:rsidRPr="0070160F">
        <w:rPr>
          <w:rFonts w:cs="Times New Roman"/>
          <w:sz w:val="24"/>
        </w:rPr>
        <w:t xml:space="preserve">. V roce 2021 dosahovala celková úmrtnost 34,2 %, s prokazatelně klesajícím trendem od počátku 90. let (1994–55 %). Hodnota z roku 2021 však může být zkreslena pandemií onemocnění </w:t>
      </w:r>
      <w:r>
        <w:rPr>
          <w:rFonts w:cs="Times New Roman"/>
          <w:sz w:val="24"/>
        </w:rPr>
        <w:t>C</w:t>
      </w:r>
      <w:r w:rsidRPr="0070160F">
        <w:rPr>
          <w:rFonts w:cs="Times New Roman"/>
          <w:sz w:val="24"/>
        </w:rPr>
        <w:t>ovid-19, v roce 2020 byla totiž úmrtnost na kardiovaskulární choroby ještě 40 % a meziroční pokles mezi roky 2020 a 2021 o více než 5</w:t>
      </w:r>
      <w:r>
        <w:rPr>
          <w:rFonts w:cs="Times New Roman"/>
          <w:sz w:val="24"/>
        </w:rPr>
        <w:t xml:space="preserve"> %</w:t>
      </w:r>
      <w:r w:rsidRPr="0070160F">
        <w:rPr>
          <w:rFonts w:cs="Times New Roman"/>
          <w:sz w:val="24"/>
        </w:rPr>
        <w:t xml:space="preserve"> se nejeví realistický. I tak zůstávají nemoci oběhové soustavy dominantní příčinnou daleko před zhoubnými novotvary (2021–19 % příčin úmrtí). </w:t>
      </w:r>
    </w:p>
    <w:p w:rsidR="0070160F" w:rsidP="00436997" w14:paraId="256EF48A" w14:textId="4D03C0A1">
      <w:pPr>
        <w:pStyle w:val="ListParagraph"/>
        <w:keepLines/>
        <w:widowControl w:val="0"/>
        <w:numPr>
          <w:ilvl w:val="0"/>
          <w:numId w:val="0"/>
        </w:numPr>
        <w:suppressAutoHyphens/>
        <w:rPr>
          <w:rFonts w:cs="Times New Roman"/>
          <w:sz w:val="24"/>
        </w:rPr>
      </w:pPr>
      <w:r w:rsidRPr="0070160F">
        <w:rPr>
          <w:rFonts w:cs="Times New Roman"/>
          <w:sz w:val="24"/>
        </w:rPr>
        <w:t xml:space="preserve">Podle metodiky EUROSTAT je možno až 25,6 % úmrtí v ČR definovat jako předčasná. </w:t>
      </w:r>
      <w:r w:rsidR="008938E2">
        <w:rPr>
          <w:rFonts w:cs="Times New Roman"/>
          <w:sz w:val="24"/>
        </w:rPr>
        <w:t>Z</w:t>
      </w:r>
      <w:r w:rsidRPr="0070160F">
        <w:rPr>
          <w:rFonts w:cs="Times New Roman"/>
          <w:sz w:val="24"/>
        </w:rPr>
        <w:t>de zaujímají onemocnění oběhové soustavy nejčastější příčinu (6,7 % u mužů a 2,4 % u žen v</w:t>
      </w:r>
      <w:r w:rsidR="008938E2">
        <w:rPr>
          <w:rFonts w:cs="Times New Roman"/>
          <w:sz w:val="24"/>
        </w:rPr>
        <w:t> </w:t>
      </w:r>
      <w:r w:rsidRPr="0070160F">
        <w:rPr>
          <w:rFonts w:cs="Times New Roman"/>
          <w:sz w:val="24"/>
        </w:rPr>
        <w:t xml:space="preserve">letech 2020-2021) s klesajícím trendem oproti předchozímu období 2007-2019, kdy šlo o 9,7 % u mužů a 3,8 % u žen. Mezi rizikovými faktory vedoucími k předčasným úmrtím, a to nejen na kardiovaskulární choroby, je nutno zdůraznit na prvním místě kouření. </w:t>
      </w:r>
    </w:p>
    <w:p w:rsidR="0070160F" w:rsidP="00436997" w14:paraId="68ACB228" w14:textId="5A34410C">
      <w:pPr>
        <w:pStyle w:val="ListParagraph"/>
        <w:keepLines/>
        <w:widowControl w:val="0"/>
        <w:numPr>
          <w:ilvl w:val="0"/>
          <w:numId w:val="0"/>
        </w:numPr>
        <w:suppressAutoHyphens/>
        <w:rPr>
          <w:rFonts w:cs="Times New Roman"/>
          <w:sz w:val="24"/>
        </w:rPr>
      </w:pPr>
      <w:r w:rsidRPr="0070160F">
        <w:rPr>
          <w:rFonts w:cs="Times New Roman"/>
          <w:sz w:val="24"/>
        </w:rPr>
        <w:t>V mezinárodním srovnání zaujímá podle dat EUROSTATu v roce 2022 Česká republika 10. nejhorší místo v Evropě v podílu úmrtí na kardiovaskulární choroby. I přes tendenci k poklesu úmrtí na oběhové choroby je to stejná pozice jako v roce 2011. Vyšší úmrtnost mají jen země bývalého Východního bloku. Ještě nepříznivější je situace v úmrtích na ischemickou chorobu srdeční, kde zaujímá ČR 5. nejhorší místo v Evropě (opět i přes pokles úmrtnosti bez zlepšení pozice ve srovnání s rokem 2011, kdy jsme zaujímali nepříznivé 6. nejhorší místo v Evropě). Obdobně nedobrá je i situace u úmrtí na cévní mozkové příhody, kdy ČR zaujímá 13. nejhorší pozici v rámci EU. Podle dat OECD z roku 2021 sice došlo u CMP k 3. nejvýznamnějšímu poklesu mortality ze sledovaných zemí mezi roky 2000 a 2019 o 72 %, stále však jsme pod průměrem 38 zemí statistiky OECD</w:t>
      </w:r>
    </w:p>
    <w:p w:rsidR="008938E2" w:rsidP="00436997" w14:paraId="0088E98C" w14:textId="77777777">
      <w:pPr>
        <w:pStyle w:val="ListParagraph"/>
        <w:keepLines/>
        <w:widowControl w:val="0"/>
        <w:numPr>
          <w:ilvl w:val="0"/>
          <w:numId w:val="0"/>
        </w:numPr>
        <w:suppressAutoHyphens/>
        <w:rPr>
          <w:rFonts w:cs="Times New Roman"/>
          <w:sz w:val="24"/>
        </w:rPr>
      </w:pPr>
      <w:r w:rsidRPr="008938E2">
        <w:rPr>
          <w:rFonts w:cs="Times New Roman"/>
          <w:sz w:val="24"/>
        </w:rPr>
        <w:t>Nemoci oběhové soustavy jsou v ČR jednou z hlavních příčin čerpání léčebné péče. Ta v</w:t>
      </w:r>
      <w:r>
        <w:rPr>
          <w:rFonts w:cs="Times New Roman"/>
          <w:sz w:val="24"/>
        </w:rPr>
        <w:t> </w:t>
      </w:r>
      <w:r w:rsidRPr="008938E2">
        <w:rPr>
          <w:rFonts w:cs="Times New Roman"/>
          <w:sz w:val="24"/>
        </w:rPr>
        <w:t>posledních letech jeví narůstající tendenci, kdy oproti roku 2012, kdy byla vykázána ambulantní nebo hospitalizační diagnóza kardiovaskulárního onemocnění u 2 605 tisíc pacientů dosáhla tato hodnota v roce 2022 2 895 tisíc. Celkově v roce 2022 bylo ambulantně léčeno pro nemoci oběhové soustavy 28 % populace ČR a hospitalizována byla 3 % populace.</w:t>
      </w:r>
    </w:p>
    <w:p w:rsidR="008938E2" w:rsidP="00436997" w14:paraId="66958608" w14:textId="327AECCC">
      <w:pPr>
        <w:pStyle w:val="ListParagraph"/>
        <w:keepLines/>
        <w:widowControl w:val="0"/>
        <w:numPr>
          <w:ilvl w:val="0"/>
          <w:numId w:val="0"/>
        </w:numPr>
        <w:suppressAutoHyphens/>
        <w:rPr>
          <w:rFonts w:cs="Times New Roman"/>
          <w:sz w:val="24"/>
        </w:rPr>
      </w:pPr>
      <w:r w:rsidRPr="008938E2">
        <w:rPr>
          <w:rFonts w:cs="Times New Roman"/>
          <w:sz w:val="24"/>
        </w:rPr>
        <w:t>Nemoci oběhové soustavy jsou druhou nejčastější příčinou dlouhodobých hospitalizací, ve věkové skupině nad 65 let pak příčinou nejčastější. Avšak celkově dochází v meziročním srovnání od roku 2010 k progresivnímu zkracování celkové délky hospitalizací. I tak zaujímá ČR dlouhodobě stejné nelichotivé druhé místo v délce hospitalizace pro oběhové choroby v</w:t>
      </w:r>
      <w:r>
        <w:rPr>
          <w:rFonts w:cs="Times New Roman"/>
          <w:sz w:val="24"/>
        </w:rPr>
        <w:t> </w:t>
      </w:r>
      <w:r w:rsidRPr="008938E2">
        <w:rPr>
          <w:rFonts w:cs="Times New Roman"/>
          <w:sz w:val="24"/>
        </w:rPr>
        <w:t>Evropě.</w:t>
      </w:r>
    </w:p>
    <w:p w:rsidR="008938E2" w:rsidP="00436997" w14:paraId="24C66887" w14:textId="62DD63D8">
      <w:pPr>
        <w:pStyle w:val="ListParagraph"/>
        <w:keepLines/>
        <w:widowControl w:val="0"/>
        <w:numPr>
          <w:ilvl w:val="0"/>
          <w:numId w:val="0"/>
        </w:numPr>
        <w:suppressAutoHyphens/>
        <w:rPr>
          <w:rFonts w:cs="Times New Roman"/>
          <w:sz w:val="24"/>
        </w:rPr>
      </w:pPr>
      <w:r w:rsidRPr="008938E2">
        <w:rPr>
          <w:rFonts w:cs="Times New Roman"/>
          <w:sz w:val="24"/>
        </w:rPr>
        <w:t>V následujících letech lze očekávat při každé modelové situaci nepříznivý demografický vývoj. V souvislosti se stárnutím populace v následujících letech lze očekávat nárůst nemocnosti v</w:t>
      </w:r>
      <w:r>
        <w:rPr>
          <w:rFonts w:cs="Times New Roman"/>
          <w:sz w:val="24"/>
        </w:rPr>
        <w:t> </w:t>
      </w:r>
      <w:r w:rsidRPr="008938E2">
        <w:rPr>
          <w:rFonts w:cs="Times New Roman"/>
          <w:sz w:val="24"/>
        </w:rPr>
        <w:t xml:space="preserve">souvislosti s nejčastějšími chorobami vyššího věku, kterými jsou právě nemoci oběhové soustavy. </w:t>
      </w:r>
    </w:p>
    <w:p w:rsidR="008938E2" w:rsidP="00436997" w14:paraId="221B6037" w14:textId="16FA1B0A">
      <w:pPr>
        <w:pStyle w:val="ListParagraph"/>
        <w:keepLines/>
        <w:widowControl w:val="0"/>
        <w:numPr>
          <w:ilvl w:val="0"/>
          <w:numId w:val="0"/>
        </w:numPr>
        <w:suppressAutoHyphens/>
        <w:rPr>
          <w:rFonts w:cs="Times New Roman"/>
          <w:sz w:val="24"/>
        </w:rPr>
      </w:pPr>
      <w:r w:rsidRPr="008938E2">
        <w:rPr>
          <w:rFonts w:cs="Times New Roman"/>
          <w:sz w:val="24"/>
        </w:rPr>
        <w:t>Modelová predikce nárůstu některých onemocnění představuje naléhavou výzvu pro změnu kapacit pro poskytování specializované péče. Ve srovnání s rokem 2021, kdy incidence srdečního selhání dosahovala 49 223 pacientů, lze v roce 2030 predikovat incidenci 69 015 (61 533; 76 497) a v roce 2040 dokonce 75</w:t>
      </w:r>
      <w:r w:rsidR="00A76456">
        <w:rPr>
          <w:rFonts w:cs="Times New Roman"/>
          <w:sz w:val="24"/>
        </w:rPr>
        <w:t> </w:t>
      </w:r>
      <w:r w:rsidRPr="008938E2">
        <w:rPr>
          <w:rFonts w:cs="Times New Roman"/>
          <w:sz w:val="24"/>
        </w:rPr>
        <w:t>578</w:t>
      </w:r>
      <w:r w:rsidR="00A76456">
        <w:rPr>
          <w:rFonts w:cs="Times New Roman"/>
          <w:sz w:val="24"/>
        </w:rPr>
        <w:t xml:space="preserve"> pacientů</w:t>
      </w:r>
      <w:r w:rsidRPr="008938E2">
        <w:rPr>
          <w:rFonts w:cs="Times New Roman"/>
          <w:sz w:val="24"/>
        </w:rPr>
        <w:t xml:space="preserve"> (67 673; 83 482). </w:t>
      </w:r>
    </w:p>
    <w:p w:rsidR="00A76456" w:rsidP="00436997" w14:paraId="623EC524" w14:textId="0E512247">
      <w:pPr>
        <w:pStyle w:val="ListParagraph"/>
        <w:keepLines/>
        <w:widowControl w:val="0"/>
        <w:numPr>
          <w:ilvl w:val="0"/>
          <w:numId w:val="0"/>
        </w:numPr>
        <w:suppressAutoHyphens/>
        <w:rPr>
          <w:rFonts w:cs="Times New Roman"/>
          <w:sz w:val="24"/>
        </w:rPr>
      </w:pPr>
      <w:r>
        <w:rPr>
          <w:rFonts w:cs="Times New Roman"/>
          <w:b/>
          <w:bCs w:val="0"/>
          <w:sz w:val="24"/>
        </w:rPr>
        <w:t>Léčebně r</w:t>
      </w:r>
      <w:r w:rsidRPr="00A76456">
        <w:rPr>
          <w:rFonts w:cs="Times New Roman"/>
          <w:b/>
          <w:bCs w:val="0"/>
          <w:sz w:val="24"/>
        </w:rPr>
        <w:t>ehabilitační péče</w:t>
      </w:r>
      <w:r>
        <w:rPr>
          <w:rFonts w:cs="Times New Roman"/>
          <w:b/>
          <w:bCs w:val="0"/>
          <w:sz w:val="24"/>
        </w:rPr>
        <w:t>- P</w:t>
      </w:r>
      <w:r>
        <w:rPr>
          <w:rFonts w:cs="Times New Roman"/>
          <w:sz w:val="24"/>
        </w:rPr>
        <w:t xml:space="preserve">ředstavuje </w:t>
      </w:r>
      <w:r w:rsidRPr="00A76456">
        <w:rPr>
          <w:rFonts w:cs="Times New Roman"/>
          <w:sz w:val="24"/>
        </w:rPr>
        <w:t xml:space="preserve">ucelený soubor aktivit, jejichž cílem je návrat pacienta do původního zdravotního stavu, výkonnosti, pohyblivosti, soběstačnosti, pracovní schopnosti nebo jiných aspektů každodenního života; rehabilitační aktivity se mohou týkat širokého spektra pacientů, např. </w:t>
      </w:r>
      <w:r w:rsidRPr="00A76456">
        <w:rPr>
          <w:rFonts w:cs="Times New Roman"/>
          <w:color w:val="auto"/>
          <w:sz w:val="24"/>
        </w:rPr>
        <w:t>s </w:t>
      </w:r>
      <w:hyperlink r:id="rId33" w:history="1">
        <w:r w:rsidRPr="00A76456">
          <w:rPr>
            <w:rStyle w:val="Hyperlink"/>
            <w:rFonts w:cs="Times New Roman"/>
            <w:noProof w:val="0"/>
            <w:color w:val="auto"/>
            <w:sz w:val="24"/>
            <w:u w:val="none"/>
          </w:rPr>
          <w:t>cévní mozkovou příhodou</w:t>
        </w:r>
      </w:hyperlink>
      <w:r w:rsidRPr="00A76456">
        <w:rPr>
          <w:rFonts w:cs="Times New Roman"/>
          <w:color w:val="auto"/>
          <w:sz w:val="24"/>
        </w:rPr>
        <w:t>, </w:t>
      </w:r>
      <w:hyperlink r:id="rId34" w:history="1">
        <w:r w:rsidRPr="00A76456">
          <w:rPr>
            <w:rStyle w:val="Hyperlink"/>
            <w:rFonts w:cs="Times New Roman"/>
            <w:noProof w:val="0"/>
            <w:color w:val="auto"/>
            <w:sz w:val="24"/>
            <w:u w:val="none"/>
          </w:rPr>
          <w:t>infarktem</w:t>
        </w:r>
        <w:r>
          <w:rPr>
            <w:rStyle w:val="Hyperlink"/>
            <w:rFonts w:cs="Times New Roman"/>
            <w:noProof w:val="0"/>
            <w:color w:val="auto"/>
            <w:sz w:val="24"/>
            <w:u w:val="none"/>
          </w:rPr>
          <w:t xml:space="preserve"> </w:t>
        </w:r>
        <w:r w:rsidRPr="00A76456">
          <w:rPr>
            <w:rStyle w:val="Hyperlink"/>
            <w:rFonts w:cs="Times New Roman"/>
            <w:noProof w:val="0"/>
            <w:color w:val="auto"/>
            <w:sz w:val="24"/>
            <w:u w:val="none"/>
          </w:rPr>
          <w:t>myokardu</w:t>
        </w:r>
      </w:hyperlink>
      <w:r w:rsidRPr="00A76456">
        <w:rPr>
          <w:rFonts w:cs="Times New Roman"/>
          <w:color w:val="auto"/>
          <w:sz w:val="24"/>
        </w:rPr>
        <w:t>,</w:t>
      </w:r>
      <w:r>
        <w:rPr>
          <w:rFonts w:cs="Times New Roman"/>
          <w:color w:val="auto"/>
          <w:sz w:val="24"/>
        </w:rPr>
        <w:t xml:space="preserve"> </w:t>
      </w:r>
      <w:hyperlink r:id="rId35" w:history="1">
        <w:r w:rsidRPr="00A76456">
          <w:rPr>
            <w:rStyle w:val="Hyperlink"/>
            <w:rFonts w:cs="Times New Roman"/>
            <w:noProof w:val="0"/>
            <w:color w:val="auto"/>
            <w:sz w:val="24"/>
            <w:u w:val="none"/>
          </w:rPr>
          <w:t>astmatem</w:t>
        </w:r>
      </w:hyperlink>
      <w:r w:rsidRPr="00A76456">
        <w:rPr>
          <w:rFonts w:cs="Times New Roman"/>
          <w:color w:val="auto"/>
          <w:sz w:val="24"/>
        </w:rPr>
        <w:t>,</w:t>
      </w:r>
      <w:r>
        <w:rPr>
          <w:rFonts w:cs="Times New Roman"/>
          <w:color w:val="auto"/>
          <w:sz w:val="24"/>
        </w:rPr>
        <w:t xml:space="preserve"> </w:t>
      </w:r>
      <w:hyperlink r:id="rId36" w:history="1">
        <w:r w:rsidRPr="00A76456">
          <w:rPr>
            <w:rStyle w:val="Hyperlink"/>
            <w:rFonts w:cs="Times New Roman"/>
            <w:noProof w:val="0"/>
            <w:color w:val="auto"/>
            <w:sz w:val="24"/>
            <w:u w:val="none"/>
          </w:rPr>
          <w:t>CHOPN</w:t>
        </w:r>
      </w:hyperlink>
      <w:r w:rsidRPr="00A76456">
        <w:rPr>
          <w:rFonts w:cs="Times New Roman"/>
          <w:color w:val="auto"/>
          <w:sz w:val="24"/>
        </w:rPr>
        <w:t>, </w:t>
      </w:r>
      <w:hyperlink r:id="rId37" w:history="1">
        <w:r w:rsidRPr="00A76456">
          <w:rPr>
            <w:rStyle w:val="Hyperlink"/>
            <w:rFonts w:cs="Times New Roman"/>
            <w:noProof w:val="0"/>
            <w:color w:val="auto"/>
            <w:sz w:val="24"/>
            <w:u w:val="none"/>
          </w:rPr>
          <w:t>zhoubnými nádory</w:t>
        </w:r>
      </w:hyperlink>
      <w:r w:rsidRPr="00A76456">
        <w:rPr>
          <w:rFonts w:cs="Times New Roman"/>
          <w:color w:val="auto"/>
          <w:sz w:val="24"/>
        </w:rPr>
        <w:t>, </w:t>
      </w:r>
      <w:hyperlink r:id="rId38" w:history="1">
        <w:r w:rsidRPr="00A76456">
          <w:rPr>
            <w:rStyle w:val="Hyperlink"/>
            <w:rFonts w:cs="Times New Roman"/>
            <w:noProof w:val="0"/>
            <w:color w:val="auto"/>
            <w:sz w:val="24"/>
            <w:u w:val="none"/>
          </w:rPr>
          <w:t>duševními onemocněními</w:t>
        </w:r>
      </w:hyperlink>
      <w:r w:rsidRPr="00A76456">
        <w:rPr>
          <w:rFonts w:cs="Times New Roman"/>
          <w:color w:val="auto"/>
          <w:sz w:val="24"/>
        </w:rPr>
        <w:t> apod.</w:t>
      </w:r>
      <w:r>
        <w:rPr>
          <w:rFonts w:cs="Times New Roman"/>
          <w:color w:val="auto"/>
          <w:sz w:val="24"/>
        </w:rPr>
        <w:t xml:space="preserve"> </w:t>
      </w:r>
    </w:p>
    <w:p w:rsidR="00A76456" w:rsidP="00A76456" w14:paraId="1BB77A18" w14:textId="0D5E9D45">
      <w:pPr>
        <w:pStyle w:val="ListParagraph"/>
        <w:keepLines/>
        <w:widowControl w:val="0"/>
        <w:numPr>
          <w:ilvl w:val="0"/>
          <w:numId w:val="0"/>
        </w:numPr>
        <w:suppressAutoHyphens/>
        <w:rPr>
          <w:rFonts w:cs="Times New Roman"/>
          <w:sz w:val="24"/>
        </w:rPr>
      </w:pPr>
      <w:r>
        <w:rPr>
          <w:rFonts w:cs="Times New Roman"/>
          <w:b/>
          <w:bCs w:val="0"/>
          <w:sz w:val="24"/>
        </w:rPr>
        <w:t>Prevence a léčba obezity</w:t>
      </w:r>
      <w:r w:rsidR="00E22AF8">
        <w:rPr>
          <w:rFonts w:cs="Times New Roman"/>
          <w:b/>
          <w:bCs w:val="0"/>
          <w:sz w:val="24"/>
        </w:rPr>
        <w:t xml:space="preserve"> – Obezita</w:t>
      </w:r>
      <w:r w:rsidRPr="00A76456">
        <w:rPr>
          <w:rFonts w:cs="Times New Roman"/>
          <w:sz w:val="24"/>
        </w:rPr>
        <w:t xml:space="preserve"> a nadváha jsou definovány jako nadměrné nebo abnormální hromadění tělesného tuku, které představuje zdravotní riziko. Diagnóza nadváhy a obezity se stanovuje měřením hmotnosti a výšky a výpočtem indexu tělesné hmotnosti (BMI): hmotnost (kg) / výška² (m²). BMI je nepřímým ukazatelem množství tělesného tuku </w:t>
      </w:r>
      <w:r w:rsidRPr="00A76456" w:rsidR="00E22AF8">
        <w:rPr>
          <w:rFonts w:cs="Times New Roman"/>
          <w:sz w:val="24"/>
        </w:rPr>
        <w:t>a</w:t>
      </w:r>
      <w:r w:rsidR="00E22AF8">
        <w:rPr>
          <w:rFonts w:cs="Times New Roman"/>
          <w:sz w:val="24"/>
        </w:rPr>
        <w:t> </w:t>
      </w:r>
      <w:r w:rsidRPr="00A76456">
        <w:rPr>
          <w:rFonts w:cs="Times New Roman"/>
          <w:sz w:val="24"/>
        </w:rPr>
        <w:t>jeho diagnostiku může doplnit</w:t>
      </w:r>
      <w:r>
        <w:rPr>
          <w:rFonts w:cs="Times New Roman"/>
          <w:sz w:val="24"/>
        </w:rPr>
        <w:t xml:space="preserve"> </w:t>
      </w:r>
      <w:r w:rsidRPr="00A76456">
        <w:rPr>
          <w:rFonts w:cs="Times New Roman"/>
          <w:sz w:val="24"/>
        </w:rPr>
        <w:t>i měření obvodu pasu (WHO, 2024).</w:t>
      </w:r>
    </w:p>
    <w:p w:rsidR="00A76456" w:rsidRPr="00A76456" w:rsidP="00A76456" w14:paraId="6158DAA6" w14:textId="5FA0BC75">
      <w:pPr>
        <w:keepLines/>
        <w:widowControl w:val="0"/>
        <w:suppressAutoHyphens/>
        <w:rPr>
          <w:rFonts w:cs="Times New Roman"/>
          <w:sz w:val="24"/>
        </w:rPr>
      </w:pPr>
      <w:r w:rsidRPr="00A76456">
        <w:rPr>
          <w:rFonts w:cs="Times New Roman"/>
          <w:sz w:val="24"/>
        </w:rPr>
        <w:t>Obezita zkracuje průměrnou délku života o 3 až 10 let, v závislosti na její závažnosti. Může způsobovat obtíže při každodenních činnostech a vést k vážným zdravotním komplikacím</w:t>
      </w:r>
      <w:r>
        <w:rPr>
          <w:rStyle w:val="FootnoteReference"/>
          <w:rFonts w:cs="Times New Roman"/>
          <w:sz w:val="24"/>
        </w:rPr>
        <w:footnoteReference w:id="38"/>
      </w:r>
      <w:r w:rsidRPr="00A76456">
        <w:rPr>
          <w:rFonts w:cs="Times New Roman"/>
          <w:sz w:val="24"/>
        </w:rPr>
        <w:t>.</w:t>
      </w:r>
    </w:p>
    <w:p w:rsidR="00A76456" w:rsidRPr="00A76456" w:rsidP="00A76456" w14:paraId="081F91CB" w14:textId="346AB53D">
      <w:pPr>
        <w:keepLines/>
        <w:widowControl w:val="0"/>
        <w:suppressAutoHyphens/>
        <w:rPr>
          <w:rFonts w:cs="Times New Roman"/>
          <w:sz w:val="24"/>
        </w:rPr>
      </w:pPr>
      <w:r w:rsidRPr="00A76456">
        <w:rPr>
          <w:rFonts w:cs="Times New Roman"/>
          <w:sz w:val="24"/>
        </w:rPr>
        <w:t>Obezita zvyšuje riziko rozvoje mnoha vážných zdravotních stavů, včetně:</w:t>
      </w:r>
    </w:p>
    <w:p w:rsidR="00A76456" w:rsidRPr="00A76456" w:rsidP="00A76456" w14:paraId="3E28D67D" w14:textId="77777777">
      <w:pPr>
        <w:pStyle w:val="ListParagraph"/>
        <w:keepLines/>
        <w:widowControl w:val="0"/>
        <w:numPr>
          <w:ilvl w:val="0"/>
          <w:numId w:val="65"/>
        </w:numPr>
        <w:suppressAutoHyphens/>
        <w:rPr>
          <w:rFonts w:cs="Times New Roman"/>
          <w:sz w:val="24"/>
        </w:rPr>
      </w:pPr>
      <w:r w:rsidRPr="00A76456">
        <w:rPr>
          <w:rFonts w:cs="Times New Roman"/>
          <w:sz w:val="24"/>
        </w:rPr>
        <w:t>Cukrovky 2. typu</w:t>
      </w:r>
    </w:p>
    <w:p w:rsidR="00A76456" w:rsidRPr="00A76456" w:rsidP="00A76456" w14:paraId="3FB946A9" w14:textId="77777777">
      <w:pPr>
        <w:pStyle w:val="ListParagraph"/>
        <w:keepLines/>
        <w:widowControl w:val="0"/>
        <w:numPr>
          <w:ilvl w:val="0"/>
          <w:numId w:val="65"/>
        </w:numPr>
        <w:suppressAutoHyphens/>
        <w:rPr>
          <w:rFonts w:cs="Times New Roman"/>
          <w:sz w:val="24"/>
        </w:rPr>
      </w:pPr>
      <w:r w:rsidRPr="00A76456">
        <w:rPr>
          <w:rFonts w:cs="Times New Roman"/>
          <w:sz w:val="24"/>
        </w:rPr>
        <w:t>Vysokého krevního tlaku</w:t>
      </w:r>
    </w:p>
    <w:p w:rsidR="00A76456" w:rsidRPr="00A76456" w:rsidP="00A76456" w14:paraId="41D8A5A6" w14:textId="77777777">
      <w:pPr>
        <w:pStyle w:val="ListParagraph"/>
        <w:keepLines/>
        <w:widowControl w:val="0"/>
        <w:numPr>
          <w:ilvl w:val="0"/>
          <w:numId w:val="65"/>
        </w:numPr>
        <w:suppressAutoHyphens/>
        <w:rPr>
          <w:rFonts w:cs="Times New Roman"/>
          <w:sz w:val="24"/>
        </w:rPr>
      </w:pPr>
      <w:r w:rsidRPr="00A76456">
        <w:rPr>
          <w:rFonts w:cs="Times New Roman"/>
          <w:sz w:val="24"/>
        </w:rPr>
        <w:t>Vysoké hladiny cholesterolu a aterosklerózy</w:t>
      </w:r>
    </w:p>
    <w:p w:rsidR="00A76456" w:rsidRPr="00A76456" w:rsidP="00A76456" w14:paraId="2F57AC7E" w14:textId="77777777">
      <w:pPr>
        <w:pStyle w:val="ListParagraph"/>
        <w:keepLines/>
        <w:widowControl w:val="0"/>
        <w:numPr>
          <w:ilvl w:val="0"/>
          <w:numId w:val="65"/>
        </w:numPr>
        <w:suppressAutoHyphens/>
        <w:rPr>
          <w:rFonts w:cs="Times New Roman"/>
          <w:sz w:val="24"/>
        </w:rPr>
      </w:pPr>
      <w:r w:rsidRPr="00A76456">
        <w:rPr>
          <w:rFonts w:cs="Times New Roman"/>
          <w:sz w:val="24"/>
        </w:rPr>
        <w:t>Astmatu</w:t>
      </w:r>
    </w:p>
    <w:p w:rsidR="00A76456" w:rsidRPr="00A76456" w:rsidP="00A76456" w14:paraId="518139C9" w14:textId="77777777">
      <w:pPr>
        <w:pStyle w:val="ListParagraph"/>
        <w:keepLines/>
        <w:widowControl w:val="0"/>
        <w:numPr>
          <w:ilvl w:val="0"/>
          <w:numId w:val="65"/>
        </w:numPr>
        <w:suppressAutoHyphens/>
        <w:rPr>
          <w:rFonts w:cs="Times New Roman"/>
          <w:sz w:val="24"/>
        </w:rPr>
      </w:pPr>
      <w:r w:rsidRPr="00A76456">
        <w:rPr>
          <w:rFonts w:cs="Times New Roman"/>
          <w:sz w:val="24"/>
        </w:rPr>
        <w:t>Metabolického syndromu (kombinace cukrovky, vysokého krevního tlaku a obezity)</w:t>
      </w:r>
    </w:p>
    <w:p w:rsidR="00A76456" w:rsidRPr="00A76456" w:rsidP="00A76456" w14:paraId="6592AFF4" w14:textId="77777777">
      <w:pPr>
        <w:pStyle w:val="ListParagraph"/>
        <w:keepLines/>
        <w:widowControl w:val="0"/>
        <w:numPr>
          <w:ilvl w:val="0"/>
          <w:numId w:val="65"/>
        </w:numPr>
        <w:suppressAutoHyphens/>
        <w:rPr>
          <w:rFonts w:cs="Times New Roman"/>
          <w:sz w:val="24"/>
        </w:rPr>
      </w:pPr>
      <w:r w:rsidRPr="00A76456">
        <w:rPr>
          <w:rFonts w:cs="Times New Roman"/>
          <w:sz w:val="24"/>
        </w:rPr>
        <w:t>Několika druhů rakoviny (včetně rakoviny tlustého střeva, prsu a dělohy)</w:t>
      </w:r>
    </w:p>
    <w:p w:rsidR="00A76456" w:rsidRPr="00A76456" w:rsidP="00A76456" w14:paraId="47751EF9" w14:textId="77777777">
      <w:pPr>
        <w:pStyle w:val="ListParagraph"/>
        <w:keepLines/>
        <w:widowControl w:val="0"/>
        <w:numPr>
          <w:ilvl w:val="0"/>
          <w:numId w:val="65"/>
        </w:numPr>
        <w:suppressAutoHyphens/>
        <w:rPr>
          <w:rFonts w:cs="Times New Roman"/>
          <w:sz w:val="24"/>
        </w:rPr>
      </w:pPr>
      <w:r w:rsidRPr="00A76456">
        <w:rPr>
          <w:rFonts w:cs="Times New Roman"/>
          <w:sz w:val="24"/>
        </w:rPr>
        <w:t>Žlučových kamenů</w:t>
      </w:r>
    </w:p>
    <w:p w:rsidR="00A76456" w:rsidRPr="00A76456" w:rsidP="00A76456" w14:paraId="73320F8B" w14:textId="77777777">
      <w:pPr>
        <w:pStyle w:val="ListParagraph"/>
        <w:keepLines/>
        <w:widowControl w:val="0"/>
        <w:numPr>
          <w:ilvl w:val="0"/>
          <w:numId w:val="65"/>
        </w:numPr>
        <w:suppressAutoHyphens/>
        <w:rPr>
          <w:rFonts w:cs="Times New Roman"/>
          <w:sz w:val="24"/>
        </w:rPr>
      </w:pPr>
      <w:r w:rsidRPr="00A76456">
        <w:rPr>
          <w:rFonts w:cs="Times New Roman"/>
          <w:sz w:val="24"/>
        </w:rPr>
        <w:t>Snížené plodnosti</w:t>
      </w:r>
    </w:p>
    <w:p w:rsidR="00A76456" w:rsidRPr="00A76456" w:rsidP="00A76456" w14:paraId="628B4693" w14:textId="77777777">
      <w:pPr>
        <w:pStyle w:val="ListParagraph"/>
        <w:keepLines/>
        <w:widowControl w:val="0"/>
        <w:numPr>
          <w:ilvl w:val="0"/>
          <w:numId w:val="65"/>
        </w:numPr>
        <w:suppressAutoHyphens/>
        <w:rPr>
          <w:rFonts w:cs="Times New Roman"/>
          <w:sz w:val="24"/>
        </w:rPr>
      </w:pPr>
      <w:r w:rsidRPr="00A76456">
        <w:rPr>
          <w:rFonts w:cs="Times New Roman"/>
          <w:sz w:val="24"/>
        </w:rPr>
        <w:t>Onemocnění jater a ledvin</w:t>
      </w:r>
    </w:p>
    <w:p w:rsidR="00A76456" w:rsidRPr="00A76456" w:rsidP="00A76456" w14:paraId="108BCB0F" w14:textId="77777777">
      <w:pPr>
        <w:keepLines/>
        <w:widowControl w:val="0"/>
        <w:suppressAutoHyphens/>
        <w:rPr>
          <w:rFonts w:cs="Times New Roman"/>
          <w:sz w:val="24"/>
        </w:rPr>
      </w:pPr>
    </w:p>
    <w:p w:rsidR="00A76456" w:rsidRPr="00A76456" w:rsidP="00A76456" w14:paraId="1AC2A3F3" w14:textId="56C25099">
      <w:pPr>
        <w:keepLines/>
        <w:widowControl w:val="0"/>
        <w:suppressAutoHyphens/>
        <w:rPr>
          <w:rFonts w:cs="Times New Roman"/>
          <w:sz w:val="24"/>
        </w:rPr>
      </w:pPr>
      <w:r w:rsidRPr="00A76456">
        <w:rPr>
          <w:rFonts w:cs="Times New Roman"/>
          <w:sz w:val="24"/>
        </w:rPr>
        <w:t xml:space="preserve">V </w:t>
      </w:r>
      <w:r>
        <w:rPr>
          <w:rFonts w:cs="Times New Roman"/>
          <w:sz w:val="24"/>
        </w:rPr>
        <w:t>ČR</w:t>
      </w:r>
      <w:r w:rsidRPr="00A76456">
        <w:rPr>
          <w:rFonts w:cs="Times New Roman"/>
          <w:sz w:val="24"/>
        </w:rPr>
        <w:t xml:space="preserve"> se s nadváhou potýká více než třetina žen (36 %) a téměř polovina mužů (49 %). Obezitou trpí 21 % mužů a 18 % žen, přičemž s přibývajícím věkem hodnoty BMI často rostou.</w:t>
      </w:r>
      <w:r>
        <w:rPr>
          <w:rFonts w:cs="Times New Roman"/>
          <w:sz w:val="24"/>
        </w:rPr>
        <w:t xml:space="preserve"> </w:t>
      </w:r>
      <w:r w:rsidRPr="00A76456">
        <w:rPr>
          <w:rFonts w:cs="Times New Roman"/>
          <w:sz w:val="24"/>
        </w:rPr>
        <w:t>Ve věku 16–34 let má normální váhu 59 % české populace.</w:t>
      </w:r>
      <w:r>
        <w:rPr>
          <w:rFonts w:cs="Times New Roman"/>
          <w:sz w:val="24"/>
        </w:rPr>
        <w:t xml:space="preserve"> </w:t>
      </w:r>
      <w:r w:rsidRPr="00A76456">
        <w:rPr>
          <w:rFonts w:cs="Times New Roman"/>
          <w:sz w:val="24"/>
        </w:rPr>
        <w:t>Ve věku 35–49 let klesá podíl osob s</w:t>
      </w:r>
      <w:r>
        <w:rPr>
          <w:rFonts w:cs="Times New Roman"/>
          <w:sz w:val="24"/>
        </w:rPr>
        <w:t> </w:t>
      </w:r>
      <w:r w:rsidRPr="00A76456">
        <w:rPr>
          <w:rFonts w:cs="Times New Roman"/>
          <w:sz w:val="24"/>
        </w:rPr>
        <w:t>normální váhou na 37 %.</w:t>
      </w:r>
      <w:r>
        <w:rPr>
          <w:rFonts w:cs="Times New Roman"/>
          <w:sz w:val="24"/>
        </w:rPr>
        <w:t xml:space="preserve"> </w:t>
      </w:r>
      <w:r w:rsidRPr="00A76456">
        <w:rPr>
          <w:rFonts w:cs="Times New Roman"/>
          <w:sz w:val="24"/>
        </w:rPr>
        <w:t>Mezi 50–64 lety má normální váhu pouze 27 % dospělých, přičemž výrazně přibývá lidí s nadváhou (47 %).</w:t>
      </w:r>
      <w:r>
        <w:rPr>
          <w:rFonts w:cs="Times New Roman"/>
          <w:sz w:val="24"/>
        </w:rPr>
        <w:t xml:space="preserve"> </w:t>
      </w:r>
      <w:r w:rsidRPr="00A76456">
        <w:rPr>
          <w:rFonts w:cs="Times New Roman"/>
          <w:sz w:val="24"/>
        </w:rPr>
        <w:t>U osob starších 65 let má normální váhu už jen 24 %, zatímco každý čtvrtý senior trpí obezitou</w:t>
      </w:r>
      <w:r>
        <w:rPr>
          <w:rStyle w:val="FootnoteReference"/>
          <w:rFonts w:cs="Times New Roman"/>
          <w:sz w:val="24"/>
        </w:rPr>
        <w:footnoteReference w:id="39"/>
      </w:r>
      <w:r w:rsidRPr="00A76456">
        <w:rPr>
          <w:rFonts w:cs="Times New Roman"/>
          <w:sz w:val="24"/>
        </w:rPr>
        <w:t>.</w:t>
      </w:r>
    </w:p>
    <w:p w:rsidR="001571EE" w:rsidRPr="001571EE" w:rsidP="001571EE" w14:paraId="0E40F006" w14:textId="5C2B5647">
      <w:pPr>
        <w:pStyle w:val="ListParagraph"/>
        <w:numPr>
          <w:ilvl w:val="0"/>
          <w:numId w:val="0"/>
        </w:numPr>
        <w:rPr>
          <w:rFonts w:cs="Times New Roman"/>
          <w:sz w:val="24"/>
        </w:rPr>
      </w:pPr>
      <w:r w:rsidRPr="001571EE">
        <w:rPr>
          <w:rFonts w:cs="Times New Roman"/>
          <w:b/>
          <w:bCs w:val="0"/>
          <w:sz w:val="24"/>
        </w:rPr>
        <w:t>Onkologi</w:t>
      </w:r>
      <w:r w:rsidR="00A3263B">
        <w:rPr>
          <w:rFonts w:cs="Times New Roman"/>
          <w:b/>
          <w:bCs w:val="0"/>
          <w:sz w:val="24"/>
        </w:rPr>
        <w:t>cká péče</w:t>
      </w:r>
      <w:r>
        <w:rPr>
          <w:rFonts w:cs="Times New Roman"/>
          <w:sz w:val="24"/>
        </w:rPr>
        <w:t xml:space="preserve"> –</w:t>
      </w:r>
      <w:r w:rsidR="00A3263B">
        <w:rPr>
          <w:rFonts w:cs="Times New Roman"/>
          <w:sz w:val="24"/>
        </w:rPr>
        <w:t xml:space="preserve">Z </w:t>
      </w:r>
      <w:r w:rsidRPr="001571EE">
        <w:rPr>
          <w:rFonts w:cs="Times New Roman"/>
          <w:sz w:val="24"/>
        </w:rPr>
        <w:t>mezinárodních srovnání plyne, že české zdravotnictví v posledních dvou dekádách prošlo výrazným rozvojem v oblasti organizace onkologické péče a ve zvýšení dostupnosti vysoce specializované protinádorové terapie. Velký pokrok rovněž nastal v</w:t>
      </w:r>
      <w:r w:rsidR="005D1A37">
        <w:rPr>
          <w:rFonts w:cs="Times New Roman"/>
          <w:sz w:val="24"/>
        </w:rPr>
        <w:t> </w:t>
      </w:r>
      <w:r w:rsidRPr="001571EE">
        <w:rPr>
          <w:rFonts w:cs="Times New Roman"/>
          <w:sz w:val="24"/>
        </w:rPr>
        <w:t>posílení organizovaných screeningových programů. Dosahované výsledky péče jsou srovnatelné s hodnotami průměru zemí EU s tím, že ve většině ukazatelů česká onkologie dosahuje nejlepších výsledků v oblasti střední a východní Evropy. Většina významných zlepšení vyplynula z postupující centralizace specializované péče do center vysoce specializované péče. Nicméně v řadě klíčových ukazatelů, jako je např. 5leté relativní přežití nebo podíl včasně zachycených onemocnění, jsou dosahované hodnoty stále nižší ve srovnání se státy západní a</w:t>
      </w:r>
      <w:r w:rsidR="005D1A37">
        <w:rPr>
          <w:rFonts w:cs="Times New Roman"/>
          <w:sz w:val="24"/>
        </w:rPr>
        <w:t> </w:t>
      </w:r>
      <w:r w:rsidRPr="001571EE">
        <w:rPr>
          <w:rFonts w:cs="Times New Roman"/>
          <w:sz w:val="24"/>
        </w:rPr>
        <w:t>severní Evropy. Určité rezervy v pokrytí populace vykazují i organizované programy screeningu zhoubných nádorů a významný prostor ke zlepšení je patrný v programech primární prevence</w:t>
      </w:r>
      <w:r>
        <w:rPr>
          <w:rFonts w:cs="Times New Roman"/>
          <w:sz w:val="24"/>
        </w:rPr>
        <w:t xml:space="preserve"> </w:t>
      </w:r>
      <w:r w:rsidRPr="001571EE">
        <w:rPr>
          <w:rFonts w:cs="Times New Roman"/>
          <w:sz w:val="24"/>
        </w:rPr>
        <w:t xml:space="preserve">a eliminace hlavních rizikových faktorů onkologických onemocnění souvisejících s nezdravým životním stylem. </w:t>
      </w:r>
    </w:p>
    <w:p w:rsidR="001571EE" w:rsidRPr="001571EE" w:rsidP="001571EE" w14:paraId="3E37C570" w14:textId="7D4010C9">
      <w:pPr>
        <w:rPr>
          <w:rFonts w:cs="Times New Roman"/>
          <w:sz w:val="24"/>
        </w:rPr>
      </w:pPr>
      <w:r w:rsidRPr="001571EE">
        <w:rPr>
          <w:rFonts w:cs="Times New Roman"/>
          <w:sz w:val="24"/>
        </w:rPr>
        <w:t>Epidemiologická zátěž české populace zhoubnými nádory zůstává stále vysoká, i když v</w:t>
      </w:r>
      <w:r w:rsidR="005D1A37">
        <w:rPr>
          <w:rFonts w:cs="Times New Roman"/>
          <w:sz w:val="24"/>
        </w:rPr>
        <w:t> </w:t>
      </w:r>
      <w:r w:rsidRPr="001571EE">
        <w:rPr>
          <w:rFonts w:cs="Times New Roman"/>
          <w:sz w:val="24"/>
        </w:rPr>
        <w:t>uplynulém desetiletí se trend vývoje významně obrátil k lepšímu. V celkové incidenci zhoubných nádorů zaujímá česká populace 16.–17. místo v Evropě a 21.–22. místo ve světě. Jde o pozitivní posun, ještě na počátku tisíciletí patřila ČR k nejvíce zatíženým zemím Evropy. Velmi pozitivním faktem je stabilizace a u řady diagnóz i pokles celkové mortality. Ve srovnání standardizované mortality zaujímá ČR 22. místo v Evropě a 48. místo ve světě. Přesto v ČR mortalita na zhoubné nádory dlouhodobě představuje druhou nejčastější příčinu úmrtí a</w:t>
      </w:r>
      <w:r w:rsidR="005D1A37">
        <w:rPr>
          <w:rFonts w:cs="Times New Roman"/>
          <w:sz w:val="24"/>
        </w:rPr>
        <w:t> </w:t>
      </w:r>
      <w:r w:rsidRPr="001571EE">
        <w:rPr>
          <w:rFonts w:cs="Times New Roman"/>
          <w:sz w:val="24"/>
        </w:rPr>
        <w:t xml:space="preserve">druhou nejčastější příčinu předčasného úmrtí u osob do 65 let věku. </w:t>
      </w:r>
    </w:p>
    <w:p w:rsidR="001571EE" w:rsidP="001571EE" w14:paraId="67E13891" w14:textId="1CB37A2A">
      <w:pPr>
        <w:rPr>
          <w:rFonts w:cs="Times New Roman"/>
          <w:sz w:val="24"/>
        </w:rPr>
      </w:pPr>
      <w:r w:rsidRPr="001571EE">
        <w:rPr>
          <w:rFonts w:cs="Times New Roman"/>
          <w:sz w:val="24"/>
        </w:rPr>
        <w:t>Rozevírající se trend mezi incidencí a mortalitou nevyhnutelně zvyšuje prevalenci onkologických onemocnění, o která se zdravotnický systém musí dlouhodoběji starat. V</w:t>
      </w:r>
      <w:r w:rsidR="005D1A37">
        <w:rPr>
          <w:rFonts w:cs="Times New Roman"/>
          <w:sz w:val="24"/>
        </w:rPr>
        <w:t> </w:t>
      </w:r>
      <w:r w:rsidRPr="001571EE">
        <w:rPr>
          <w:rFonts w:cs="Times New Roman"/>
          <w:sz w:val="24"/>
        </w:rPr>
        <w:t>absolutních počtech je ročně v ČR nově diagnostikováno 60 000 zhoubných novotvarů (bez jiných kožních nádorů), ročně je registrováno cca 28 000 úmrtí na zhoubné nádory (ZN) a</w:t>
      </w:r>
      <w:r w:rsidR="005D1A37">
        <w:rPr>
          <w:rFonts w:cs="Times New Roman"/>
          <w:sz w:val="24"/>
        </w:rPr>
        <w:t> </w:t>
      </w:r>
      <w:r w:rsidRPr="001571EE">
        <w:rPr>
          <w:rFonts w:cs="Times New Roman"/>
          <w:sz w:val="24"/>
        </w:rPr>
        <w:t>v</w:t>
      </w:r>
      <w:r w:rsidR="005D1A37">
        <w:rPr>
          <w:rFonts w:cs="Times New Roman"/>
          <w:sz w:val="24"/>
        </w:rPr>
        <w:t> </w:t>
      </w:r>
      <w:r w:rsidRPr="001571EE">
        <w:rPr>
          <w:rFonts w:cs="Times New Roman"/>
          <w:sz w:val="24"/>
        </w:rPr>
        <w:t>celkové prevalenci s nálezem jakéhokoli novotvaru v anamnéze žije více než 700 000 osob (diagnózy C00–C97, D00–D48). Mezi nejčastější diagnózy patří ZN prostaty, ZN prsu, ZN tlustého střeva a konečníku a ZN plic. Pořadí v mortalitě je významně odlišné, v ročním počtu úmrtí dominují ZN plic, následované ZN tlustého střeva a konečníku a ZN slinivky břišní. Spektrum zastoupení jednotlivých onkologických diagnóz se pro různé věkové kategorie značně liší. Zatímco nejčastější malignitou u mladých dospělých (20–29 let) je ZN varlete (C62) a ZN štítné žlázy (C73), u osob ve věku 30–59 let se jedná o ZN prsu. Osobám ve věku 60–79 let je nejčastěji diagnostikován ZN prostaty a u starších osob ve věku nad 80 let dominují ZN tlustého střeva a konečníku.</w:t>
      </w:r>
    </w:p>
    <w:p w:rsidR="001571EE" w:rsidRPr="001571EE" w:rsidP="001571EE" w14:paraId="2E2CF3FA" w14:textId="2BDF3AD6">
      <w:pPr>
        <w:rPr>
          <w:rFonts w:cs="Times New Roman"/>
          <w:sz w:val="24"/>
        </w:rPr>
      </w:pPr>
      <w:r w:rsidRPr="001571EE">
        <w:rPr>
          <w:rFonts w:cs="Times New Roman"/>
          <w:sz w:val="24"/>
        </w:rPr>
        <w:t xml:space="preserve">Analýza epidemiologických a demografických dat dále potvrdila, že stávající trendy rostoucí onkologické zátěže budou v dalších dvou dekádách nevyhnutelně pokračovat. Rizikovost demografického stárnutí populace nadto umocňuje i „nezdravé“ stárnutí, způsobené zejména nezdravým životním stylem podstatné části populace. Více než 70 % seniorů nad 65 let trpí minimálně jednou vážnou chronickou chorobou a v délce života ve zdraví je česká populace dlouhodobě pod evropským průměrem. Všechny tyto faktory povedou k růstu počtu onkologických onemocnění. I středně rizikové scénáře predikcí ukazují do roku 2040 nárůst incidence zhoubných nádorů o 18–20 %, u prevalence dokonce až o více než 40 </w:t>
      </w:r>
      <w:r>
        <w:rPr>
          <w:rFonts w:cs="Times New Roman"/>
          <w:sz w:val="24"/>
        </w:rPr>
        <w:t>%.</w:t>
      </w:r>
    </w:p>
    <w:p w:rsidR="0070160F" w:rsidP="005D1A37" w14:paraId="6133EC7A" w14:textId="221BF361">
      <w:pPr>
        <w:rPr>
          <w:rFonts w:cs="Times New Roman"/>
          <w:sz w:val="24"/>
        </w:rPr>
      </w:pPr>
      <w:r w:rsidRPr="001571EE">
        <w:rPr>
          <w:rFonts w:cs="Times New Roman"/>
          <w:sz w:val="24"/>
        </w:rPr>
        <w:t xml:space="preserve">V uplynulých 20 letech výrazně narostl počet zhoubných novotvarů diagnostikovaných jako následné primární novotvary u onkologických pacientů. V dětské onkologii je tématem nejen výskyt druhých primárních nádorů, ale i třetích, čtvrtých a dalších. Avšak problém následných malignit u onkologických pacientů se týká celé populace. V období 2011–2020 bylo v ČR průměrně ročně nově diagnostikováno celkem 11 316 případů jako následný primární novotvar. Tyto následné malignity tak představovaly téměř 20 % všech nově </w:t>
      </w:r>
      <w:r w:rsidRPr="001571EE">
        <w:rPr>
          <w:rFonts w:cs="Times New Roman"/>
          <w:sz w:val="24"/>
        </w:rPr>
        <w:t>diagnostikovaných nádorů. Pro srovnání v letech 1991–2000 bylo takto zachyceno průměrně ročně cca 3 700 následných malignit, což bylo pouze 8,5 % celkové roční incidence zhoubných nádor</w:t>
      </w:r>
      <w:r w:rsidR="005D1A37">
        <w:rPr>
          <w:rFonts w:cs="Times New Roman"/>
          <w:sz w:val="24"/>
        </w:rPr>
        <w:t>ů.</w:t>
      </w:r>
    </w:p>
    <w:p w:rsidR="0070160F" w:rsidRPr="005D1A37" w:rsidP="004112B4" w14:paraId="5F35B2E9" w14:textId="759AC034">
      <w:pPr>
        <w:keepLines/>
        <w:widowControl w:val="0"/>
        <w:suppressAutoHyphens/>
        <w:rPr>
          <w:rFonts w:cs="Times New Roman"/>
          <w:sz w:val="24"/>
        </w:rPr>
      </w:pPr>
      <w:r w:rsidRPr="005D1A37">
        <w:rPr>
          <w:rFonts w:cs="Times New Roman"/>
          <w:b/>
          <w:bCs/>
          <w:sz w:val="24"/>
        </w:rPr>
        <w:t>Pediatri</w:t>
      </w:r>
      <w:r>
        <w:rPr>
          <w:rFonts w:cs="Times New Roman"/>
          <w:b/>
          <w:bCs/>
          <w:sz w:val="24"/>
        </w:rPr>
        <w:t>cká péče</w:t>
      </w:r>
      <w:r w:rsidRPr="005D1A37">
        <w:rPr>
          <w:rFonts w:cs="Times New Roman"/>
          <w:sz w:val="24"/>
        </w:rPr>
        <w:t xml:space="preserve"> </w:t>
      </w:r>
      <w:r w:rsidRPr="005D1A37" w:rsidR="004112B4">
        <w:rPr>
          <w:rFonts w:cs="Times New Roman"/>
          <w:sz w:val="24"/>
        </w:rPr>
        <w:t xml:space="preserve">– Péče o zdraví novorozenců, kojenců, dětí a mladistvých je zásadní pro jejich optimální fyzický a duševní vývoj. Podpora pediatrické péče zahrnuje dlouhodobé směřování v poskytování zdravotních služeb dětem všech věkových kategorií, s důrazem na prevenci a komplexní přístup. Vzhledem k snižujícímu se počtu hospitalizovaných dětí a zkracující se době hospitalizace je navržena racionalizace péče o děti, včetně rozšíření ambulantních týmů o odborníky jako fyzioterapeuty, logopedy, nutriční terapeuty, klinické psychology a další specialisty. Prevence a včasná diagnostika zdravotních problémů zajistí, že děti budou mít lepší start do života a optimální fyzický i duševní vývoj. Rozšíření ambulantních týmů o odborníky umožní efektivnější péči a sníží potřebu dlouhodobých hospitalizací. </w:t>
      </w:r>
    </w:p>
    <w:p w:rsidR="0070160F" w:rsidRPr="005D1A37" w:rsidP="00436997" w14:paraId="6B724219" w14:textId="20F0CA48">
      <w:pPr>
        <w:pStyle w:val="ListParagraph"/>
        <w:keepLines/>
        <w:widowControl w:val="0"/>
        <w:numPr>
          <w:ilvl w:val="0"/>
          <w:numId w:val="0"/>
        </w:numPr>
        <w:suppressAutoHyphens/>
        <w:rPr>
          <w:rFonts w:cstheme="minorHAnsi"/>
          <w:sz w:val="24"/>
          <w:szCs w:val="24"/>
        </w:rPr>
      </w:pPr>
      <w:r w:rsidRPr="005D1A37">
        <w:rPr>
          <w:rFonts w:cs="Times New Roman"/>
          <w:b/>
          <w:bCs w:val="0"/>
          <w:sz w:val="24"/>
          <w:szCs w:val="24"/>
        </w:rPr>
        <w:t xml:space="preserve">Péče o těhotné ženy, ženy při porodu, ženy v poporodním období, novorozence a jejich </w:t>
      </w:r>
      <w:r w:rsidRPr="005D1A37" w:rsidR="00E22AF8">
        <w:rPr>
          <w:rFonts w:cs="Times New Roman"/>
          <w:b/>
          <w:bCs w:val="0"/>
          <w:sz w:val="24"/>
          <w:szCs w:val="24"/>
        </w:rPr>
        <w:t>rodiny</w:t>
      </w:r>
      <w:r w:rsidRPr="005D1A37" w:rsidR="00E22AF8">
        <w:rPr>
          <w:rFonts w:cs="Times New Roman"/>
          <w:sz w:val="24"/>
          <w:szCs w:val="24"/>
        </w:rPr>
        <w:t xml:space="preserve"> – Systém</w:t>
      </w:r>
      <w:r w:rsidRPr="005D1A37" w:rsidR="004112B4">
        <w:rPr>
          <w:rFonts w:cstheme="minorHAnsi"/>
          <w:sz w:val="24"/>
          <w:szCs w:val="24"/>
        </w:rPr>
        <w:t xml:space="preserve"> péče o těhotné a rodící ženy představuje v ČR hustou síť poskytovatelů zdravotních služeb. </w:t>
      </w:r>
      <w:r w:rsidRPr="005D1A37" w:rsidR="004112B4">
        <w:rPr>
          <w:rFonts w:cstheme="minorHAnsi"/>
          <w:sz w:val="24"/>
          <w:szCs w:val="24"/>
          <w:highlight w:val="white"/>
        </w:rPr>
        <w:t>Indikátory reprodukčního zdraví populace ukazují na to, že prenatální péče o těhotné ženy je v ČR dlouhodobě na vysoké úrovni. Dokládá to např. časování prvních návštěv v souvislosti s těhotenstvím u gynekologa. Více než 80 % žen absolvuje první prohlídku již mezi 1. až 12. týdnem těhotenství.</w:t>
      </w:r>
    </w:p>
    <w:p w:rsidR="001571EE" w:rsidRPr="005D1A37" w:rsidP="001571EE" w14:paraId="7CFDA4A6" w14:textId="54133EB5">
      <w:pPr>
        <w:rPr>
          <w:sz w:val="24"/>
        </w:rPr>
      </w:pPr>
      <w:r w:rsidRPr="005D1A37">
        <w:rPr>
          <w:sz w:val="24"/>
        </w:rPr>
        <w:t>Studie MUDr. Antonína Šebely, Ph.D. z Centra perinatálního duševního zdraví popisuje, že perinatální období s sebou nese pro ženy riziko vzniku nebo recidivy duševních poruch. Vysoká prevalence běžných perinatálních duševních poruch (20 % v případě úzkostných poruch a 17 % v případě deprese) představuje závažný celosvětový problém</w:t>
      </w:r>
      <w:r>
        <w:rPr>
          <w:rStyle w:val="FootnoteReference"/>
          <w:sz w:val="24"/>
        </w:rPr>
        <w:footnoteReference w:id="40"/>
      </w:r>
      <w:r w:rsidRPr="005D1A37">
        <w:rPr>
          <w:sz w:val="24"/>
        </w:rPr>
        <w:t>, zejména s ohledem na řadu negativních důsledků, pokud nejsou léčeny. Nejen to, že neléčená perinatální deprese je spojena s ekonomickými potížemi, horší kvalitou života, problémy ve vztazích nebo rizikovým chováním – kouření nebo sebevražedné chování u žen, ale může také vést ke komplikacím v</w:t>
      </w:r>
      <w:r w:rsidR="005D1A37">
        <w:rPr>
          <w:sz w:val="24"/>
        </w:rPr>
        <w:t> </w:t>
      </w:r>
      <w:r w:rsidRPr="005D1A37">
        <w:rPr>
          <w:sz w:val="24"/>
        </w:rPr>
        <w:t>těhotenství (preeklampsie, spontánní potrat) nebo abnormálnímu vývoji plodu či dítěte – abnormality placenty, nitroděložní růstová restrikce, nízká porodní hmotnost apod.</w:t>
      </w:r>
      <w:r>
        <w:rPr>
          <w:rStyle w:val="FootnoteReference"/>
          <w:sz w:val="24"/>
        </w:rPr>
        <w:footnoteReference w:id="41"/>
      </w:r>
      <w:r w:rsidRPr="005D1A37">
        <w:rPr>
          <w:sz w:val="24"/>
        </w:rPr>
        <w:t xml:space="preserve"> </w:t>
      </w:r>
    </w:p>
    <w:p w:rsidR="005D1A37" w:rsidP="005D1A37" w14:paraId="35550A44" w14:textId="77777777">
      <w:pPr>
        <w:rPr>
          <w:sz w:val="24"/>
        </w:rPr>
      </w:pPr>
      <w:r w:rsidRPr="005D1A37">
        <w:rPr>
          <w:sz w:val="24"/>
        </w:rPr>
        <w:t>Některé studie navíc naznačují, že negativní dopad prenatální deprese a úzkosti může přetrvávat i po časném postnatálním období, neboť u exponovaných dětí se později v životě projevily problémy s</w:t>
      </w:r>
      <w:r w:rsidRPr="005D1A37">
        <w:rPr>
          <w:sz w:val="24"/>
        </w:rPr>
        <w:t> </w:t>
      </w:r>
      <w:r w:rsidRPr="005D1A37">
        <w:rPr>
          <w:sz w:val="24"/>
        </w:rPr>
        <w:t>chováním, horší kognitivní schopnosti a exekutivní dysfunkce, zvýšené sociální stažení a emoční problémy. Nedávná epidemiologická studie z České republiky ukázala, že až 75 % žen s perinatálními psychickými obtížemi nevyhledá odbornou pomoc</w:t>
      </w:r>
      <w:r>
        <w:rPr>
          <w:rStyle w:val="FootnoteReference"/>
          <w:sz w:val="24"/>
        </w:rPr>
        <w:footnoteReference w:id="42"/>
      </w:r>
      <w:r w:rsidRPr="005D1A37">
        <w:rPr>
          <w:sz w:val="24"/>
        </w:rPr>
        <w:t xml:space="preserve">, </w:t>
      </w:r>
      <w:r w:rsidRPr="005D1A37">
        <w:rPr>
          <w:sz w:val="24"/>
        </w:rPr>
        <w:t>a proto tyto ženy nejsou léčeny. Přitom česká data ukazují, že výskyt psychiatrických poruch u</w:t>
      </w:r>
      <w:r>
        <w:rPr>
          <w:sz w:val="24"/>
        </w:rPr>
        <w:t> </w:t>
      </w:r>
      <w:r w:rsidRPr="005D1A37">
        <w:rPr>
          <w:sz w:val="24"/>
        </w:rPr>
        <w:t>žen na konci šestinedělí je 13,6 %</w:t>
      </w:r>
      <w:r>
        <w:rPr>
          <w:rStyle w:val="FootnoteReference"/>
          <w:sz w:val="24"/>
        </w:rPr>
        <w:footnoteReference w:id="43"/>
      </w:r>
      <w:r w:rsidRPr="005D1A37">
        <w:rPr>
          <w:sz w:val="24"/>
        </w:rPr>
        <w:t>.</w:t>
      </w:r>
    </w:p>
    <w:p w:rsidR="001571EE" w:rsidRPr="005D1A37" w:rsidP="005D1A37" w14:paraId="23BF4D1A" w14:textId="1A779398">
      <w:pPr>
        <w:rPr>
          <w:sz w:val="24"/>
        </w:rPr>
      </w:pPr>
    </w:p>
    <w:p w:rsidR="00F63E76" w:rsidP="0070747B" w14:paraId="43B7170B" w14:textId="508CEC5E">
      <w:pPr>
        <w:pStyle w:val="Podkapitola111opaten"/>
        <w:numPr>
          <w:ilvl w:val="2"/>
          <w:numId w:val="44"/>
        </w:numPr>
        <w:ind w:left="1276" w:hanging="502"/>
        <w:jc w:val="both"/>
      </w:pPr>
      <w:bookmarkStart w:id="515" w:name="_Toc256000047"/>
      <w:r w:rsidRPr="004C0CFB">
        <w:t>Specifický cíl 2.</w:t>
      </w:r>
      <w:r>
        <w:t>8</w:t>
      </w:r>
      <w:r w:rsidRPr="00225F93">
        <w:t xml:space="preserve"> </w:t>
      </w:r>
      <w:r w:rsidR="00102850">
        <w:t>-</w:t>
      </w:r>
      <w:r w:rsidRPr="00225F93">
        <w:t xml:space="preserve"> </w:t>
      </w:r>
      <w:r w:rsidR="00370D7A">
        <w:t>Zvýšení kvality poskytovaných zdravotních služeb v ČR</w:t>
      </w:r>
      <w:bookmarkEnd w:id="515"/>
    </w:p>
    <w:p w:rsidR="00370D7A" w:rsidRPr="003C7F59" w:rsidP="0070747B" w14:paraId="5129EB77" w14:textId="77777777">
      <w:pPr>
        <w:rPr>
          <w:color w:val="auto"/>
          <w:sz w:val="24"/>
        </w:rPr>
      </w:pPr>
      <w:r w:rsidRPr="003C7F59">
        <w:rPr>
          <w:color w:val="auto"/>
          <w:sz w:val="24"/>
        </w:rPr>
        <w:t xml:space="preserve">Tento cíl byl do Strategického rámce Zdraví 2035 zařazen ve vazbě na aktualizaci a prolongaci Strategického rámce rozvoje péče o zdraví v České republice do roku 2030. Zaměřuje se na aktivity Ministerstva zdravotnictví, které mají pozitivní vliv na zvyšování úrovně kvality poskytovaných zdravotních služeb (implementace mezinárodních programů na podporu </w:t>
      </w:r>
      <w:r w:rsidRPr="003C7F59">
        <w:rPr>
          <w:color w:val="auto"/>
          <w:sz w:val="24"/>
        </w:rPr>
        <w:t xml:space="preserve">zdraví a odvykání kouření, participace v projektu Národní hodnocení spokojenosti pacientů, posílení spolupráce s pacientskými organizacemi) a současně svou implementací umožňují zvýšení efektivity personálních kapacit u poskytovatelů lůžkové péče (zavedení programu dobrovolnictví ve zdravotnictví, zřízení ombudsosoby). </w:t>
      </w:r>
    </w:p>
    <w:p w:rsidR="00370D7A" w:rsidRPr="003C7F59" w:rsidP="0070747B" w14:paraId="503B22D3" w14:textId="77777777">
      <w:pPr>
        <w:rPr>
          <w:b/>
          <w:color w:val="auto"/>
          <w:sz w:val="24"/>
        </w:rPr>
      </w:pPr>
      <w:r w:rsidRPr="003C7F59">
        <w:rPr>
          <w:b/>
          <w:color w:val="auto"/>
          <w:sz w:val="24"/>
        </w:rPr>
        <w:t>Dobrovolnictví ve zdravotnictví</w:t>
      </w:r>
    </w:p>
    <w:p w:rsidR="00370D7A" w:rsidRPr="003C7F59" w14:paraId="07B3D664" w14:textId="77777777">
      <w:pPr>
        <w:rPr>
          <w:color w:val="auto"/>
          <w:sz w:val="24"/>
        </w:rPr>
      </w:pPr>
      <w:r w:rsidRPr="003C7F59">
        <w:rPr>
          <w:color w:val="auto"/>
          <w:sz w:val="24"/>
        </w:rPr>
        <w:t>Obecné dobrovolnictví se v ČR vyskytuje na mnoha místech dlouhodobě a naleží do gesce Ministerstva vnitra. Jelikož však je zdravotnictví specifickým prostředím, kde nebylo možné aplikovat dosavadní principy poskytování dobrovolnické činnosti, byl ke dni 1.6.2019 zahájen projekt „</w:t>
      </w:r>
      <w:hyperlink r:id="rId39" w:history="1">
        <w:r w:rsidRPr="003C7F59">
          <w:rPr>
            <w:rStyle w:val="Hyperlink"/>
            <w:color w:val="auto"/>
            <w:sz w:val="24"/>
          </w:rPr>
          <w:t>Efektivizace systému nemocniční péče v ČR prostřednictvím dobrovolnické činnosti CZ.03.3.X/0.0/0.0/15_018/0007517</w:t>
        </w:r>
      </w:hyperlink>
      <w:r w:rsidRPr="003C7F59">
        <w:rPr>
          <w:color w:val="auto"/>
          <w:sz w:val="24"/>
        </w:rPr>
        <w:t xml:space="preserve">“, který vznikl za finanční podpory Evropského sociálního fondu EU, Operační program Zaměstnanost. Projekt měl za cíl řešit t.č. omezenou a nedostatečnou roli dobrovolnictví pro potřeby poskytování kvalitní, bezpečné a efektivní zdravotní péče pacientům hospitalizovaným v lůžkových zdravotnických zařízeních ČR. Tento projekt byl ukončen v roce 2023 a dal velmi kvalitní základ pro metodické uchopení dobrovolnictví ve zdravotnictví, způsob realizace apod. Do projektu bylo zařazeno 14 poskytovatelů zdravotních služeb (PZS) bez dobrovolnického programu (z celkových 30 PZS), kteří získali kromě finanční podpory pro implementaci programu též velmi silnou podporu metodickou. Od roku 2013, kdy se ve spolupráci s ÚZIS ČR ročně sleduje počet PZS s dobrovolnickým programem, lze konstatovat, že do roku 2018 byl </w:t>
      </w:r>
      <w:hyperlink r:id="rId40" w:history="1">
        <w:r w:rsidRPr="003C7F59">
          <w:rPr>
            <w:rStyle w:val="Hyperlink"/>
            <w:color w:val="auto"/>
            <w:sz w:val="24"/>
          </w:rPr>
          <w:t>počet PZS s dobrovolnickým programem</w:t>
        </w:r>
      </w:hyperlink>
      <w:r w:rsidRPr="003C7F59">
        <w:rPr>
          <w:color w:val="auto"/>
          <w:sz w:val="24"/>
        </w:rPr>
        <w:t xml:space="preserve"> rostoucí. Od roku 2019 však evidujeme klesající trend. K roku 2023 je evidováno 129 PZS, podrobněji vizte na grafu níže </w:t>
      </w:r>
      <w:r w:rsidRPr="003C7F59">
        <w:rPr>
          <w:i/>
          <w:iCs/>
          <w:color w:val="auto"/>
          <w:sz w:val="24"/>
        </w:rPr>
        <w:t>(pozn.: data se získávají vždy k listopadu daného roku za rok předchozí, proto není možné nyní poskytnout aktuálnější data)</w:t>
      </w:r>
      <w:r w:rsidRPr="003C7F59">
        <w:rPr>
          <w:color w:val="auto"/>
          <w:sz w:val="24"/>
        </w:rPr>
        <w:t>.</w:t>
      </w:r>
    </w:p>
    <w:p w:rsidR="000D1C3E" w:rsidRPr="00BB7C6B" w:rsidP="000D1C3E" w14:paraId="1664AC7E" w14:textId="1C0AF78E">
      <w:pPr>
        <w:pStyle w:val="Caption"/>
      </w:pPr>
      <w:r w:rsidRPr="00BB7C6B">
        <w:t>Graf</w:t>
      </w:r>
      <w:r>
        <w:t>y 11,12</w:t>
      </w:r>
      <w:r w:rsidRPr="008729A1">
        <w:t xml:space="preserve"> </w:t>
      </w:r>
      <w:r>
        <w:t>Počet zdravotnických zařízení s dobrovolnickým programem, počet dobrovolníků</w:t>
      </w:r>
    </w:p>
    <w:p w:rsidR="000D1C3E" w:rsidRPr="0070747B" w:rsidP="0070747B" w14:paraId="7A38E4DC" w14:textId="77777777">
      <w:pPr>
        <w:rPr>
          <w:color w:val="C00000"/>
          <w:sz w:val="24"/>
        </w:rPr>
      </w:pPr>
    </w:p>
    <w:p w:rsidR="00370D7A" w14:paraId="193476B9" w14:textId="77777777">
      <w:pPr>
        <w:jc w:val="center"/>
        <w:rPr>
          <w:color w:val="C00000"/>
          <w:sz w:val="24"/>
        </w:rPr>
      </w:pPr>
      <w:r w:rsidRPr="00A4212E">
        <w:rPr>
          <w:noProof/>
        </w:rPr>
        <w:drawing>
          <wp:inline distT="0" distB="0" distL="0" distR="0">
            <wp:extent cx="3771900" cy="3771900"/>
            <wp:effectExtent l="0" t="0" r="0" b="0"/>
            <wp:docPr id="18510695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69520" name="Picture 4"/>
                    <pic:cNvPicPr>
                      <a:picLocks noChangeAspect="1" noChangeArrowheads="1"/>
                    </pic:cNvPicPr>
                  </pic:nvPicPr>
                  <pic:blipFill>
                    <a:blip xmlns:r="http://schemas.openxmlformats.org/officeDocument/2006/relationships" r:embed="rId4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3771900" cy="3771900"/>
                    </a:xfrm>
                    <a:prstGeom prst="rect">
                      <a:avLst/>
                    </a:prstGeom>
                    <a:noFill/>
                    <a:ln>
                      <a:noFill/>
                    </a:ln>
                  </pic:spPr>
                </pic:pic>
              </a:graphicData>
            </a:graphic>
          </wp:inline>
        </w:drawing>
      </w:r>
    </w:p>
    <w:p w:rsidR="000D1C3E" w:rsidRPr="003C7F59" w:rsidP="0070747B" w14:paraId="6A193048" w14:textId="66F13CC0">
      <w:pPr>
        <w:jc w:val="left"/>
        <w:rPr>
          <w:color w:val="auto"/>
          <w:sz w:val="16"/>
          <w:szCs w:val="16"/>
        </w:rPr>
      </w:pPr>
      <w:r w:rsidRPr="003C7F59">
        <w:rPr>
          <w:color w:val="auto"/>
          <w:sz w:val="20"/>
          <w:szCs w:val="20"/>
        </w:rPr>
        <w:t>Zdroj</w:t>
      </w:r>
      <w:r w:rsidRPr="003C7F59" w:rsidR="003C7F59">
        <w:rPr>
          <w:color w:val="auto"/>
          <w:sz w:val="20"/>
          <w:szCs w:val="20"/>
        </w:rPr>
        <w:t>:</w:t>
      </w:r>
      <w:r w:rsidRPr="003C7F59">
        <w:rPr>
          <w:color w:val="auto"/>
          <w:sz w:val="20"/>
          <w:szCs w:val="20"/>
        </w:rPr>
        <w:t xml:space="preserve"> UZIS</w:t>
      </w:r>
    </w:p>
    <w:p w:rsidR="00370D7A" w:rsidRPr="003C7F59" w:rsidP="0070747B" w14:paraId="0CBB5A1F" w14:textId="77777777">
      <w:pPr>
        <w:rPr>
          <w:color w:val="auto"/>
          <w:sz w:val="24"/>
        </w:rPr>
      </w:pPr>
      <w:r w:rsidRPr="003C7F59">
        <w:rPr>
          <w:color w:val="auto"/>
          <w:sz w:val="24"/>
        </w:rPr>
        <w:t xml:space="preserve">V rámci IP 2.8. je proto počítáno s aktivitami a dílčími cíli, jež povedou k navýšení počtu nejen PZS s dobrovolnickým programem, ale též k navýšení počtu dobrovolníků. </w:t>
      </w:r>
    </w:p>
    <w:p w:rsidR="00370D7A" w:rsidP="0070747B" w14:paraId="0A7D129C" w14:textId="77777777">
      <w:pPr>
        <w:rPr>
          <w:color w:val="auto"/>
          <w:sz w:val="24"/>
        </w:rPr>
      </w:pPr>
      <w:r w:rsidRPr="003C7F59">
        <w:rPr>
          <w:color w:val="auto"/>
          <w:sz w:val="24"/>
        </w:rPr>
        <w:t xml:space="preserve">Za možné důvody nedostatečného zájmu o program dobrovolnictví, na které se chce MZD v této strategii zaměřit, jsou shledávány především: nesprávné uchopení tohoto programu v praxi, který může mít za následek zbytečné zatížení zdravotnického personálu, nepochopení přínosu iniciativy, organizační zatížení, nedostatečná komunikace a koordinace na národní úrovni. Detailní informace o dobrovolnictví ve zdravotnictví jsou dostupné zde: </w:t>
      </w:r>
      <w:hyperlink r:id="rId42" w:history="1">
        <w:r w:rsidRPr="003C7F59">
          <w:rPr>
            <w:rStyle w:val="Hyperlink"/>
            <w:color w:val="auto"/>
            <w:sz w:val="24"/>
          </w:rPr>
          <w:t>Dobrovolnictví ve zdravotnictví – Ministerstvo zdravotnictví</w:t>
        </w:r>
      </w:hyperlink>
      <w:r w:rsidRPr="003C7F59">
        <w:rPr>
          <w:color w:val="auto"/>
          <w:sz w:val="24"/>
        </w:rPr>
        <w:t xml:space="preserve">. </w:t>
      </w:r>
    </w:p>
    <w:p w:rsidR="003C7F59" w:rsidRPr="003C7F59" w:rsidP="0070747B" w14:paraId="79C35A5D" w14:textId="77777777">
      <w:pPr>
        <w:rPr>
          <w:color w:val="auto"/>
          <w:sz w:val="24"/>
        </w:rPr>
      </w:pPr>
    </w:p>
    <w:p w:rsidR="00370D7A" w:rsidRPr="003C7F59" w:rsidP="0070747B" w14:paraId="7B3F98C0" w14:textId="77777777">
      <w:pPr>
        <w:rPr>
          <w:b/>
          <w:color w:val="auto"/>
          <w:sz w:val="24"/>
        </w:rPr>
      </w:pPr>
      <w:r w:rsidRPr="003C7F59">
        <w:rPr>
          <w:b/>
          <w:noProof/>
          <w:color w:val="auto"/>
          <w:sz w:val="24"/>
        </w:rPr>
        <w:t>Mezinárodní programy (HPH, GNTH)</w:t>
      </w:r>
    </w:p>
    <w:p w:rsidR="00370D7A" w:rsidRPr="003C7F59" w:rsidP="0070747B" w14:paraId="51D3F2CA" w14:textId="477A5876">
      <w:pPr>
        <w:rPr>
          <w:color w:val="auto"/>
          <w:sz w:val="24"/>
        </w:rPr>
      </w:pPr>
      <w:r w:rsidRPr="003C7F59">
        <w:rPr>
          <w:color w:val="auto"/>
          <w:sz w:val="24"/>
        </w:rPr>
        <w:t xml:space="preserve">Obdobná situace je již dlouhodobě evidována u mezinárodních programů </w:t>
      </w:r>
      <w:hyperlink r:id="rId43" w:history="1">
        <w:r w:rsidRPr="003C7F59">
          <w:rPr>
            <w:rStyle w:val="Hyperlink"/>
            <w:color w:val="auto"/>
            <w:sz w:val="24"/>
          </w:rPr>
          <w:t>Health Promoting Hospitals &amp; Health Services (HPH)</w:t>
        </w:r>
      </w:hyperlink>
      <w:r w:rsidRPr="003C7F59">
        <w:rPr>
          <w:color w:val="auto"/>
          <w:sz w:val="24"/>
        </w:rPr>
        <w:t xml:space="preserve"> a </w:t>
      </w:r>
      <w:hyperlink r:id="rId44" w:history="1">
        <w:r w:rsidRPr="003C7F59">
          <w:rPr>
            <w:rStyle w:val="Hyperlink"/>
            <w:color w:val="auto"/>
            <w:sz w:val="24"/>
          </w:rPr>
          <w:t>The Global Network for Tobacco Free Healthcare Services (GNTH)</w:t>
        </w:r>
      </w:hyperlink>
      <w:r w:rsidRPr="003C7F59">
        <w:rPr>
          <w:color w:val="auto"/>
          <w:sz w:val="24"/>
        </w:rPr>
        <w:t>, které měly největší rozvoj mezi lety 2003 až 2019, kdy byly tyto projekty poskytovateli zdravotních služeb v ČR považovány za prestižní rozšíření běžné péče o své pacienty a</w:t>
      </w:r>
      <w:r w:rsidR="007E3FBE">
        <w:rPr>
          <w:color w:val="auto"/>
          <w:sz w:val="24"/>
        </w:rPr>
        <w:t> </w:t>
      </w:r>
      <w:r w:rsidRPr="003C7F59">
        <w:rPr>
          <w:color w:val="auto"/>
          <w:sz w:val="24"/>
        </w:rPr>
        <w:t xml:space="preserve">zaměstnance. Ke každé této iniciativě je v rámci ČR zřízena tzv. národní síť, která je v gesci Ministerstva zdravotnictví, jež zodpovídá za národní implementaci, rozvoj sítě, metodickou podporu členských poskytovatelů zdravotních služeb atp. </w:t>
      </w:r>
      <w:hyperlink r:id="rId45" w:history="1">
        <w:r w:rsidRPr="003C7F59">
          <w:rPr>
            <w:rStyle w:val="Hyperlink"/>
            <w:color w:val="auto"/>
            <w:sz w:val="24"/>
          </w:rPr>
          <w:t>Národní síť nemocnic</w:t>
        </w:r>
        <w:r w:rsidRPr="003C7F59">
          <w:rPr>
            <w:rStyle w:val="Hyperlink"/>
            <w:noProof w:val="0"/>
            <w:color w:val="auto"/>
            <w:sz w:val="24"/>
          </w:rPr>
          <w:t xml:space="preserve"> a</w:t>
        </w:r>
        <w:r w:rsidR="007E3FBE">
          <w:rPr>
            <w:rStyle w:val="Hyperlink"/>
            <w:noProof w:val="0"/>
            <w:color w:val="auto"/>
            <w:sz w:val="24"/>
          </w:rPr>
          <w:t> </w:t>
        </w:r>
        <w:r w:rsidRPr="003C7F59">
          <w:rPr>
            <w:rStyle w:val="Hyperlink"/>
            <w:noProof w:val="0"/>
            <w:color w:val="auto"/>
            <w:sz w:val="24"/>
          </w:rPr>
          <w:t>zdravotnických zařízení bez tabáku</w:t>
        </w:r>
      </w:hyperlink>
      <w:r w:rsidRPr="003C7F59">
        <w:rPr>
          <w:color w:val="auto"/>
          <w:sz w:val="24"/>
        </w:rPr>
        <w:t xml:space="preserve"> vznikla v roce 2017, kdy MZD dle mezinárodních stanov GNTH sdružilo několik solitérně existujících členů na území ČR s cílem tento projekt lépe uchopit, vést a rozvíjet. Aktuálně čítá tato česká síť 15 členských PZS, nicméně je velice náročné tento stav udržet či jej navyšovat. </w:t>
      </w:r>
    </w:p>
    <w:p w:rsidR="00370D7A" w:rsidRPr="003C7F59" w:rsidP="0070747B" w14:paraId="4B15FEBB" w14:textId="44016920">
      <w:pPr>
        <w:rPr>
          <w:color w:val="auto"/>
          <w:sz w:val="24"/>
        </w:rPr>
      </w:pPr>
      <w:r w:rsidRPr="003C7F59">
        <w:rPr>
          <w:color w:val="auto"/>
          <w:sz w:val="24"/>
        </w:rPr>
        <w:t xml:space="preserve">Přínosy tohoto programu jsou především v odvykání kouření u pacientů a zaměstnanců daného PZS, snížení počtu aktivních kuřáků, snížení výskytu chronických neinfekčních chorob, zavedení efektivních intervenčních technik, cílení na substituční léčbu (více </w:t>
      </w:r>
      <w:hyperlink r:id="rId46" w:history="1">
        <w:r w:rsidRPr="003C7F59">
          <w:rPr>
            <w:rStyle w:val="Hyperlink"/>
            <w:color w:val="auto"/>
            <w:sz w:val="24"/>
          </w:rPr>
          <w:t>zde</w:t>
        </w:r>
      </w:hyperlink>
      <w:r w:rsidRPr="003C7F59">
        <w:rPr>
          <w:color w:val="auto"/>
          <w:sz w:val="24"/>
        </w:rPr>
        <w:t>), nicméně navzdory dlouhodobé snaze MZD tento projekt rozvíjet (např. vytvoření pracovní skupiny na MZD, propagace, pořádání konferencí apod.), nedochází k navýšení počtu zapojených PZS a</w:t>
      </w:r>
      <w:r w:rsidR="007E3FBE">
        <w:rPr>
          <w:color w:val="auto"/>
          <w:sz w:val="24"/>
        </w:rPr>
        <w:t> </w:t>
      </w:r>
      <w:r w:rsidRPr="003C7F59">
        <w:rPr>
          <w:color w:val="auto"/>
          <w:sz w:val="24"/>
        </w:rPr>
        <w:t>tím k žádoucímu rozvoji implementace programu v ČR. Zásadní překážku shledáváme v nově zavedeném členském poplatku, narůstající administrativní zátěži managementu PZS (, jehož člen je většinou lokální koordinátor), omezené personální kapacity PZS, nedostatečné povědomí o této iniciativě, nezájem PZS o aktivitu spojenou s dalším zatížením personálu a</w:t>
      </w:r>
      <w:r w:rsidR="007E3FBE">
        <w:rPr>
          <w:color w:val="auto"/>
          <w:sz w:val="24"/>
        </w:rPr>
        <w:t> </w:t>
      </w:r>
      <w:r w:rsidRPr="003C7F59">
        <w:rPr>
          <w:color w:val="auto"/>
          <w:sz w:val="24"/>
        </w:rPr>
        <w:t>dále též neefektivní spolupráci s mezinárodním sekretariátem GNTH. V důsledku toho je nutné zaměřit se na zkvalitnění komunikace přínosů této iniciativy s důrazem na skutečnost, že benefity implementace převýší nároky na vyšší zatížení personálu spojené s</w:t>
      </w:r>
      <w:r w:rsidR="007E3FBE">
        <w:rPr>
          <w:color w:val="auto"/>
          <w:sz w:val="24"/>
        </w:rPr>
        <w:t> </w:t>
      </w:r>
      <w:r w:rsidRPr="003C7F59">
        <w:rPr>
          <w:color w:val="auto"/>
          <w:sz w:val="24"/>
        </w:rPr>
        <w:t>administrativou, organizací a zajištěním aktivit spojených s účastí v národní síti HPH a/nebo GNTH. Žádoucí je též zaměřit se na podporu nových i stávajících členů.</w:t>
      </w:r>
    </w:p>
    <w:p w:rsidR="00370D7A" w:rsidRPr="003C7F59" w:rsidP="0070747B" w14:paraId="25DA337D" w14:textId="55866A53">
      <w:pPr>
        <w:rPr>
          <w:color w:val="auto"/>
          <w:sz w:val="24"/>
        </w:rPr>
      </w:pPr>
      <w:r w:rsidRPr="003C7F59">
        <w:rPr>
          <w:color w:val="auto"/>
          <w:sz w:val="24"/>
        </w:rPr>
        <w:t xml:space="preserve">Na totéž se chce MZD zaměřit v rámci </w:t>
      </w:r>
      <w:hyperlink r:id="rId47" w:history="1">
        <w:r w:rsidRPr="003C7F59">
          <w:rPr>
            <w:rStyle w:val="Hyperlink"/>
            <w:color w:val="auto"/>
            <w:sz w:val="24"/>
          </w:rPr>
          <w:t>Národní sítě nemocnic a zdravotnických zařízení podporujících zdraví</w:t>
        </w:r>
      </w:hyperlink>
      <w:r w:rsidRPr="003C7F59">
        <w:rPr>
          <w:color w:val="auto"/>
          <w:sz w:val="24"/>
        </w:rPr>
        <w:t xml:space="preserve">, která byla vytvořena již v roce 2003 a aktuální čítá 11 PZS. Stejně jako GNTH se program zaměřuje jak na pacienty, tak zaměstnance PZS, ale </w:t>
      </w:r>
      <w:hyperlink r:id="rId48" w:history="1">
        <w:r w:rsidRPr="003C7F59">
          <w:rPr>
            <w:rStyle w:val="Hyperlink"/>
            <w:color w:val="auto"/>
            <w:sz w:val="24"/>
          </w:rPr>
          <w:t>i na podporu zdraví široké veřejnosti v plném rozsahu</w:t>
        </w:r>
      </w:hyperlink>
      <w:r w:rsidRPr="003C7F59">
        <w:rPr>
          <w:color w:val="auto"/>
          <w:sz w:val="24"/>
        </w:rPr>
        <w:t xml:space="preserve"> (prevence, zdravý životní styl, pohyb, strava, snížení stresu atd.). Hlavní přínosy jsou např. ve snížení neinfekčních civilizačních chorob, zlepšení psychické pohody zaměstnanců a zvýšení jejich psychické i stresové odolnosti, edukaci pacientů a</w:t>
      </w:r>
      <w:r w:rsidR="007E3FBE">
        <w:rPr>
          <w:color w:val="auto"/>
          <w:sz w:val="24"/>
        </w:rPr>
        <w:t> </w:t>
      </w:r>
      <w:r w:rsidRPr="003C7F59">
        <w:rPr>
          <w:color w:val="auto"/>
          <w:sz w:val="24"/>
        </w:rPr>
        <w:t xml:space="preserve">zlepšení jejich životního stylu. V tomto programu je hrazen členský roční poplatek od zavedení programu v ČR, nicméně v průběhu jeho implementace došlo k jeho značnému navýšení. Tato finanční zátěž je pro lokální koordinátory HPH (i GNTH) čím dál obtížněji komunikována s vedením PZS, jelikož přínosy obou projektů jsou detekovány obtížně a často až v dlouhodobém horizontu (např. snížení nemocnosti personálu, zvýšení spokojenosti zaměstnanců, snížení počtu aktivních kuřáků atd.). </w:t>
      </w:r>
    </w:p>
    <w:p w:rsidR="00370D7A" w:rsidRPr="003C7F59" w:rsidP="0070747B" w14:paraId="3EF5F6EF" w14:textId="2DFDB5B2">
      <w:pPr>
        <w:rPr>
          <w:color w:val="auto"/>
          <w:sz w:val="24"/>
        </w:rPr>
      </w:pPr>
      <w:r w:rsidRPr="003C7F59">
        <w:rPr>
          <w:color w:val="auto"/>
          <w:sz w:val="24"/>
        </w:rPr>
        <w:t>Dlouhodobá podpora obou projektů je dále negativně ovlivňována personální nestabilitou a</w:t>
      </w:r>
      <w:r w:rsidR="007E3FBE">
        <w:rPr>
          <w:color w:val="auto"/>
          <w:sz w:val="24"/>
        </w:rPr>
        <w:t> </w:t>
      </w:r>
      <w:r w:rsidRPr="003C7F59">
        <w:rPr>
          <w:color w:val="auto"/>
          <w:sz w:val="24"/>
        </w:rPr>
        <w:t xml:space="preserve">fluktuací nejen ve vedoucích pozicích. Neochotu implementovat oba programy může též způsobovat či podněcovat jazyková bariéra, jelikož oba programy jsou vedeny plně v anglickém jazyce.  Tento faktor se MZD snaží minimalizovat překladem vybraných materiálů a jejich distribucí členům obou síti. Nicméně se značnou limitací v personálních i finančních kapacitách. Ve vazbě na stále posilující systém posuzování efektivity dle výkonových parametrů je nutné, aby se MZD zaměřilo na komunikaci cílenou na pochopení obou programů coby preventivních opatření s dlouhodobě pozitivním dopadem. </w:t>
      </w:r>
    </w:p>
    <w:p w:rsidR="00370D7A" w:rsidRPr="003C7F59" w:rsidP="0070747B" w14:paraId="7D0F1553" w14:textId="77777777">
      <w:pPr>
        <w:rPr>
          <w:b/>
          <w:color w:val="auto"/>
          <w:sz w:val="24"/>
        </w:rPr>
      </w:pPr>
      <w:hyperlink r:id="rId49" w:history="1">
        <w:r w:rsidRPr="003C7F59">
          <w:rPr>
            <w:rStyle w:val="Hyperlink"/>
            <w:b/>
            <w:bCs/>
            <w:color w:val="auto"/>
            <w:sz w:val="24"/>
          </w:rPr>
          <w:t>Národní hodnocení spokojenosti pacientů (NHSP)</w:t>
        </w:r>
      </w:hyperlink>
    </w:p>
    <w:p w:rsidR="00370D7A" w:rsidRPr="003C7F59" w:rsidP="0070747B" w14:paraId="46B1FD93" w14:textId="4A25E934">
      <w:pPr>
        <w:rPr>
          <w:color w:val="auto"/>
          <w:sz w:val="24"/>
        </w:rPr>
      </w:pPr>
      <w:r w:rsidRPr="003C7F59">
        <w:rPr>
          <w:color w:val="auto"/>
          <w:sz w:val="24"/>
        </w:rPr>
        <w:t xml:space="preserve">Záměrem strategického rámce je dále rozvoj projektu </w:t>
      </w:r>
      <w:hyperlink r:id="rId49" w:history="1">
        <w:r w:rsidRPr="003C7F59">
          <w:rPr>
            <w:rStyle w:val="Hyperlink"/>
            <w:color w:val="auto"/>
            <w:sz w:val="24"/>
          </w:rPr>
          <w:t>Národní hodnocení spokojenosti pacientů (NHSP)</w:t>
        </w:r>
      </w:hyperlink>
      <w:r w:rsidRPr="003C7F59">
        <w:rPr>
          <w:color w:val="auto"/>
          <w:sz w:val="24"/>
        </w:rPr>
        <w:t>, a to v obou stávajících modulech, tj. pro hodnocení lůžkové péče a</w:t>
      </w:r>
      <w:r w:rsidR="007E3FBE">
        <w:rPr>
          <w:color w:val="auto"/>
          <w:sz w:val="24"/>
        </w:rPr>
        <w:t> </w:t>
      </w:r>
      <w:r w:rsidRPr="003C7F59">
        <w:rPr>
          <w:color w:val="auto"/>
          <w:sz w:val="24"/>
        </w:rPr>
        <w:t xml:space="preserve">hodnocení ambulantní péče poskytované v lůžkovém zdravotnickém zařízení. Projekt byl vytvořen ze zdrojů Ministerstva zdravotnictví jako národní a bezplatný nástroj pro plnění zákonné povinnosti PZS vyplývající z § 47 odst. 3 písm. b) zákona č. 372/2011 Sb., o zdravotních službách a podmínkách jejich poskytování, ve znění pozdějších předpisů. </w:t>
      </w:r>
    </w:p>
    <w:p w:rsidR="00370D7A" w:rsidRPr="003C7F59" w:rsidP="0070747B" w14:paraId="3559C3F3" w14:textId="77777777">
      <w:pPr>
        <w:rPr>
          <w:color w:val="auto"/>
          <w:sz w:val="24"/>
        </w:rPr>
      </w:pPr>
      <w:r w:rsidRPr="003C7F59">
        <w:rPr>
          <w:color w:val="auto"/>
          <w:sz w:val="24"/>
        </w:rPr>
        <w:t xml:space="preserve">Do doby jeho zavedení bylo šetření spokojenosti pacientů většinově prováděno buď vlastními silami PZS, což pro personál představovalo administrativní zátěž nebo prostřednictvím externího subjektu, který však pro PZS znamenal značnou a opakující se zátěž finanční. </w:t>
      </w:r>
    </w:p>
    <w:p w:rsidR="00370D7A" w:rsidRPr="003C7F59" w:rsidP="0070747B" w14:paraId="4FBF090F" w14:textId="0BC3F3E3">
      <w:pPr>
        <w:rPr>
          <w:color w:val="auto"/>
          <w:sz w:val="24"/>
        </w:rPr>
      </w:pPr>
      <w:r w:rsidRPr="003C7F59">
        <w:rPr>
          <w:color w:val="auto"/>
          <w:sz w:val="24"/>
        </w:rPr>
        <w:t>Projekt byl pilotován v roce 2020 u 5 PZS napříč ČR. Sledování spokojenosti pacientů s poskytovanou lůžkovou péčí je prováděno prostřednictvím dotazníkového šetření, které probíhá u zapojených PZS zpravidla každoročně (dotazníky se získávají vždy ve stejném období sběru). Sledování spokojenosti pacientů s ambulantní péčí, která jim je/byla poskytována v</w:t>
      </w:r>
      <w:r w:rsidR="007E3FBE">
        <w:rPr>
          <w:color w:val="auto"/>
          <w:sz w:val="24"/>
        </w:rPr>
        <w:t> </w:t>
      </w:r>
      <w:r w:rsidRPr="003C7F59">
        <w:rPr>
          <w:color w:val="auto"/>
          <w:sz w:val="24"/>
        </w:rPr>
        <w:t xml:space="preserve">lůžkovém zdravotnickém zařízení bylo spuštěno v ostrém provozu v dubnu 2024 a oproti lůžkovému modulu je plně elektronické. </w:t>
      </w:r>
    </w:p>
    <w:p w:rsidR="00370D7A" w:rsidP="0070747B" w14:paraId="6ECB5EBC" w14:textId="20715FC2">
      <w:pPr>
        <w:rPr>
          <w:color w:val="auto"/>
          <w:sz w:val="24"/>
        </w:rPr>
      </w:pPr>
      <w:r w:rsidRPr="003C7F59">
        <w:rPr>
          <w:color w:val="auto"/>
          <w:sz w:val="24"/>
        </w:rPr>
        <w:t>Aktuálně je do NHSP zapojených 46 PZS (sledování lůžkové péče) a 14 PZS pro sledování ambulantní péče nebo obou forem péče. Cílem MZD je v rámci tohoto strategického rámce   rozšíření projektu NHSP jako dominantního nástroje pro sledování spokojenosti pacientů v ČR. Ačkoliv má projekt rostoucí podporu, tempo navyšování participujících PZS v posledních 3 letech klesá. Jako významný důvod vnímáme konkurenční soukromé subjekty, které vytváří národní soutěže a vyhlašování různých žebříčků, kde PZS na prvních třech místech obdrží certifikát, ocenění a popř. věcný dar. Ač je všeobecně známo, že validita těchto soutěží je minimálně pochybná, stále je tento princip veřejného ocenění a možnost kladného PR pro dané zdravotnické zařízení velkým lákadlem a argumentem pro odmítnutí implementace NHSP. NHSP tento princip totiž zásadně odmítá. Data jsou určena pouze pro konkrétní PZS, jsou anonymní a nezpracovává se z nich benchmarking. Jsou však i nemocnice, které využívají oba systémy sledování spokojenosti pacientů – NHSP pro jeho validitu, kvalitní výpovědní hodnotu apod. a komerční subjekt pro vyhlašování národní soutěže. Současně je možnou překážku pro zapojení některých PZS i obava z administrativní zátěže spojené s organizací při lokální implementaci především NHSP v lůžkové péče, které zatím neprobíhá plně elektronicky. I přes výše popsaná úskalí, věříme, že správně cílenou a efektivní komunikací, a</w:t>
      </w:r>
      <w:r w:rsidR="007E3FBE">
        <w:rPr>
          <w:color w:val="auto"/>
          <w:sz w:val="24"/>
        </w:rPr>
        <w:t> </w:t>
      </w:r>
      <w:r w:rsidRPr="003C7F59">
        <w:rPr>
          <w:color w:val="auto"/>
          <w:sz w:val="24"/>
        </w:rPr>
        <w:t xml:space="preserve">především vytvořením propracované online platformy pro správu NHSP, dojde k navýšení jeho implementace. </w:t>
      </w:r>
      <w:hyperlink r:id="rId49" w:history="1">
        <w:r w:rsidRPr="003C7F59">
          <w:rPr>
            <w:rStyle w:val="Hyperlink"/>
            <w:color w:val="auto"/>
            <w:sz w:val="24"/>
          </w:rPr>
          <w:t>Tato platforma nyní již existuje</w:t>
        </w:r>
      </w:hyperlink>
      <w:r w:rsidRPr="003C7F59">
        <w:rPr>
          <w:color w:val="auto"/>
          <w:sz w:val="24"/>
        </w:rPr>
        <w:t xml:space="preserve"> a lze konstatovat, že základní funkce nyní plní. Jelikož však byl web vytvořen bez výrazné finanční podpory v rámci běžných úvazků zaměstnanců MZD, neodpovídá strukturálně, rozsahem funkcí či uživatelným designem projektu takového rozsahu. Vhodné je též rozšíření o jazykové mutace pro cizojazyčné pacienty. </w:t>
      </w:r>
    </w:p>
    <w:p w:rsidR="007E3FBE" w:rsidRPr="003C7F59" w:rsidP="0070747B" w14:paraId="3AA87FF8" w14:textId="77777777">
      <w:pPr>
        <w:rPr>
          <w:color w:val="auto"/>
          <w:sz w:val="24"/>
        </w:rPr>
      </w:pPr>
    </w:p>
    <w:p w:rsidR="00370D7A" w:rsidRPr="003C7F59" w:rsidP="0070747B" w14:paraId="0AFE4DC8" w14:textId="77777777">
      <w:pPr>
        <w:rPr>
          <w:b/>
          <w:color w:val="auto"/>
          <w:sz w:val="24"/>
        </w:rPr>
      </w:pPr>
      <w:r w:rsidRPr="003C7F59">
        <w:rPr>
          <w:b/>
          <w:color w:val="auto"/>
          <w:sz w:val="24"/>
        </w:rPr>
        <w:t>Zapojení pacientů a veřejnosti do tvorby zdravotních politik</w:t>
      </w:r>
    </w:p>
    <w:p w:rsidR="00370D7A" w:rsidRPr="003C7F59" w:rsidP="0070747B" w14:paraId="58FAB251" w14:textId="77777777">
      <w:pPr>
        <w:rPr>
          <w:color w:val="auto"/>
          <w:sz w:val="24"/>
        </w:rPr>
      </w:pPr>
      <w:r w:rsidRPr="003C7F59">
        <w:rPr>
          <w:color w:val="auto"/>
          <w:sz w:val="24"/>
        </w:rPr>
        <w:t>Zapojení pacientů a veřejnosti do tvorby zdravotních politik představuje jednu z hlavních podmínek pro legitimitu rozhodovacích procesů a budování důvěryhodnosti zdravotnického systému. Moderní přístupy k hodnocení kvality péče vycházející z doporučení WHO, již nepracují pouze s klinickými nebo procesními ukazateli, ale stále častěji zahrnují subjektivní dimenzi – zkušenosti pacientů (PREMs) a jimi hlášené výsledky (PROMs). Tyto ukazatele zajišťují, že zdravotnický systém je orientován na potřeby lidí (people-centredness). Empirická data WHO (2024) potvrzují, že zapojení pacientů do národního řízení a správy (governance), které je v evropském regionu přítomno pouze ve 13 % zemí, má přímý vztah k lepším zdravotním výsledkům a k vyšší míře důvěry pacientů v instituce.</w:t>
      </w:r>
      <w:r>
        <w:rPr>
          <w:rStyle w:val="FootnoteReference"/>
          <w:color w:val="auto"/>
          <w:sz w:val="24"/>
        </w:rPr>
        <w:footnoteReference w:id="44"/>
      </w:r>
      <w:r w:rsidRPr="003C7F59">
        <w:rPr>
          <w:color w:val="auto"/>
          <w:sz w:val="24"/>
        </w:rPr>
        <w:t xml:space="preserve"> V českém kontextu existují první institucionální základy participace, avšak její skutečný vliv na tvorbu politik zůstává dosud omezený.</w:t>
      </w:r>
    </w:p>
    <w:p w:rsidR="00370D7A" w:rsidRPr="003C7F59" w:rsidP="0070747B" w14:paraId="2497C444" w14:textId="73769768">
      <w:pPr>
        <w:rPr>
          <w:color w:val="auto"/>
          <w:sz w:val="24"/>
        </w:rPr>
      </w:pPr>
      <w:r w:rsidRPr="003C7F59">
        <w:rPr>
          <w:color w:val="auto"/>
          <w:sz w:val="24"/>
        </w:rPr>
        <w:t>V roce 2017 vznikla Pacientská rada ministra zdravotnictví, která se stala prvním stabilním poradním orgánem zajišťujícím zastoupení pacientského hlasu v procesu přípravy a konzultace zdravotnických dokumentů. Rada se podílí na připomínkování legislativních návrhů a vydává doporučení k otázkám týkajícím se práv pacientů a kvality péče. Koncepce participace v</w:t>
      </w:r>
      <w:r w:rsidR="007E3FBE">
        <w:rPr>
          <w:color w:val="auto"/>
          <w:sz w:val="24"/>
        </w:rPr>
        <w:t> </w:t>
      </w:r>
      <w:r w:rsidRPr="003C7F59">
        <w:rPr>
          <w:color w:val="auto"/>
          <w:sz w:val="24"/>
        </w:rPr>
        <w:t>Ministerstvu zdravotnictví 2030 (KOPA 2030) pak vymezila participaci jako důležitý princip v</w:t>
      </w:r>
      <w:r w:rsidR="007E3FBE">
        <w:rPr>
          <w:color w:val="auto"/>
          <w:sz w:val="24"/>
        </w:rPr>
        <w:t> </w:t>
      </w:r>
      <w:r w:rsidRPr="003C7F59">
        <w:rPr>
          <w:color w:val="auto"/>
          <w:sz w:val="24"/>
        </w:rPr>
        <w:t>rámci tvorby politik, čímž otevřela cestu k systematičtějšímu zapojení pacientů a veřejnosti do rozhodovacích procesů.</w:t>
      </w:r>
      <w:r>
        <w:rPr>
          <w:rStyle w:val="FootnoteReference"/>
          <w:color w:val="auto"/>
          <w:sz w:val="24"/>
        </w:rPr>
        <w:footnoteReference w:id="45"/>
      </w:r>
      <w:r w:rsidRPr="003C7F59">
        <w:rPr>
          <w:color w:val="auto"/>
          <w:sz w:val="24"/>
        </w:rPr>
        <w:t xml:space="preserve"> Tyto kroky znamenají posun směrem k partnerskému modelu, nicméně zatím nepokrývají všechny fáze politik – od přípravy přes implementaci až po evaluaci.</w:t>
      </w:r>
    </w:p>
    <w:p w:rsidR="00370D7A" w:rsidRPr="003C7F59" w:rsidP="0070747B" w14:paraId="6D511B53" w14:textId="77777777">
      <w:pPr>
        <w:rPr>
          <w:b/>
          <w:color w:val="auto"/>
          <w:sz w:val="24"/>
        </w:rPr>
      </w:pPr>
      <w:r w:rsidRPr="003C7F59">
        <w:rPr>
          <w:b/>
          <w:color w:val="auto"/>
          <w:sz w:val="24"/>
        </w:rPr>
        <w:t>Rovnost mezi aktéry ve zdravotnictví a role Pacientské rady</w:t>
      </w:r>
    </w:p>
    <w:p w:rsidR="00370D7A" w:rsidRPr="003C7F59" w:rsidP="0070747B" w14:paraId="5B9228F3" w14:textId="77777777">
      <w:pPr>
        <w:rPr>
          <w:color w:val="auto"/>
          <w:sz w:val="24"/>
        </w:rPr>
      </w:pPr>
      <w:r w:rsidRPr="003C7F59">
        <w:rPr>
          <w:color w:val="auto"/>
          <w:sz w:val="24"/>
        </w:rPr>
        <w:t>Zřízení Pacientské rady a její právní zakotvení prostřednictvím Statutu a Jednacího řádu vytvořilo základní institucionální rámec participace. Díky tomu mohou pacientské organizace vystupovat jako jednotný partner v konzultacích a připomínkových procesech. Tento krok je zásadní pro formální uznání role pacientů v systému řízení a správy (governance), ale jeho dopady jsou omezené: doporučení Pacientské rady nejsou závazná a často nejsou systematicky zohledňována v následných strategiích či politikách.</w:t>
      </w:r>
      <w:r>
        <w:rPr>
          <w:rStyle w:val="FootnoteReference"/>
          <w:color w:val="auto"/>
          <w:sz w:val="24"/>
        </w:rPr>
        <w:footnoteReference w:id="46"/>
      </w:r>
    </w:p>
    <w:p w:rsidR="00370D7A" w:rsidRPr="003C7F59" w:rsidP="0070747B" w14:paraId="1139DE67" w14:textId="77777777">
      <w:pPr>
        <w:rPr>
          <w:color w:val="auto"/>
          <w:sz w:val="24"/>
        </w:rPr>
      </w:pPr>
      <w:r w:rsidRPr="003C7F59">
        <w:rPr>
          <w:color w:val="auto"/>
          <w:sz w:val="24"/>
        </w:rPr>
        <w:t>Rovnost mezi aktéry zdravotního systému je klíčová pro skutečně partnerský přístup k řízení kvality péče. Přestože Pacientská rada vytvořila prostor pro pravidelný dialog mezi ministerstvem a pacientskými organizacemi, Evaluace Pacientské rady (2025) ukazuje, že nerovnováha mezi aktéry přetrvává. Profesní komory a poskytovatelé disponují stabilnějším institucionálním rámcem a silnějšími možnostmi prosazování svých zájmů, zatímco pacientské organizace mají omezený přístup k informacím i k rozhodovacím procesům. To se negativně promítá do schopnosti pacientského hlasu skutečně ovlivňovat systémová rozhodnutí.</w:t>
      </w:r>
      <w:r>
        <w:rPr>
          <w:rStyle w:val="FootnoteReference"/>
          <w:color w:val="auto"/>
          <w:sz w:val="24"/>
        </w:rPr>
        <w:footnoteReference w:id="47"/>
      </w:r>
    </w:p>
    <w:p w:rsidR="00370D7A" w:rsidRPr="003C7F59" w:rsidP="0070747B" w14:paraId="7415CD03" w14:textId="77777777">
      <w:pPr>
        <w:rPr>
          <w:b/>
          <w:color w:val="auto"/>
          <w:sz w:val="24"/>
        </w:rPr>
      </w:pPr>
      <w:r w:rsidRPr="003C7F59">
        <w:rPr>
          <w:b/>
          <w:color w:val="auto"/>
          <w:sz w:val="24"/>
        </w:rPr>
        <w:t>Podpora pacientských organizací</w:t>
      </w:r>
    </w:p>
    <w:p w:rsidR="00370D7A" w:rsidRPr="003C7F59" w:rsidP="0070747B" w14:paraId="0366E3C1" w14:textId="77777777">
      <w:pPr>
        <w:rPr>
          <w:color w:val="auto"/>
          <w:sz w:val="24"/>
        </w:rPr>
      </w:pPr>
      <w:r w:rsidRPr="003C7F59">
        <w:rPr>
          <w:color w:val="auto"/>
          <w:sz w:val="24"/>
        </w:rPr>
        <w:t xml:space="preserve">Pacientské organizace představují klíčové aktéry, kteří dokáží přenášet zkušenosti pacientů do systému zdravotní péče a poskytovat informace, jež jsou nezbytné pro tvorbu politik orientovaných na člověka. Přesto však většina těchto organizací v ČR funguje na bázi </w:t>
      </w:r>
      <w:r w:rsidRPr="003C7F59">
        <w:rPr>
          <w:color w:val="auto"/>
          <w:sz w:val="24"/>
        </w:rPr>
        <w:t>dobrovolnictví, bez stabilního finančního zázemí. Tento stav výrazně omezuje jejich schopnost dlouhodobě a systematicky se zapojovat v rámci nastavených procesů.</w:t>
      </w:r>
      <w:r>
        <w:rPr>
          <w:rStyle w:val="FootnoteReference"/>
          <w:color w:val="auto"/>
          <w:sz w:val="24"/>
        </w:rPr>
        <w:footnoteReference w:id="48"/>
      </w:r>
    </w:p>
    <w:p w:rsidR="00370D7A" w:rsidRPr="003C7F59" w:rsidP="0070747B" w14:paraId="1D3C19BD" w14:textId="11CE7F59">
      <w:pPr>
        <w:rPr>
          <w:color w:val="auto"/>
          <w:sz w:val="24"/>
        </w:rPr>
      </w:pPr>
      <w:r w:rsidRPr="003C7F59">
        <w:rPr>
          <w:color w:val="auto"/>
          <w:sz w:val="24"/>
        </w:rPr>
        <w:t>Pro podporu jejich činnosti MZD vytvořilo malé grantové schéma v rámci Programu Zdraví z</w:t>
      </w:r>
      <w:r w:rsidR="007E3FBE">
        <w:rPr>
          <w:color w:val="auto"/>
          <w:sz w:val="24"/>
        </w:rPr>
        <w:t> </w:t>
      </w:r>
      <w:r w:rsidRPr="003C7F59">
        <w:rPr>
          <w:color w:val="auto"/>
          <w:sz w:val="24"/>
        </w:rPr>
        <w:t>Fondů EHP 2014–2021 s alokací 51 milionů Kč, které bylo prvním dotačním titulem přímo zaměřeným na pacientské organizace. Podpořeno bylo 15 projektů, z toho 13 cílilo na profesionalizaci jednotlivých organizací a 2 na vznik střešních organizací.</w:t>
      </w:r>
      <w:r>
        <w:rPr>
          <w:rStyle w:val="FootnoteReference"/>
          <w:color w:val="auto"/>
          <w:sz w:val="24"/>
        </w:rPr>
        <w:footnoteReference w:id="49"/>
      </w:r>
      <w:r w:rsidRPr="003C7F59">
        <w:rPr>
          <w:color w:val="auto"/>
          <w:sz w:val="24"/>
        </w:rPr>
        <w:t xml:space="preserve"> S ohledem na náročnost procesu i relativně krátkou dobu podpory iniciovalo MZD spolu s Pacientskou radou legislativní změnu zákona o veřejném zdravotním pojištění (č. 48/1997 Sb.), která nově umožňuje financování provozních nákladů pacientských organizací z Fondu veřejně prospěšných činností v rámci všech zdravotních pojišťoven.</w:t>
      </w:r>
      <w:r w:rsidRPr="003C7F59">
        <w:rPr>
          <w:color w:val="auto"/>
          <w:sz w:val="24"/>
        </w:rPr>
        <w:t xml:space="preserve"> </w:t>
      </w:r>
      <w:r>
        <w:rPr>
          <w:rStyle w:val="FootnoteReference"/>
          <w:color w:val="auto"/>
          <w:sz w:val="24"/>
        </w:rPr>
        <w:footnoteReference w:id="50"/>
      </w:r>
    </w:p>
    <w:p w:rsidR="00370D7A" w:rsidRPr="003C7F59" w:rsidP="0070747B" w14:paraId="25B42B19" w14:textId="022C23BE">
      <w:pPr>
        <w:rPr>
          <w:color w:val="auto"/>
          <w:sz w:val="24"/>
        </w:rPr>
      </w:pPr>
      <w:r w:rsidRPr="003C7F59">
        <w:rPr>
          <w:color w:val="auto"/>
          <w:sz w:val="24"/>
        </w:rPr>
        <w:t xml:space="preserve">Pro podporu profesionalizace a vzdělávání vznikl rovněž projekt </w:t>
      </w:r>
      <w:r w:rsidRPr="003C7F59">
        <w:rPr>
          <w:b/>
          <w:bCs/>
          <w:color w:val="auto"/>
          <w:sz w:val="24"/>
        </w:rPr>
        <w:t>Pacientský hub</w:t>
      </w:r>
      <w:r w:rsidRPr="003C7F59">
        <w:rPr>
          <w:color w:val="auto"/>
          <w:sz w:val="24"/>
        </w:rPr>
        <w:t xml:space="preserve"> realizovaný z</w:t>
      </w:r>
      <w:r w:rsidR="007E3FBE">
        <w:rPr>
          <w:color w:val="auto"/>
          <w:sz w:val="24"/>
        </w:rPr>
        <w:t> </w:t>
      </w:r>
      <w:r w:rsidRPr="003C7F59">
        <w:rPr>
          <w:color w:val="auto"/>
          <w:sz w:val="24"/>
        </w:rPr>
        <w:t>fondů EHP, který posiloval kapacity pacientských organizací v oblasti znalostí systému zdravotnictví, fundraisingu, advokacie a komunikace. Projekt poskytl i zázemí v podobě coworkingového prostoru a webové platformy s e-learningovými moduly.</w:t>
      </w:r>
      <w:r>
        <w:rPr>
          <w:rStyle w:val="FootnoteReference"/>
          <w:color w:val="auto"/>
          <w:sz w:val="24"/>
        </w:rPr>
        <w:footnoteReference w:id="51"/>
      </w:r>
    </w:p>
    <w:p w:rsidR="00370D7A" w:rsidRPr="003C7F59" w:rsidP="0070747B" w14:paraId="0BE623D8" w14:textId="77777777">
      <w:pPr>
        <w:rPr>
          <w:color w:val="auto"/>
          <w:sz w:val="24"/>
        </w:rPr>
      </w:pPr>
      <w:r w:rsidRPr="003C7F59">
        <w:rPr>
          <w:b/>
          <w:color w:val="auto"/>
          <w:sz w:val="24"/>
        </w:rPr>
        <w:t>Kvalitní komunikace mezi poskytovateli a pacienty</w:t>
      </w:r>
      <w:r w:rsidRPr="003C7F59">
        <w:rPr>
          <w:color w:val="auto"/>
          <w:sz w:val="24"/>
        </w:rPr>
        <w:t> </w:t>
      </w:r>
    </w:p>
    <w:p w:rsidR="00370D7A" w:rsidRPr="003C7F59" w:rsidP="0070747B" w14:paraId="16F9CD12" w14:textId="77777777">
      <w:pPr>
        <w:rPr>
          <w:color w:val="auto"/>
          <w:sz w:val="24"/>
        </w:rPr>
      </w:pPr>
      <w:r w:rsidRPr="003C7F59">
        <w:rPr>
          <w:color w:val="auto"/>
          <w:sz w:val="24"/>
        </w:rPr>
        <w:t>Komunikace mezi zdravotnickým personálem a pacienty představuje jednu z nejzásadnějších dimenzí kvality zdravotní péče. V českém prostředí se dlouhodobě ukazuje, že právě nedostatečná komunikace je nejčastějším důvodem stížností pacientů, a to až ve dvou třetinách případů</w:t>
      </w:r>
      <w:r>
        <w:rPr>
          <w:rStyle w:val="FootnoteReference"/>
          <w:color w:val="auto"/>
          <w:sz w:val="24"/>
        </w:rPr>
        <w:footnoteReference w:id="52"/>
      </w:r>
      <w:r w:rsidRPr="003C7F59">
        <w:rPr>
          <w:color w:val="auto"/>
          <w:sz w:val="24"/>
        </w:rPr>
        <w:t>. Tento trend naznačuje, že i když je pacientovi poskytnuta odborně bezchybná péče, subjektivní vnímání její kvality je výrazně ovlivněno tím, zda se cítí respektován, informován a vyslyšen.  </w:t>
      </w:r>
    </w:p>
    <w:p w:rsidR="00370D7A" w:rsidRPr="003C7F59" w:rsidP="0070747B" w14:paraId="083CD67A" w14:textId="3EDAB1DF">
      <w:pPr>
        <w:rPr>
          <w:color w:val="auto"/>
          <w:sz w:val="24"/>
        </w:rPr>
      </w:pPr>
      <w:r w:rsidRPr="003C7F59">
        <w:rPr>
          <w:color w:val="auto"/>
          <w:sz w:val="24"/>
        </w:rPr>
        <w:t>Z hlediska dosavadních řešení lze zmínit zejména zavedení funkce ombudsmanů ve</w:t>
      </w:r>
      <w:r w:rsidR="007E3FBE">
        <w:rPr>
          <w:color w:val="auto"/>
          <w:sz w:val="24"/>
        </w:rPr>
        <w:t>  </w:t>
      </w:r>
      <w:r w:rsidRPr="003C7F59">
        <w:rPr>
          <w:color w:val="auto"/>
          <w:sz w:val="24"/>
        </w:rPr>
        <w:t>zdravotnictví. Tito fungují v některých zdravotnických zařízeních jako prostředníci mezi pacienty a institucí a napomáhají řešit spory smírnou cestou. Ombudsman zároveň přináší důležité poznatky o systémových slabinách organizace a může sloužit jako zpětná vazba pro vedení nemocnice. Přestože jde o krok správným směrem, jeho dopad je zatím omezený, protože není plošně rozšířen a jeho činnost se odvíjí především od vnitřní iniciativy jednotlivých zařízení. </w:t>
      </w:r>
    </w:p>
    <w:p w:rsidR="00370D7A" w:rsidRPr="003C7F59" w:rsidP="0070747B" w14:paraId="20FCBCDF" w14:textId="77777777">
      <w:pPr>
        <w:rPr>
          <w:color w:val="auto"/>
          <w:sz w:val="24"/>
        </w:rPr>
      </w:pPr>
      <w:r w:rsidRPr="003C7F59">
        <w:rPr>
          <w:color w:val="auto"/>
          <w:sz w:val="24"/>
        </w:rPr>
        <w:t>Dalším nástrojem, který přispívá k posilování komunikace mezi pacienty a zdravotníky je vzdělávání na akademické úrovni. Příkladem je univerzitní předmět „Pacient jako partner: kazuistiky a komunikační dovednosti“, jenž si klade za cíl studentům zdravotnických oborů zprostředkovat praktické situace a různé úhly pohledu – od pacientů přes mediátory až po ombudsmany. Tento přístup bývá velmi kladně hodnocen </w:t>
      </w:r>
      <w:r>
        <w:rPr>
          <w:rStyle w:val="FootnoteReference"/>
          <w:color w:val="auto"/>
          <w:sz w:val="24"/>
        </w:rPr>
        <w:footnoteReference w:id="53"/>
      </w:r>
      <w:r w:rsidRPr="003C7F59">
        <w:rPr>
          <w:color w:val="auto"/>
          <w:sz w:val="24"/>
        </w:rPr>
        <w:t xml:space="preserve">, neboť dokáže studenty připravit na reálné výzvy v praxi. Problémem však zůstává, že podobné programy zatím nejsou systematicky dostupné napříč všemi univerzitami a úrovněmi vzdělávání. Zároveň je nutné dodat, že MZD nemá pravomoc zasahovat do sylabů univerzit ani dalších vzdělávacích institucí </w:t>
      </w:r>
      <w:r w:rsidRPr="003C7F59">
        <w:rPr>
          <w:color w:val="auto"/>
          <w:sz w:val="24"/>
        </w:rPr>
        <w:t>– obsah vzdělávání je plně v gesci vysokých škol a jejich akreditačních orgánů. MZD tak může školám poskytovat pouze doporučení a metodické impulsy, nikoli závazné pokyny. </w:t>
      </w:r>
    </w:p>
    <w:p w:rsidR="00370D7A" w:rsidRPr="003C7F59" w:rsidP="0070747B" w14:paraId="1AE6737B" w14:textId="77777777">
      <w:pPr>
        <w:rPr>
          <w:color w:val="auto"/>
          <w:sz w:val="24"/>
        </w:rPr>
      </w:pPr>
      <w:r w:rsidRPr="003C7F59">
        <w:rPr>
          <w:color w:val="auto"/>
          <w:sz w:val="24"/>
        </w:rPr>
        <w:t>Je třeba konstatovat, že systematický rámec pro rozvoj kvalitní komunikace ve zdravotnictví v České republice chybí. Vzdělávání zdravotníků se často omezuje na odbornou složku léčby.</w:t>
      </w:r>
      <w:r>
        <w:rPr>
          <w:rStyle w:val="FootnoteReference"/>
          <w:color w:val="auto"/>
          <w:sz w:val="24"/>
        </w:rPr>
        <w:footnoteReference w:id="54"/>
      </w:r>
      <w:r w:rsidRPr="003C7F59">
        <w:rPr>
          <w:color w:val="auto"/>
          <w:sz w:val="24"/>
        </w:rPr>
        <w:t xml:space="preserve"> Rovněž povědomí pacientů o možnostech obrany v případě porušení práv nebo nespokojenosti je nedostatečné. Chybí také kvalitní vzdělávání a širší metodická podpora pro ombudsmany, kteří sice plní důležitou roli, ale jejich kapacity a pravomoci jsou omezené. </w:t>
      </w:r>
    </w:p>
    <w:p w:rsidR="00370D7A" w:rsidRPr="003C7F59" w:rsidP="0070747B" w14:paraId="15E8FF91" w14:textId="33F246D6">
      <w:pPr>
        <w:rPr>
          <w:color w:val="auto"/>
          <w:sz w:val="24"/>
        </w:rPr>
      </w:pPr>
      <w:r w:rsidRPr="003C7F59">
        <w:rPr>
          <w:color w:val="auto"/>
          <w:sz w:val="24"/>
        </w:rPr>
        <w:t>Celkově lze říci, že české zdravotnictví v oblasti komunikace mezi poskytovateli a pacienty stojí na rozcestí. Na jedné straně existuje množství příkladů dobré praxe</w:t>
      </w:r>
      <w:r>
        <w:rPr>
          <w:rStyle w:val="FootnoteReference"/>
          <w:color w:val="auto"/>
          <w:sz w:val="24"/>
        </w:rPr>
        <w:footnoteReference w:id="55"/>
      </w:r>
      <w:r w:rsidRPr="003C7F59">
        <w:rPr>
          <w:color w:val="auto"/>
          <w:sz w:val="24"/>
        </w:rPr>
        <w:t xml:space="preserve"> a rostoucí uznání významu participace pacienta, na straně druhé je však patrná absence jednotné strategie, metodické opory a systematického rozvoje komunikačních kompetencí zdravotníků. Tento nesoulad přispívá k vysokému počtu stížností a k nízké spokojenosti části pacientů, což v</w:t>
      </w:r>
      <w:r w:rsidR="007E3FBE">
        <w:rPr>
          <w:color w:val="auto"/>
          <w:sz w:val="24"/>
        </w:rPr>
        <w:t> </w:t>
      </w:r>
      <w:r w:rsidRPr="003C7F59">
        <w:rPr>
          <w:color w:val="auto"/>
          <w:sz w:val="24"/>
        </w:rPr>
        <w:t>konečném důsledku snižuje důvěru ve zdravotnický systém jako celek. </w:t>
      </w:r>
    </w:p>
    <w:p w:rsidR="00370D7A" w:rsidRPr="003C7F59" w:rsidP="0070747B" w14:paraId="26A114E6" w14:textId="77777777">
      <w:pPr>
        <w:rPr>
          <w:color w:val="auto"/>
          <w:sz w:val="24"/>
        </w:rPr>
      </w:pPr>
      <w:r w:rsidRPr="003C7F59">
        <w:rPr>
          <w:b/>
          <w:color w:val="auto"/>
          <w:sz w:val="24"/>
        </w:rPr>
        <w:t>Zefektivnění stížnostního procesu ve zdravotnictví</w:t>
      </w:r>
      <w:r w:rsidRPr="003C7F59">
        <w:rPr>
          <w:color w:val="auto"/>
          <w:sz w:val="24"/>
        </w:rPr>
        <w:t> </w:t>
      </w:r>
    </w:p>
    <w:p w:rsidR="00370D7A" w:rsidRPr="003C7F59" w:rsidP="0070747B" w14:paraId="0CAB9061" w14:textId="169E88C9">
      <w:pPr>
        <w:rPr>
          <w:color w:val="auto"/>
          <w:sz w:val="24"/>
        </w:rPr>
      </w:pPr>
      <w:r w:rsidRPr="003C7F59">
        <w:rPr>
          <w:color w:val="auto"/>
          <w:sz w:val="24"/>
        </w:rPr>
        <w:t>Stížnostní proces představuje v každém zdravotnickém systému důležitý mechanismus zpětné vazby a ochrany práv pacientů. V českém prostředí se vyznačuje značnou roztříštěností a</w:t>
      </w:r>
      <w:r w:rsidR="007E3FBE">
        <w:rPr>
          <w:color w:val="auto"/>
          <w:sz w:val="24"/>
        </w:rPr>
        <w:t> </w:t>
      </w:r>
      <w:r w:rsidRPr="003C7F59">
        <w:rPr>
          <w:color w:val="auto"/>
          <w:sz w:val="24"/>
        </w:rPr>
        <w:t>absencí jednotného rámce. Nemocniční ombudsman se ukazuje jako efektivní prostředek, jak stížnosti řešit pružně a smírně, nicméně jeho role není podrobně legislativně zakotvena a</w:t>
      </w:r>
      <w:r w:rsidR="007E3FBE">
        <w:rPr>
          <w:color w:val="auto"/>
          <w:sz w:val="24"/>
        </w:rPr>
        <w:t> </w:t>
      </w:r>
      <w:r w:rsidRPr="003C7F59">
        <w:rPr>
          <w:color w:val="auto"/>
          <w:sz w:val="24"/>
        </w:rPr>
        <w:t>jeho působnost není vázána na závazné metodické standardy. Výsledkem je výrazná nejednotnost mezi jednotlivými nemocnicemi, a tedy i nerovný přístup pacientů k uplatnění svých práv. </w:t>
      </w:r>
    </w:p>
    <w:p w:rsidR="00370D7A" w:rsidRPr="003C7F59" w:rsidP="0070747B" w14:paraId="2CCE7E08" w14:textId="77777777">
      <w:pPr>
        <w:rPr>
          <w:color w:val="auto"/>
          <w:sz w:val="24"/>
        </w:rPr>
      </w:pPr>
      <w:r w:rsidRPr="003C7F59">
        <w:rPr>
          <w:color w:val="auto"/>
          <w:sz w:val="24"/>
        </w:rPr>
        <w:t>Statistiky ukazují, že stížnosti pacientů se nejčastěji týkají nedostatečné komunikace se zdravotnickým personálem (63 %), dále závažnějších nedostatků v samotné zdravotní péči (35 %) a praktických či provozních problémů, jako je strava či vybavení (22 %). Tyto údaje naznačují, že stížnostní proces je nejen nástrojem pro řešení konkrétních sporů, ale zároveň cenným indikátorem systémových nedostatků v kvalitě péče a řízení zdravotnických zařízení. </w:t>
      </w:r>
    </w:p>
    <w:p w:rsidR="00370D7A" w:rsidRPr="003C7F59" w:rsidP="0070747B" w14:paraId="08C5B381" w14:textId="1B251B84">
      <w:pPr>
        <w:rPr>
          <w:color w:val="auto"/>
          <w:sz w:val="24"/>
        </w:rPr>
      </w:pPr>
      <w:r w:rsidRPr="003C7F59">
        <w:rPr>
          <w:color w:val="auto"/>
          <w:sz w:val="24"/>
        </w:rPr>
        <w:t>Dosavadní zkušenosti potvrzují přínosy funkce nemocničního ombudsmana. Tito pracovníci nejenže řeší individuální stížnosti, ale ve značném procentu případů také navrhují systémové změny, které by mohly podobným problémům v budoucnu předcházet. Zároveň se podílejí na školení personálu, čímž přispívají ke zvyšování povědomí o právech pacientů a k prevenci konfliktů. Jejich činnost je pacienty obecně vnímána pozitivně a posiluje důvěru ve</w:t>
      </w:r>
      <w:r w:rsidR="007E3FBE">
        <w:rPr>
          <w:color w:val="auto"/>
          <w:sz w:val="24"/>
        </w:rPr>
        <w:t> </w:t>
      </w:r>
      <w:r w:rsidRPr="003C7F59">
        <w:rPr>
          <w:color w:val="auto"/>
          <w:sz w:val="24"/>
        </w:rPr>
        <w:t>zdravotnické zařízení. </w:t>
      </w:r>
    </w:p>
    <w:p w:rsidR="00370D7A" w:rsidRPr="003C7F59" w:rsidP="0070747B" w14:paraId="238410FD" w14:textId="77777777">
      <w:pPr>
        <w:rPr>
          <w:color w:val="auto"/>
          <w:sz w:val="24"/>
        </w:rPr>
      </w:pPr>
      <w:r w:rsidRPr="003C7F59">
        <w:rPr>
          <w:color w:val="auto"/>
          <w:sz w:val="24"/>
        </w:rPr>
        <w:t>Hlavním problémem zůstává absence závazného metodického vedení. Chybí také centrální databáze či reporting, které by umožnily sledovat trendy napříč institucemi a využít stížnostní proces jako zdroj dat pro strategické řízení zdravotnictví. Tímto způsobem se ztrácí potenciál stížnostního systému jako cenného nástroje řízení kvality. </w:t>
      </w:r>
    </w:p>
    <w:p w:rsidR="00370D7A" w:rsidRPr="0070747B" w:rsidP="0070747B" w14:paraId="1C8C8B6F" w14:textId="77777777">
      <w:pPr>
        <w:rPr>
          <w:color w:val="C00000"/>
          <w:sz w:val="24"/>
        </w:rPr>
      </w:pPr>
      <w:r w:rsidRPr="003C7F59">
        <w:rPr>
          <w:color w:val="auto"/>
          <w:sz w:val="24"/>
        </w:rPr>
        <w:t xml:space="preserve">Současně je nutné zaměřit se i na oblast ambulantní péče, kde je proces vyřizování stížností nedostatečně podchycený a chybí jednotná metodika. Pacienti často nemají jasnou informaci, na koho se mohou obrátit, a výsledkem je pocit bezmoci či ztráty důvěry. Do budoucna je proto nutné rozšířit institucionální rámec ombudsmanů nebo vytvořit specifické mechanismy </w:t>
      </w:r>
      <w:r w:rsidRPr="003C7F59">
        <w:rPr>
          <w:color w:val="auto"/>
          <w:sz w:val="24"/>
        </w:rPr>
        <w:t>pro řešení stížností i v segmentu ambulantních poskytovatelů, aby byla zajištěna rovnocenná ochrana práv pacientů napříč celým systémem zdravotní péče. </w:t>
      </w:r>
    </w:p>
    <w:p w:rsidR="005D1A37" w:rsidRPr="005D1A37" w:rsidP="005D1A37" w14:paraId="69398648" w14:textId="77777777">
      <w:pPr>
        <w:rPr>
          <w:sz w:val="24"/>
        </w:rPr>
      </w:pPr>
    </w:p>
    <w:p w:rsidR="005D1A37" w:rsidRPr="005D1A37" w:rsidP="0070747B" w14:paraId="61FA090B" w14:textId="7457120B">
      <w:pPr>
        <w:pStyle w:val="ListParagraph"/>
        <w:numPr>
          <w:ilvl w:val="2"/>
          <w:numId w:val="44"/>
        </w:numPr>
        <w:rPr>
          <w:rFonts w:ascii="Calibri" w:hAnsi="Calibri" w:eastAsiaTheme="majorEastAsia" w:cstheme="majorBidi"/>
          <w:bCs w:val="0"/>
          <w:color w:val="205493"/>
          <w:sz w:val="24"/>
          <w:szCs w:val="32"/>
        </w:rPr>
      </w:pPr>
      <w:r w:rsidRPr="005D1A37">
        <w:rPr>
          <w:rFonts w:ascii="Calibri" w:hAnsi="Calibri" w:eastAsiaTheme="majorEastAsia" w:cstheme="majorBidi"/>
          <w:bCs w:val="0"/>
          <w:color w:val="205493"/>
          <w:sz w:val="24"/>
          <w:szCs w:val="32"/>
        </w:rPr>
        <w:t xml:space="preserve">Specifický cíl 3.1 -Zapojení vědy a výzkumu do řešení prioritních úkolů zdravotnictví </w:t>
      </w:r>
    </w:p>
    <w:p w:rsidR="006C359E" w:rsidRPr="00A955AF" w:rsidP="006C359E" w14:paraId="2191C4C4" w14:textId="77777777">
      <w:pPr>
        <w:rPr>
          <w:rFonts w:cs="Times New Roman"/>
          <w:sz w:val="24"/>
        </w:rPr>
      </w:pPr>
      <w:r w:rsidRPr="00A955AF">
        <w:rPr>
          <w:rFonts w:cs="Times New Roman"/>
          <w:sz w:val="24"/>
        </w:rPr>
        <w:t xml:space="preserve">Zdravotnictví je odvětvím, které se neustále vyvíjí k vyšší produktivitě a k lepším výsledkům prostřednictvím aplikace vědeckých poznatků a technologických inovací. Z tohoto důvodu má specifický cíl rozvíjející inovační potenciál zdravotních služeb strategický význam. Zapojení vědy a výzkumu je třeba vnímat i jako významnou podporu pro aktivity řady jiných, výše zdůvodněných specifických cílů Strategického rámce Zdraví </w:t>
      </w:r>
      <w:r>
        <w:rPr>
          <w:rFonts w:cs="Times New Roman"/>
          <w:sz w:val="24"/>
        </w:rPr>
        <w:t>2035</w:t>
      </w:r>
      <w:r w:rsidRPr="00A955AF">
        <w:rPr>
          <w:rFonts w:cs="Times New Roman"/>
          <w:sz w:val="24"/>
        </w:rPr>
        <w:t>. Mezi zásadní aktivity synergicky podporující dílčí aktivity ostatních specifických cílů patří zejména:</w:t>
      </w:r>
    </w:p>
    <w:p w:rsidR="006C359E" w:rsidRPr="00A955AF" w:rsidP="006C359E" w14:paraId="70364B79" w14:textId="77777777">
      <w:pPr>
        <w:pStyle w:val="ListParagraph"/>
        <w:numPr>
          <w:ilvl w:val="0"/>
          <w:numId w:val="27"/>
        </w:numPr>
        <w:rPr>
          <w:rFonts w:cs="Times New Roman"/>
          <w:sz w:val="24"/>
          <w:szCs w:val="24"/>
        </w:rPr>
      </w:pPr>
      <w:r w:rsidRPr="00A955AF">
        <w:rPr>
          <w:rFonts w:cs="Times New Roman"/>
          <w:sz w:val="24"/>
          <w:szCs w:val="24"/>
        </w:rPr>
        <w:t>podpora výzkumu s důrazem na prevenci, ověřování nových efektivních postupů v primární prevenci, zavádění a testování nových programů sekundární prevence a cílených programů časného záchytu vážných onemocnění</w:t>
      </w:r>
      <w:r>
        <w:rPr>
          <w:rFonts w:cs="Times New Roman"/>
          <w:sz w:val="24"/>
          <w:szCs w:val="24"/>
        </w:rPr>
        <w:t>,</w:t>
      </w:r>
    </w:p>
    <w:p w:rsidR="006C359E" w:rsidRPr="00A955AF" w:rsidP="006C359E" w14:paraId="6DFA4A9A" w14:textId="77777777">
      <w:pPr>
        <w:pStyle w:val="ListParagraph"/>
        <w:numPr>
          <w:ilvl w:val="0"/>
          <w:numId w:val="27"/>
        </w:numPr>
        <w:rPr>
          <w:rFonts w:cs="Times New Roman"/>
          <w:sz w:val="24"/>
          <w:szCs w:val="24"/>
        </w:rPr>
      </w:pPr>
      <w:r w:rsidRPr="00A955AF">
        <w:rPr>
          <w:rFonts w:cs="Times New Roman"/>
          <w:sz w:val="24"/>
          <w:szCs w:val="24"/>
        </w:rPr>
        <w:t>podpora výzkumu chování ve vztahu ke zdraví včetně pravidelného monitoringu úrovně zdravotní gramotnosti obyvatel</w:t>
      </w:r>
      <w:r>
        <w:rPr>
          <w:rFonts w:cs="Times New Roman"/>
          <w:sz w:val="24"/>
          <w:szCs w:val="24"/>
        </w:rPr>
        <w:t>,</w:t>
      </w:r>
    </w:p>
    <w:p w:rsidR="006C359E" w:rsidRPr="00A955AF" w:rsidP="006C359E" w14:paraId="360CFAA5" w14:textId="77777777">
      <w:pPr>
        <w:pStyle w:val="ListParagraph"/>
        <w:numPr>
          <w:ilvl w:val="0"/>
          <w:numId w:val="27"/>
        </w:numPr>
        <w:rPr>
          <w:rFonts w:cs="Times New Roman"/>
          <w:sz w:val="24"/>
          <w:szCs w:val="24"/>
        </w:rPr>
      </w:pPr>
      <w:r w:rsidRPr="00A955AF">
        <w:rPr>
          <w:rFonts w:cs="Times New Roman"/>
          <w:sz w:val="24"/>
          <w:szCs w:val="24"/>
        </w:rPr>
        <w:t>podpora výzkumných aktivit ve vztahu ke stárnutí populace</w:t>
      </w:r>
      <w:r>
        <w:rPr>
          <w:rFonts w:cs="Times New Roman"/>
          <w:sz w:val="24"/>
          <w:szCs w:val="24"/>
        </w:rPr>
        <w:t>,</w:t>
      </w:r>
    </w:p>
    <w:p w:rsidR="006C359E" w:rsidRPr="00A955AF" w:rsidP="006C359E" w14:paraId="2AF859CB" w14:textId="77777777">
      <w:pPr>
        <w:pStyle w:val="ListParagraph"/>
        <w:numPr>
          <w:ilvl w:val="0"/>
          <w:numId w:val="27"/>
        </w:numPr>
        <w:rPr>
          <w:rFonts w:cs="Times New Roman"/>
          <w:sz w:val="24"/>
          <w:szCs w:val="24"/>
        </w:rPr>
      </w:pPr>
      <w:r w:rsidRPr="00A955AF">
        <w:rPr>
          <w:rFonts w:cs="Times New Roman"/>
          <w:sz w:val="24"/>
          <w:szCs w:val="24"/>
        </w:rPr>
        <w:t>vytvoření validní studie o zdravotním stavu obyvatel ČR, která bude moci být východiskem pro jednotlivé programy podpory výzkumu</w:t>
      </w:r>
      <w:r>
        <w:rPr>
          <w:rFonts w:cs="Times New Roman"/>
          <w:sz w:val="24"/>
          <w:szCs w:val="24"/>
        </w:rPr>
        <w:t>,</w:t>
      </w:r>
    </w:p>
    <w:p w:rsidR="006C359E" w:rsidRPr="00A955AF" w:rsidP="006C359E" w14:paraId="14999006" w14:textId="77777777">
      <w:pPr>
        <w:pStyle w:val="ListParagraph"/>
        <w:numPr>
          <w:ilvl w:val="0"/>
          <w:numId w:val="27"/>
        </w:numPr>
        <w:contextualSpacing/>
        <w:rPr>
          <w:rFonts w:cs="Times New Roman"/>
          <w:sz w:val="24"/>
          <w:szCs w:val="24"/>
        </w:rPr>
      </w:pPr>
      <w:r w:rsidRPr="00A955AF">
        <w:rPr>
          <w:rFonts w:cs="Times New Roman"/>
          <w:sz w:val="24"/>
          <w:szCs w:val="24"/>
        </w:rPr>
        <w:t>vytvoření vědeckovýzkumné a inovační základny pro digitalizaci zdravotnictví, rozvoj znalostní základny digitálního zdravotnictví</w:t>
      </w:r>
      <w:r>
        <w:rPr>
          <w:rFonts w:cs="Times New Roman"/>
          <w:sz w:val="24"/>
          <w:szCs w:val="24"/>
        </w:rPr>
        <w:t>.</w:t>
      </w:r>
    </w:p>
    <w:p w:rsidR="006C359E" w:rsidRPr="00A955AF" w:rsidP="006C359E" w14:paraId="6236F066" w14:textId="77777777">
      <w:pPr>
        <w:rPr>
          <w:rFonts w:cs="Times New Roman"/>
          <w:sz w:val="24"/>
        </w:rPr>
      </w:pPr>
      <w:r w:rsidRPr="00A955AF">
        <w:rPr>
          <w:rFonts w:cs="Times New Roman"/>
          <w:sz w:val="24"/>
        </w:rPr>
        <w:t>Avšak věda a výzkum samozřejmě neslouží pouze jako podpora jiných strategických cílů, v řadě oblastí medicíny přináší zcela novou kvalitu zdravotních služeb, nadto s potenciálem uspořit finanční i lidské zdroje. Jako příklad zde lze uvést následující dvě oblasti:</w:t>
      </w:r>
    </w:p>
    <w:p w:rsidR="006C359E" w:rsidRPr="00FA2055" w:rsidP="006C359E" w14:paraId="70B15810" w14:textId="77777777">
      <w:pPr>
        <w:pStyle w:val="ListParagraph"/>
        <w:numPr>
          <w:ilvl w:val="0"/>
          <w:numId w:val="28"/>
        </w:numPr>
        <w:rPr>
          <w:rFonts w:cs="Times New Roman"/>
          <w:color w:val="auto"/>
          <w:sz w:val="24"/>
          <w:szCs w:val="24"/>
        </w:rPr>
      </w:pPr>
      <w:r w:rsidRPr="00FA2055">
        <w:rPr>
          <w:rFonts w:cs="Times New Roman"/>
          <w:color w:val="auto"/>
          <w:sz w:val="24"/>
          <w:szCs w:val="24"/>
        </w:rPr>
        <w:t>Podpora výzkumu zaměřeného na aplikace ICT, internetu věcí a umělé inteligence ve zdravotnictví a metod na těchto technologiích založených a výzkum v oblasti telemedicíny.</w:t>
      </w:r>
    </w:p>
    <w:p w:rsidR="006C359E" w:rsidRPr="00FA2055" w:rsidP="006C359E" w14:paraId="5E8C43F0" w14:textId="34AAEB36">
      <w:pPr>
        <w:pStyle w:val="ListParagraph"/>
        <w:numPr>
          <w:ilvl w:val="0"/>
          <w:numId w:val="28"/>
        </w:numPr>
        <w:rPr>
          <w:rFonts w:cs="Times New Roman"/>
          <w:color w:val="auto"/>
          <w:sz w:val="24"/>
        </w:rPr>
      </w:pPr>
      <w:r w:rsidRPr="00FA2055">
        <w:rPr>
          <w:rFonts w:cs="Times New Roman"/>
          <w:color w:val="auto"/>
          <w:sz w:val="24"/>
          <w:szCs w:val="24"/>
        </w:rPr>
        <w:t>Péče o dlouhodobě nemocné vyžadující téměř celodenní monitoring bude již v blízké budoucnosti bez dalších technologických inovací personálně velmi obtížně zajistitelná. Technologický vývoj usnadňující dálkové sledování a včasnou detekci hrozících zdravotních problémů mohou zásadně zvýšit bezpečnost péče o tyto nemocné, řešit nedostatek odborného personálu a zajistit posun těžiště péče do domácího prostředí pacientů. Jde přitom o oblast s narůstajícím významem.</w:t>
      </w:r>
      <w:r w:rsidRPr="00FA2055">
        <w:rPr>
          <w:rFonts w:cs="Times New Roman"/>
          <w:color w:val="auto"/>
          <w:sz w:val="24"/>
        </w:rPr>
        <w:t xml:space="preserve"> V roce 2024 bylo v datech NZIS identifikováno 130 tisíc osob léčených s demencí, z čehož 61 % tvořili pacienti s plně diagnostikovanou Alzheimerovou nemocí a 39 % pacienti s nedošetřenou demencí. U</w:t>
      </w:r>
      <w:r w:rsidR="00430B50">
        <w:rPr>
          <w:rFonts w:cs="Times New Roman"/>
          <w:color w:val="auto"/>
          <w:sz w:val="24"/>
        </w:rPr>
        <w:t> </w:t>
      </w:r>
      <w:r w:rsidRPr="00FA2055">
        <w:rPr>
          <w:rFonts w:cs="Times New Roman"/>
          <w:color w:val="auto"/>
          <w:sz w:val="24"/>
        </w:rPr>
        <w:t>různých typů nedošetřené demence existuje předpoklad, že není dořešen typ neurodegenerativní poruchy, a není tak vyloučena přítomnost Alzheimerovy nemoci a</w:t>
      </w:r>
      <w:r w:rsidR="00430B50">
        <w:rPr>
          <w:rFonts w:cs="Times New Roman"/>
          <w:color w:val="auto"/>
          <w:sz w:val="24"/>
        </w:rPr>
        <w:t> </w:t>
      </w:r>
      <w:r w:rsidRPr="00FA2055">
        <w:rPr>
          <w:rFonts w:cs="Times New Roman"/>
          <w:color w:val="auto"/>
          <w:sz w:val="24"/>
        </w:rPr>
        <w:t xml:space="preserve">rozvoj Alzheimerovy demence v budoucnu. Vzhledem k celosvětově známé poddiagnostikovanosti pacientů s neurodegenerativními onemocněními (odhadem až třetina jedinců s Alzheimerovou nemocí není diagnostikována) lze předpokládat, že z dostupných dat je přitom odhalena pouze špička ledovce. </w:t>
      </w:r>
    </w:p>
    <w:p w:rsidR="006C359E" w:rsidRPr="00FA2055" w:rsidP="006C359E" w14:paraId="46173E35" w14:textId="77777777">
      <w:pPr>
        <w:pStyle w:val="ListParagraph"/>
        <w:rPr>
          <w:rFonts w:cs="Times New Roman"/>
          <w:color w:val="auto"/>
          <w:sz w:val="24"/>
          <w:szCs w:val="24"/>
        </w:rPr>
      </w:pPr>
      <w:r w:rsidRPr="00FA2055">
        <w:rPr>
          <w:rFonts w:cs="Times New Roman"/>
          <w:color w:val="auto"/>
          <w:sz w:val="24"/>
          <w:szCs w:val="24"/>
        </w:rPr>
        <w:t>Aplikovaný výzkum zaměřený na sledování nákladných diagnostických a léčebných inovací a zdokonalující systémy hodnocení dopadu těchto technologií na bázi metodik HTA (Health Technology Assessment).</w:t>
      </w:r>
    </w:p>
    <w:p w:rsidR="006C359E" w:rsidRPr="00FA2055" w:rsidP="006C359E" w14:paraId="04BA3FF0" w14:textId="6D6014AF">
      <w:pPr>
        <w:pStyle w:val="ListParagraph"/>
        <w:rPr>
          <w:rFonts w:cs="Times New Roman"/>
          <w:color w:val="auto"/>
          <w:sz w:val="24"/>
          <w:szCs w:val="24"/>
        </w:rPr>
      </w:pPr>
      <w:r w:rsidRPr="00FA2055">
        <w:rPr>
          <w:rFonts w:cs="Times New Roman"/>
          <w:color w:val="auto"/>
          <w:sz w:val="24"/>
          <w:szCs w:val="24"/>
        </w:rPr>
        <w:t>Prudce rostoucí objem léčby inovativními léčivými přípravky či technologiemi lze v ČR dokumentovat na tzv. centrové léčbě (tedy o spotřebě inovativních léků, indikované v akreditovaných centrech vysoce specializované péče podle metodik MZ</w:t>
      </w:r>
      <w:r w:rsidR="00E22AF8">
        <w:rPr>
          <w:rFonts w:cs="Times New Roman"/>
          <w:color w:val="auto"/>
          <w:sz w:val="24"/>
          <w:szCs w:val="24"/>
        </w:rPr>
        <w:t>D</w:t>
      </w:r>
      <w:r w:rsidRPr="00FA2055">
        <w:rPr>
          <w:rFonts w:cs="Times New Roman"/>
          <w:color w:val="auto"/>
          <w:sz w:val="24"/>
          <w:szCs w:val="24"/>
        </w:rPr>
        <w:t>). Prevalence pacientů léčených centrovými léky v letech 2021 a 2024 významně narostla (ročně +11 % až +17 %). V letech 2022 a 2023 došlo k meziročnímu nárůstu +15 %. V</w:t>
      </w:r>
      <w:r w:rsidR="00430B50">
        <w:rPr>
          <w:rFonts w:cs="Times New Roman"/>
          <w:color w:val="auto"/>
          <w:sz w:val="24"/>
          <w:szCs w:val="24"/>
        </w:rPr>
        <w:t> </w:t>
      </w:r>
      <w:r w:rsidRPr="00FA2055">
        <w:rPr>
          <w:rFonts w:cs="Times New Roman"/>
          <w:color w:val="auto"/>
          <w:sz w:val="24"/>
          <w:szCs w:val="24"/>
        </w:rPr>
        <w:t>roce 2023 bylo centrovou léčbou léčeno 127 261 pacientů. V roce 2024 bylo takto léčeno 148 877 pacientů (nárůst +17 % oproti roku 2023).</w:t>
      </w:r>
    </w:p>
    <w:p w:rsidR="006C359E" w:rsidRPr="00A955AF" w:rsidP="006C359E" w14:paraId="78339501" w14:textId="77777777">
      <w:pPr>
        <w:rPr>
          <w:rFonts w:cs="Times New Roman"/>
          <w:sz w:val="24"/>
        </w:rPr>
      </w:pPr>
      <w:r w:rsidRPr="00A955AF">
        <w:rPr>
          <w:rFonts w:cs="Times New Roman"/>
          <w:sz w:val="24"/>
        </w:rPr>
        <w:t xml:space="preserve">Nástup nových technologií do klinické praxe zvyšuje tlak na finanční zdroje. Z těchto důvodů je velmi významné podporovat aplikovaný mezioborový výzkum zaměřený na hodnocení nákladové efektivity inovací a na modelování jejich trvale udržitelné implementace v reálné praxi. Roste význam ekonomických modelů ve zdravotnictví. Pokračující molekularizace řady klinických oborů mění samotnou koncepci klinického výzkumu, nastupují nové metody hodnocení reflektující personalizovaný přístup k pacientům (např. „N of 1 trials“), posiluje význam hodnocení dat z klinické praxe (RWE: Real World Evidence).  </w:t>
      </w:r>
    </w:p>
    <w:p w:rsidR="006C359E" w:rsidRPr="00AF3257" w:rsidP="03B59B71" w14:paraId="6DE837C1" w14:textId="77777777">
      <w:pPr>
        <w:spacing w:before="0" w:line="264" w:lineRule="auto"/>
        <w:jc w:val="left"/>
        <w:rPr>
          <w:rFonts w:cs="Times New Roman"/>
          <w:sz w:val="24"/>
        </w:rPr>
      </w:pPr>
    </w:p>
    <w:p w:rsidR="03B59B71" w:rsidP="03B59B71" w14:paraId="68D89A34" w14:textId="140485BE">
      <w:pPr>
        <w:spacing w:before="0" w:line="264" w:lineRule="auto"/>
        <w:jc w:val="left"/>
        <w:rPr>
          <w:rFonts w:cs="Times New Roman"/>
          <w:sz w:val="24"/>
        </w:rPr>
      </w:pPr>
    </w:p>
    <w:p w:rsidR="03B59B71" w:rsidP="03B59B71" w14:paraId="7109EF02" w14:textId="1A2370C0">
      <w:pPr>
        <w:spacing w:before="0" w:line="264" w:lineRule="auto"/>
        <w:jc w:val="left"/>
        <w:rPr>
          <w:rFonts w:cs="Times New Roman"/>
          <w:sz w:val="24"/>
        </w:rPr>
      </w:pPr>
    </w:p>
    <w:p w:rsidR="03B59B71" w:rsidP="03B59B71" w14:paraId="516A7C48" w14:textId="67E7A2FF">
      <w:pPr>
        <w:spacing w:before="0" w:line="264" w:lineRule="auto"/>
        <w:jc w:val="left"/>
        <w:rPr>
          <w:rFonts w:cs="Times New Roman"/>
          <w:sz w:val="24"/>
        </w:rPr>
      </w:pPr>
    </w:p>
    <w:p w:rsidR="03B59B71" w:rsidP="03B59B71" w14:paraId="2A2B85DF" w14:textId="08D4B213">
      <w:pPr>
        <w:spacing w:before="0" w:line="264" w:lineRule="auto"/>
        <w:jc w:val="left"/>
        <w:rPr>
          <w:rFonts w:cs="Times New Roman"/>
          <w:sz w:val="24"/>
        </w:rPr>
      </w:pPr>
    </w:p>
    <w:p w:rsidR="03B59B71" w:rsidP="03B59B71" w14:paraId="6C3AEF41" w14:textId="646EABCC">
      <w:pPr>
        <w:spacing w:before="0" w:line="264" w:lineRule="auto"/>
        <w:jc w:val="left"/>
        <w:rPr>
          <w:rFonts w:cs="Times New Roman"/>
          <w:sz w:val="24"/>
        </w:rPr>
      </w:pPr>
    </w:p>
    <w:p w:rsidR="003C7F59" w14:paraId="4B55C73D" w14:textId="546D7BE9">
      <w:pPr>
        <w:spacing w:before="0" w:line="264" w:lineRule="auto"/>
        <w:jc w:val="left"/>
        <w:rPr>
          <w:rFonts w:cs="Times New Roman"/>
          <w:sz w:val="24"/>
        </w:rPr>
      </w:pPr>
      <w:r>
        <w:rPr>
          <w:rFonts w:cs="Times New Roman"/>
          <w:sz w:val="24"/>
        </w:rPr>
        <w:br w:type="page"/>
      </w:r>
    </w:p>
    <w:p w:rsidR="03B59B71" w:rsidP="03B59B71" w14:paraId="073778CF" w14:textId="77777777">
      <w:pPr>
        <w:spacing w:before="0" w:line="264" w:lineRule="auto"/>
        <w:jc w:val="left"/>
        <w:rPr>
          <w:rFonts w:cs="Times New Roman"/>
          <w:sz w:val="24"/>
        </w:rPr>
      </w:pPr>
    </w:p>
    <w:p w:rsidR="008071DE" w:rsidRPr="00A30085" w:rsidP="006C359E" w14:paraId="65F2028B" w14:textId="5AB2CC20">
      <w:pPr>
        <w:pStyle w:val="Heading1"/>
        <w:numPr>
          <w:ilvl w:val="0"/>
          <w:numId w:val="45"/>
        </w:numPr>
        <w:rPr>
          <w:color w:val="1F497D" w:themeColor="text2"/>
        </w:rPr>
      </w:pPr>
      <w:bookmarkStart w:id="516" w:name="_Toc256000048"/>
      <w:r w:rsidRPr="00A30085">
        <w:rPr>
          <w:color w:val="1F497D" w:themeColor="text2"/>
        </w:rPr>
        <w:t xml:space="preserve">Návrhová část </w:t>
      </w:r>
      <w:r w:rsidRPr="00A30085" w:rsidR="005E6F53">
        <w:rPr>
          <w:color w:val="1F497D" w:themeColor="text2"/>
        </w:rPr>
        <w:t>–</w:t>
      </w:r>
      <w:r w:rsidRPr="00A30085">
        <w:rPr>
          <w:color w:val="1F497D" w:themeColor="text2"/>
        </w:rPr>
        <w:t xml:space="preserve"> </w:t>
      </w:r>
      <w:r w:rsidRPr="00A30085" w:rsidR="005E6F53">
        <w:rPr>
          <w:color w:val="1F497D" w:themeColor="text2"/>
        </w:rPr>
        <w:t>specifické cíle</w:t>
      </w:r>
      <w:bookmarkEnd w:id="516"/>
      <w:bookmarkEnd w:id="466"/>
      <w:bookmarkEnd w:id="467"/>
      <w:r w:rsidRPr="00A30085" w:rsidR="005E6F53">
        <w:rPr>
          <w:color w:val="1F497D" w:themeColor="text2"/>
        </w:rPr>
        <w:t xml:space="preserve"> </w:t>
      </w:r>
      <w:bookmarkEnd w:id="468"/>
    </w:p>
    <w:p w:rsidR="003644EE" w:rsidP="00477A42" w14:paraId="0108C26A" w14:textId="09D9D4A1">
      <w:pPr>
        <w:pStyle w:val="Bntext"/>
        <w:spacing w:line="240" w:lineRule="auto"/>
        <w:ind w:firstLine="0"/>
        <w:rPr>
          <w:rFonts w:asciiTheme="minorHAnsi" w:hAnsiTheme="minorHAnsi" w:cstheme="minorHAnsi"/>
          <w:sz w:val="24"/>
          <w:lang w:val="cs-CZ"/>
        </w:rPr>
      </w:pPr>
      <w:r w:rsidRPr="00A955AF">
        <w:rPr>
          <w:rFonts w:asciiTheme="minorHAnsi" w:hAnsiTheme="minorHAnsi" w:cstheme="minorHAnsi"/>
          <w:bCs/>
          <w:sz w:val="24"/>
          <w:lang w:val="cs-CZ"/>
        </w:rPr>
        <w:t xml:space="preserve">Hlavní ambicí </w:t>
      </w:r>
      <w:r w:rsidRPr="00A955AF" w:rsidR="007B05AB">
        <w:rPr>
          <w:rFonts w:asciiTheme="minorHAnsi" w:hAnsiTheme="minorHAnsi" w:cstheme="minorHAnsi"/>
          <w:bCs/>
          <w:sz w:val="24"/>
          <w:lang w:val="cs-CZ"/>
        </w:rPr>
        <w:t>Strategick</w:t>
      </w:r>
      <w:r w:rsidRPr="00A955AF">
        <w:rPr>
          <w:rFonts w:asciiTheme="minorHAnsi" w:hAnsiTheme="minorHAnsi" w:cstheme="minorHAnsi"/>
          <w:bCs/>
          <w:sz w:val="24"/>
          <w:lang w:val="cs-CZ"/>
        </w:rPr>
        <w:t>ého</w:t>
      </w:r>
      <w:r w:rsidRPr="00A955AF" w:rsidR="007B05AB">
        <w:rPr>
          <w:rFonts w:asciiTheme="minorHAnsi" w:hAnsiTheme="minorHAnsi" w:cstheme="minorHAnsi"/>
          <w:bCs/>
          <w:sz w:val="24"/>
          <w:lang w:val="cs-CZ"/>
        </w:rPr>
        <w:t xml:space="preserve"> rám</w:t>
      </w:r>
      <w:r w:rsidRPr="00A955AF">
        <w:rPr>
          <w:rFonts w:asciiTheme="minorHAnsi" w:hAnsiTheme="minorHAnsi" w:cstheme="minorHAnsi"/>
          <w:bCs/>
          <w:sz w:val="24"/>
          <w:lang w:val="cs-CZ"/>
        </w:rPr>
        <w:t>ce</w:t>
      </w:r>
      <w:r w:rsidRPr="00A955AF" w:rsidR="007B05AB">
        <w:rPr>
          <w:rFonts w:asciiTheme="minorHAnsi" w:hAnsiTheme="minorHAnsi" w:cstheme="minorHAnsi"/>
          <w:bCs/>
          <w:sz w:val="24"/>
          <w:lang w:val="cs-CZ"/>
        </w:rPr>
        <w:t xml:space="preserve"> Zdraví </w:t>
      </w:r>
      <w:r w:rsidRPr="00A955AF">
        <w:rPr>
          <w:rFonts w:asciiTheme="minorHAnsi" w:hAnsiTheme="minorHAnsi" w:cstheme="minorHAnsi"/>
          <w:bCs/>
          <w:sz w:val="24"/>
          <w:lang w:val="cs-CZ"/>
        </w:rPr>
        <w:t>203</w:t>
      </w:r>
      <w:r>
        <w:rPr>
          <w:rFonts w:asciiTheme="minorHAnsi" w:hAnsiTheme="minorHAnsi" w:cstheme="minorHAnsi"/>
          <w:bCs/>
          <w:sz w:val="24"/>
          <w:lang w:val="cs-CZ"/>
        </w:rPr>
        <w:t>5</w:t>
      </w:r>
      <w:r w:rsidRPr="00A955AF">
        <w:rPr>
          <w:rFonts w:asciiTheme="minorHAnsi" w:hAnsiTheme="minorHAnsi" w:cstheme="minorHAnsi"/>
          <w:bCs/>
          <w:sz w:val="24"/>
          <w:lang w:val="cs-CZ"/>
        </w:rPr>
        <w:t xml:space="preserve"> </w:t>
      </w:r>
      <w:r w:rsidRPr="00A955AF">
        <w:rPr>
          <w:rFonts w:asciiTheme="minorHAnsi" w:hAnsiTheme="minorHAnsi" w:cstheme="minorHAnsi"/>
          <w:sz w:val="24"/>
          <w:lang w:val="cs-CZ"/>
        </w:rPr>
        <w:t>je</w:t>
      </w:r>
      <w:r w:rsidRPr="00A955AF" w:rsidR="009C5523">
        <w:rPr>
          <w:rFonts w:asciiTheme="minorHAnsi" w:hAnsiTheme="minorHAnsi" w:cstheme="minorHAnsi"/>
          <w:sz w:val="24"/>
          <w:lang w:val="cs-CZ"/>
        </w:rPr>
        <w:t xml:space="preserve"> být </w:t>
      </w:r>
      <w:r w:rsidRPr="00A955AF" w:rsidR="00057FD4">
        <w:rPr>
          <w:rFonts w:asciiTheme="minorHAnsi" w:hAnsiTheme="minorHAnsi" w:cstheme="minorHAnsi"/>
          <w:sz w:val="24"/>
          <w:lang w:val="cs-CZ"/>
        </w:rPr>
        <w:t xml:space="preserve">nejenom </w:t>
      </w:r>
      <w:r w:rsidRPr="00A955AF" w:rsidR="005E6F53">
        <w:rPr>
          <w:rFonts w:asciiTheme="minorHAnsi" w:hAnsiTheme="minorHAnsi" w:cstheme="minorHAnsi"/>
          <w:sz w:val="24"/>
          <w:lang w:val="cs-CZ"/>
        </w:rPr>
        <w:t xml:space="preserve">zastřešujícím strategickým dokumentem pro </w:t>
      </w:r>
      <w:r w:rsidR="00157178">
        <w:rPr>
          <w:rFonts w:asciiTheme="minorHAnsi" w:hAnsiTheme="minorHAnsi" w:cstheme="minorHAnsi"/>
          <w:sz w:val="24"/>
          <w:lang w:val="cs-CZ"/>
        </w:rPr>
        <w:t xml:space="preserve">směřování </w:t>
      </w:r>
      <w:r w:rsidRPr="00A955AF" w:rsidR="005E6F53">
        <w:rPr>
          <w:rFonts w:asciiTheme="minorHAnsi" w:hAnsiTheme="minorHAnsi" w:cstheme="minorHAnsi"/>
          <w:sz w:val="24"/>
          <w:lang w:val="cs-CZ"/>
        </w:rPr>
        <w:t>resort</w:t>
      </w:r>
      <w:r w:rsidR="00157178">
        <w:rPr>
          <w:rFonts w:asciiTheme="minorHAnsi" w:hAnsiTheme="minorHAnsi" w:cstheme="minorHAnsi"/>
          <w:sz w:val="24"/>
          <w:lang w:val="cs-CZ"/>
        </w:rPr>
        <w:t>u</w:t>
      </w:r>
      <w:r w:rsidRPr="00A955AF" w:rsidR="005E6F53">
        <w:rPr>
          <w:rFonts w:asciiTheme="minorHAnsi" w:hAnsiTheme="minorHAnsi" w:cstheme="minorHAnsi"/>
          <w:sz w:val="24"/>
          <w:lang w:val="cs-CZ"/>
        </w:rPr>
        <w:t xml:space="preserve"> zdravotnictví, ale i </w:t>
      </w:r>
      <w:r w:rsidRPr="00A955AF" w:rsidR="009C5523">
        <w:rPr>
          <w:rFonts w:asciiTheme="minorHAnsi" w:hAnsiTheme="minorHAnsi" w:cstheme="minorHAnsi"/>
          <w:sz w:val="24"/>
          <w:lang w:val="cs-CZ"/>
        </w:rPr>
        <w:t xml:space="preserve">vodítkem pro všechny orgány státní správy </w:t>
      </w:r>
      <w:r w:rsidRPr="00A955AF" w:rsidR="00F920A2">
        <w:rPr>
          <w:rFonts w:asciiTheme="minorHAnsi" w:hAnsiTheme="minorHAnsi" w:cstheme="minorHAnsi"/>
          <w:sz w:val="24"/>
          <w:lang w:val="cs-CZ"/>
        </w:rPr>
        <w:t>i </w:t>
      </w:r>
      <w:r w:rsidRPr="00A955AF" w:rsidR="009C5523">
        <w:rPr>
          <w:rFonts w:asciiTheme="minorHAnsi" w:hAnsiTheme="minorHAnsi" w:cstheme="minorHAnsi"/>
          <w:sz w:val="24"/>
          <w:lang w:val="cs-CZ"/>
        </w:rPr>
        <w:t>samosprávy, protože faktory ovlivňující zdraví obyvatel se prolínají napříč všemi resorty a</w:t>
      </w:r>
      <w:r w:rsidRPr="00A955AF" w:rsidR="006765BD">
        <w:rPr>
          <w:rFonts w:asciiTheme="minorHAnsi" w:hAnsiTheme="minorHAnsi" w:cstheme="minorHAnsi"/>
          <w:sz w:val="24"/>
          <w:lang w:val="cs-CZ"/>
        </w:rPr>
        <w:t> </w:t>
      </w:r>
      <w:r w:rsidRPr="00A955AF" w:rsidR="009C5523">
        <w:rPr>
          <w:rFonts w:asciiTheme="minorHAnsi" w:hAnsiTheme="minorHAnsi" w:cstheme="minorHAnsi"/>
          <w:sz w:val="24"/>
          <w:lang w:val="cs-CZ"/>
        </w:rPr>
        <w:t xml:space="preserve">jsou také předmětem rozhodování orgánů na krajské i obecní úrovni. </w:t>
      </w:r>
    </w:p>
    <w:p w:rsidR="003644EE" w:rsidRPr="00641113" w:rsidP="00477A42" w14:paraId="3608843F" w14:textId="3539EA0A">
      <w:pPr>
        <w:pStyle w:val="Bntext"/>
        <w:spacing w:line="240" w:lineRule="auto"/>
        <w:ind w:firstLine="0"/>
        <w:rPr>
          <w:rFonts w:asciiTheme="minorHAnsi" w:hAnsiTheme="minorHAnsi" w:cstheme="minorHAnsi"/>
          <w:sz w:val="24"/>
          <w:lang w:val="cs-CZ"/>
        </w:rPr>
      </w:pPr>
      <w:r w:rsidRPr="00A955AF">
        <w:rPr>
          <w:rFonts w:asciiTheme="minorHAnsi" w:hAnsiTheme="minorHAnsi" w:cstheme="minorHAnsi"/>
          <w:sz w:val="24"/>
          <w:lang w:val="cs-CZ"/>
        </w:rPr>
        <w:t>Stále platí, že zdraví lidí nevzniká v nemocnicích, ale všude tam, kde lidé žijí, pracují a</w:t>
      </w:r>
      <w:r w:rsidR="00157178">
        <w:rPr>
          <w:rFonts w:asciiTheme="minorHAnsi" w:hAnsiTheme="minorHAnsi" w:cstheme="minorHAnsi"/>
          <w:sz w:val="24"/>
          <w:lang w:val="cs-CZ"/>
        </w:rPr>
        <w:t> </w:t>
      </w:r>
      <w:r w:rsidRPr="00A955AF">
        <w:rPr>
          <w:rFonts w:asciiTheme="minorHAnsi" w:hAnsiTheme="minorHAnsi" w:cstheme="minorHAnsi"/>
          <w:sz w:val="24"/>
          <w:lang w:val="cs-CZ"/>
        </w:rPr>
        <w:t>odpočívají.</w:t>
      </w:r>
      <w:r w:rsidR="00157178">
        <w:t xml:space="preserve"> </w:t>
      </w:r>
      <w:r w:rsidRPr="003644EE">
        <w:rPr>
          <w:rFonts w:asciiTheme="minorHAnsi" w:hAnsiTheme="minorHAnsi" w:cstheme="minorHAnsi"/>
          <w:sz w:val="24"/>
          <w:lang w:val="cs-CZ"/>
        </w:rPr>
        <w:t xml:space="preserve"> Z toho důvodu Strategický rámec Zdraví 2035 definuje základní prioritní oblasti, na které je potřeba se zaměřit, aby bylo dosaženo stabilního systému veřejného zdravotnictví. Jednou ze zásadních</w:t>
      </w:r>
      <w:r w:rsidRPr="003644EE" w:rsidR="00157178">
        <w:rPr>
          <w:rFonts w:asciiTheme="minorHAnsi" w:hAnsiTheme="minorHAnsi" w:cstheme="minorHAnsi"/>
          <w:sz w:val="24"/>
          <w:lang w:val="cs-CZ"/>
        </w:rPr>
        <w:t xml:space="preserve"> identifikovaných</w:t>
      </w:r>
      <w:r w:rsidRPr="003644EE">
        <w:rPr>
          <w:rFonts w:asciiTheme="minorHAnsi" w:hAnsiTheme="minorHAnsi" w:cstheme="minorHAnsi"/>
          <w:sz w:val="24"/>
          <w:lang w:val="cs-CZ"/>
        </w:rPr>
        <w:t xml:space="preserve"> oblastí je prevence</w:t>
      </w:r>
      <w:r w:rsidR="00157178">
        <w:rPr>
          <w:rFonts w:asciiTheme="minorHAnsi" w:hAnsiTheme="minorHAnsi" w:cstheme="minorHAnsi"/>
          <w:sz w:val="24"/>
          <w:lang w:val="cs-CZ"/>
        </w:rPr>
        <w:t xml:space="preserve"> nemocí</w:t>
      </w:r>
      <w:r w:rsidRPr="003644EE">
        <w:rPr>
          <w:rFonts w:asciiTheme="minorHAnsi" w:hAnsiTheme="minorHAnsi" w:cstheme="minorHAnsi"/>
          <w:sz w:val="24"/>
          <w:lang w:val="cs-CZ"/>
        </w:rPr>
        <w:t xml:space="preserve"> a rozvoj zdravotní gramotnosti</w:t>
      </w:r>
      <w:r w:rsidR="00157178">
        <w:rPr>
          <w:rFonts w:asciiTheme="minorHAnsi" w:hAnsiTheme="minorHAnsi" w:cstheme="minorHAnsi"/>
          <w:sz w:val="24"/>
          <w:lang w:val="cs-CZ"/>
        </w:rPr>
        <w:t xml:space="preserve"> obyvatel</w:t>
      </w:r>
      <w:r w:rsidRPr="003644EE">
        <w:rPr>
          <w:rFonts w:asciiTheme="minorHAnsi" w:hAnsiTheme="minorHAnsi" w:cstheme="minorHAnsi"/>
          <w:sz w:val="24"/>
          <w:lang w:val="cs-CZ"/>
        </w:rPr>
        <w:t xml:space="preserve">, která by měla přispět ke snížení nákladovosti zdravotního systému, jelikož je méně nákladné nemocem předcházet, než je léčit v pozdějších fázích. Strategický rámec Zdraví 2035 také pojednává o dalších oblastech potřebných pro optimalizaci zdravotnického systému, a to jak reforem klíčových či nedostatečně obsazených oborů, tak také oblastí reagujících na nové výzvy, jako je např. demografické stárnutí obyvatel a s ním spojená potřeba dlouhodobé péče a péče na zdravotně sociálním pomezí.  </w:t>
      </w:r>
    </w:p>
    <w:p w:rsidR="008F6EEF" w:rsidRPr="00A955AF" w:rsidP="00A17CDF" w14:paraId="2FEBA043" w14:textId="086F4117">
      <w:pPr>
        <w:pStyle w:val="Bntext"/>
        <w:spacing w:line="240" w:lineRule="auto"/>
        <w:ind w:firstLine="0"/>
        <w:rPr>
          <w:rFonts w:asciiTheme="minorHAnsi" w:hAnsiTheme="minorHAnsi" w:cstheme="minorHAnsi"/>
          <w:bCs/>
          <w:sz w:val="24"/>
          <w:lang w:val="cs-CZ"/>
        </w:rPr>
      </w:pPr>
      <w:r w:rsidRPr="00A955AF">
        <w:rPr>
          <w:rFonts w:asciiTheme="minorHAnsi" w:hAnsiTheme="minorHAnsi" w:cstheme="minorHAnsi"/>
          <w:bCs/>
          <w:sz w:val="24"/>
          <w:lang w:val="cs-CZ"/>
        </w:rPr>
        <w:t>Jak již bylo</w:t>
      </w:r>
      <w:r w:rsidRPr="00A955AF" w:rsidR="00F0393E">
        <w:rPr>
          <w:rFonts w:asciiTheme="minorHAnsi" w:hAnsiTheme="minorHAnsi" w:cstheme="minorHAnsi"/>
          <w:bCs/>
          <w:sz w:val="24"/>
          <w:lang w:val="cs-CZ"/>
        </w:rPr>
        <w:t xml:space="preserve"> zdůrazněno v úvodu</w:t>
      </w:r>
      <w:r w:rsidRPr="00A955AF">
        <w:rPr>
          <w:rFonts w:asciiTheme="minorHAnsi" w:hAnsiTheme="minorHAnsi" w:cstheme="minorHAnsi"/>
          <w:bCs/>
          <w:sz w:val="24"/>
          <w:lang w:val="cs-CZ"/>
        </w:rPr>
        <w:t xml:space="preserve">, Strategický rámec Zdraví </w:t>
      </w:r>
      <w:r w:rsidRPr="00A955AF" w:rsidR="003644EE">
        <w:rPr>
          <w:rFonts w:asciiTheme="minorHAnsi" w:hAnsiTheme="minorHAnsi" w:cstheme="minorHAnsi"/>
          <w:bCs/>
          <w:sz w:val="24"/>
          <w:lang w:val="cs-CZ"/>
        </w:rPr>
        <w:t>203</w:t>
      </w:r>
      <w:r w:rsidR="003644EE">
        <w:rPr>
          <w:rFonts w:asciiTheme="minorHAnsi" w:hAnsiTheme="minorHAnsi" w:cstheme="minorHAnsi"/>
          <w:bCs/>
          <w:sz w:val="24"/>
          <w:lang w:val="cs-CZ"/>
        </w:rPr>
        <w:t>5</w:t>
      </w:r>
      <w:r w:rsidRPr="00A955AF" w:rsidR="003644EE">
        <w:rPr>
          <w:rFonts w:asciiTheme="minorHAnsi" w:hAnsiTheme="minorHAnsi" w:cstheme="minorHAnsi"/>
          <w:bCs/>
          <w:sz w:val="24"/>
          <w:lang w:val="cs-CZ"/>
        </w:rPr>
        <w:t xml:space="preserve"> </w:t>
      </w:r>
      <w:r w:rsidRPr="00A955AF">
        <w:rPr>
          <w:rFonts w:asciiTheme="minorHAnsi" w:hAnsiTheme="minorHAnsi" w:cstheme="minorHAnsi"/>
          <w:bCs/>
          <w:sz w:val="24"/>
          <w:lang w:val="cs-CZ"/>
        </w:rPr>
        <w:t xml:space="preserve">navazuje na cíl Strategického rámce </w:t>
      </w:r>
      <w:r w:rsidRPr="00A955AF" w:rsidR="00410720">
        <w:rPr>
          <w:rFonts w:asciiTheme="minorHAnsi" w:hAnsiTheme="minorHAnsi" w:cstheme="minorHAnsi"/>
          <w:bCs/>
          <w:sz w:val="24"/>
          <w:lang w:val="cs-CZ"/>
        </w:rPr>
        <w:t xml:space="preserve">ČR </w:t>
      </w:r>
      <w:r w:rsidRPr="00A955AF">
        <w:rPr>
          <w:rFonts w:asciiTheme="minorHAnsi" w:hAnsiTheme="minorHAnsi" w:cstheme="minorHAnsi"/>
          <w:bCs/>
          <w:sz w:val="24"/>
          <w:lang w:val="cs-CZ"/>
        </w:rPr>
        <w:t xml:space="preserve">2030 „Zdraví všech obyvatel se zlepšuje“, jehož </w:t>
      </w:r>
      <w:r w:rsidRPr="00A955AF" w:rsidR="005E6F53">
        <w:rPr>
          <w:rFonts w:asciiTheme="minorHAnsi" w:hAnsiTheme="minorHAnsi" w:cstheme="minorHAnsi"/>
          <w:bCs/>
          <w:sz w:val="24"/>
          <w:lang w:val="cs-CZ"/>
        </w:rPr>
        <w:t>specifické cíle</w:t>
      </w:r>
      <w:r>
        <w:rPr>
          <w:rStyle w:val="FootnoteReference"/>
          <w:rFonts w:asciiTheme="minorHAnsi" w:hAnsiTheme="minorHAnsi" w:cstheme="minorHAnsi"/>
          <w:bCs/>
          <w:sz w:val="24"/>
          <w:lang w:val="cs-CZ"/>
        </w:rPr>
        <w:footnoteReference w:id="56"/>
      </w:r>
      <w:r w:rsidRPr="00A955AF">
        <w:rPr>
          <w:rFonts w:asciiTheme="minorHAnsi" w:hAnsiTheme="minorHAnsi" w:cstheme="minorHAnsi"/>
          <w:bCs/>
          <w:sz w:val="24"/>
          <w:lang w:val="cs-CZ"/>
        </w:rPr>
        <w:t xml:space="preserve"> se</w:t>
      </w:r>
      <w:r w:rsidRPr="00A955AF" w:rsidR="006765BD">
        <w:rPr>
          <w:rFonts w:asciiTheme="minorHAnsi" w:hAnsiTheme="minorHAnsi" w:cstheme="minorHAnsi"/>
          <w:bCs/>
          <w:sz w:val="24"/>
          <w:lang w:val="cs-CZ"/>
        </w:rPr>
        <w:t> </w:t>
      </w:r>
      <w:r w:rsidRPr="00A955AF">
        <w:rPr>
          <w:rFonts w:asciiTheme="minorHAnsi" w:hAnsiTheme="minorHAnsi" w:cstheme="minorHAnsi"/>
          <w:bCs/>
          <w:sz w:val="24"/>
          <w:lang w:val="cs-CZ"/>
        </w:rPr>
        <w:t xml:space="preserve">tematicky soustřeďují do následujících strategických cílů Strategického rámce </w:t>
      </w:r>
      <w:r w:rsidRPr="00A955AF" w:rsidR="006765BD">
        <w:rPr>
          <w:rFonts w:asciiTheme="minorHAnsi" w:hAnsiTheme="minorHAnsi" w:cstheme="minorHAnsi"/>
          <w:bCs/>
          <w:sz w:val="24"/>
          <w:lang w:val="cs-CZ"/>
        </w:rPr>
        <w:t xml:space="preserve">Zdraví </w:t>
      </w:r>
      <w:r w:rsidRPr="00A955AF" w:rsidR="003644EE">
        <w:rPr>
          <w:rFonts w:asciiTheme="minorHAnsi" w:hAnsiTheme="minorHAnsi" w:cstheme="minorHAnsi"/>
          <w:bCs/>
          <w:sz w:val="24"/>
          <w:lang w:val="cs-CZ"/>
        </w:rPr>
        <w:t>203</w:t>
      </w:r>
      <w:r w:rsidR="003644EE">
        <w:rPr>
          <w:rFonts w:asciiTheme="minorHAnsi" w:hAnsiTheme="minorHAnsi" w:cstheme="minorHAnsi"/>
          <w:bCs/>
          <w:sz w:val="24"/>
          <w:lang w:val="cs-CZ"/>
        </w:rPr>
        <w:t>5</w:t>
      </w:r>
      <w:r w:rsidRPr="00A955AF">
        <w:rPr>
          <w:rFonts w:asciiTheme="minorHAnsi" w:hAnsiTheme="minorHAnsi" w:cstheme="minorHAnsi"/>
          <w:bCs/>
          <w:sz w:val="24"/>
          <w:lang w:val="cs-CZ"/>
        </w:rPr>
        <w:t xml:space="preserve">. </w:t>
      </w:r>
    </w:p>
    <w:p w:rsidR="008F6EEF" w:rsidRPr="00430B50" w:rsidP="00EA629F" w14:paraId="7D6FF51D" w14:textId="1EA5A378">
      <w:pPr>
        <w:pStyle w:val="Bntext"/>
        <w:spacing w:line="240" w:lineRule="auto"/>
        <w:ind w:left="567" w:firstLine="11"/>
        <w:rPr>
          <w:rFonts w:asciiTheme="minorHAnsi" w:hAnsiTheme="minorHAnsi" w:cstheme="minorHAnsi"/>
          <w:bCs/>
          <w:sz w:val="24"/>
          <w:lang w:val="cs-CZ"/>
        </w:rPr>
      </w:pPr>
      <w:r w:rsidRPr="00430B50">
        <w:rPr>
          <w:rFonts w:asciiTheme="minorHAnsi" w:hAnsiTheme="minorHAnsi" w:cstheme="minorHAnsi"/>
          <w:bCs/>
          <w:sz w:val="24"/>
          <w:lang w:val="cs-CZ"/>
        </w:rPr>
        <w:t>1.</w:t>
      </w:r>
      <w:r w:rsidRPr="00430B50">
        <w:rPr>
          <w:rFonts w:asciiTheme="minorHAnsi" w:hAnsiTheme="minorHAnsi" w:cstheme="minorHAnsi"/>
          <w:bCs/>
          <w:sz w:val="24"/>
          <w:lang w:val="cs-CZ"/>
        </w:rPr>
        <w:tab/>
      </w:r>
      <w:r w:rsidRPr="00430B50" w:rsidR="00430B50">
        <w:rPr>
          <w:rFonts w:asciiTheme="minorHAnsi" w:hAnsiTheme="minorHAnsi" w:cstheme="minorHAnsi"/>
          <w:sz w:val="24"/>
          <w:lang w:val="cs-CZ"/>
        </w:rPr>
        <w:t>Ochrana a zlepšení zdravotního stavu populace</w:t>
      </w:r>
      <w:r w:rsidRPr="00430B50" w:rsidR="00923EDC">
        <w:rPr>
          <w:sz w:val="24"/>
        </w:rPr>
        <w:t xml:space="preserve"> </w:t>
      </w:r>
      <w:r w:rsidRPr="00430B50">
        <w:rPr>
          <w:rFonts w:asciiTheme="minorHAnsi" w:hAnsiTheme="minorHAnsi" w:cstheme="minorHAnsi"/>
          <w:bCs/>
          <w:sz w:val="24"/>
          <w:lang w:val="cs-CZ"/>
        </w:rPr>
        <w:t xml:space="preserve">(naplnění specifického cíle 1, 2, 4 a 5 Strategického rámce </w:t>
      </w:r>
      <w:r w:rsidRPr="00430B50" w:rsidR="00410720">
        <w:rPr>
          <w:rFonts w:asciiTheme="minorHAnsi" w:hAnsiTheme="minorHAnsi" w:cstheme="minorHAnsi"/>
          <w:bCs/>
          <w:sz w:val="24"/>
          <w:lang w:val="cs-CZ"/>
        </w:rPr>
        <w:t xml:space="preserve">ČR </w:t>
      </w:r>
      <w:r w:rsidRPr="00430B50">
        <w:rPr>
          <w:rFonts w:asciiTheme="minorHAnsi" w:hAnsiTheme="minorHAnsi" w:cstheme="minorHAnsi"/>
          <w:bCs/>
          <w:sz w:val="24"/>
          <w:lang w:val="cs-CZ"/>
        </w:rPr>
        <w:t>2030)</w:t>
      </w:r>
    </w:p>
    <w:p w:rsidR="008F6EEF" w:rsidRPr="00430B50" w:rsidP="00477A42" w14:paraId="4B1B6460" w14:textId="2AFCF6A9">
      <w:pPr>
        <w:pStyle w:val="Bntext"/>
        <w:spacing w:line="240" w:lineRule="auto"/>
        <w:ind w:left="567" w:firstLine="11"/>
        <w:rPr>
          <w:rFonts w:asciiTheme="minorHAnsi" w:hAnsiTheme="minorHAnsi" w:cstheme="minorHAnsi"/>
          <w:bCs/>
          <w:sz w:val="24"/>
          <w:lang w:val="cs-CZ"/>
        </w:rPr>
      </w:pPr>
      <w:r w:rsidRPr="00430B50">
        <w:rPr>
          <w:rFonts w:asciiTheme="minorHAnsi" w:hAnsiTheme="minorHAnsi" w:cstheme="minorHAnsi"/>
          <w:bCs/>
          <w:sz w:val="24"/>
          <w:lang w:val="cs-CZ"/>
        </w:rPr>
        <w:t>2.</w:t>
      </w:r>
      <w:r w:rsidRPr="00430B50">
        <w:rPr>
          <w:rFonts w:asciiTheme="minorHAnsi" w:hAnsiTheme="minorHAnsi" w:cstheme="minorHAnsi"/>
          <w:bCs/>
          <w:sz w:val="24"/>
          <w:lang w:val="cs-CZ"/>
        </w:rPr>
        <w:tab/>
      </w:r>
      <w:r w:rsidRPr="00430B50" w:rsidR="00430B50">
        <w:rPr>
          <w:rFonts w:asciiTheme="minorHAnsi" w:hAnsiTheme="minorHAnsi" w:cstheme="minorHAnsi"/>
          <w:sz w:val="24"/>
          <w:lang w:val="cs-CZ"/>
        </w:rPr>
        <w:t>Optimalizace zdravotnického systému</w:t>
      </w:r>
      <w:r w:rsidRPr="00430B50" w:rsidR="00923EDC">
        <w:rPr>
          <w:rFonts w:asciiTheme="minorHAnsi" w:hAnsiTheme="minorHAnsi" w:cstheme="minorHAnsi"/>
          <w:bCs/>
          <w:sz w:val="24"/>
          <w:lang w:val="cs-CZ"/>
        </w:rPr>
        <w:t xml:space="preserve"> </w:t>
      </w:r>
      <w:r w:rsidRPr="00430B50">
        <w:rPr>
          <w:rFonts w:asciiTheme="minorHAnsi" w:hAnsiTheme="minorHAnsi" w:cstheme="minorHAnsi"/>
          <w:bCs/>
          <w:sz w:val="24"/>
          <w:lang w:val="cs-CZ"/>
        </w:rPr>
        <w:t xml:space="preserve">(naplnění </w:t>
      </w:r>
      <w:r w:rsidRPr="00430B50" w:rsidR="00BA0D31">
        <w:rPr>
          <w:rFonts w:asciiTheme="minorHAnsi" w:hAnsiTheme="minorHAnsi" w:cstheme="minorHAnsi"/>
          <w:bCs/>
          <w:sz w:val="24"/>
          <w:lang w:val="cs-CZ"/>
        </w:rPr>
        <w:t xml:space="preserve">specifického </w:t>
      </w:r>
      <w:r w:rsidRPr="00430B50">
        <w:rPr>
          <w:rFonts w:asciiTheme="minorHAnsi" w:hAnsiTheme="minorHAnsi" w:cstheme="minorHAnsi"/>
          <w:bCs/>
          <w:sz w:val="24"/>
          <w:lang w:val="cs-CZ"/>
        </w:rPr>
        <w:t xml:space="preserve">cíle 2, 3, 4 a 5 Strategického rámce </w:t>
      </w:r>
      <w:r w:rsidRPr="00430B50" w:rsidR="00410720">
        <w:rPr>
          <w:rFonts w:asciiTheme="minorHAnsi" w:hAnsiTheme="minorHAnsi" w:cstheme="minorHAnsi"/>
          <w:bCs/>
          <w:sz w:val="24"/>
          <w:lang w:val="cs-CZ"/>
        </w:rPr>
        <w:t xml:space="preserve">ČR </w:t>
      </w:r>
      <w:r w:rsidRPr="00430B50">
        <w:rPr>
          <w:rFonts w:asciiTheme="minorHAnsi" w:hAnsiTheme="minorHAnsi" w:cstheme="minorHAnsi"/>
          <w:bCs/>
          <w:sz w:val="24"/>
          <w:lang w:val="cs-CZ"/>
        </w:rPr>
        <w:t>2030)</w:t>
      </w:r>
    </w:p>
    <w:p w:rsidR="003644EE" w:rsidP="00641113" w14:paraId="1F96756D" w14:textId="09D463E8">
      <w:pPr>
        <w:pStyle w:val="Bntext"/>
        <w:spacing w:line="240" w:lineRule="auto"/>
        <w:ind w:left="567" w:firstLine="11"/>
        <w:rPr>
          <w:rFonts w:asciiTheme="minorHAnsi" w:hAnsiTheme="minorHAnsi" w:cstheme="minorHAnsi"/>
          <w:bCs/>
          <w:sz w:val="24"/>
          <w:lang w:val="cs-CZ"/>
        </w:rPr>
      </w:pPr>
      <w:r w:rsidRPr="00430B50">
        <w:rPr>
          <w:rFonts w:asciiTheme="minorHAnsi" w:hAnsiTheme="minorHAnsi" w:cstheme="minorHAnsi"/>
          <w:bCs/>
          <w:sz w:val="24"/>
          <w:lang w:val="cs-CZ"/>
        </w:rPr>
        <w:t>3.</w:t>
      </w:r>
      <w:r w:rsidRPr="00430B50">
        <w:rPr>
          <w:rFonts w:asciiTheme="minorHAnsi" w:hAnsiTheme="minorHAnsi" w:cstheme="minorHAnsi"/>
          <w:bCs/>
          <w:sz w:val="24"/>
          <w:lang w:val="cs-CZ"/>
        </w:rPr>
        <w:tab/>
      </w:r>
      <w:r w:rsidRPr="00430B50" w:rsidR="00430B50">
        <w:rPr>
          <w:rFonts w:asciiTheme="minorHAnsi" w:hAnsiTheme="minorHAnsi" w:cstheme="minorHAnsi"/>
          <w:bCs/>
          <w:sz w:val="24"/>
          <w:lang w:val="cs-CZ"/>
        </w:rPr>
        <w:t>Podpora vědy a výzkumu</w:t>
      </w:r>
      <w:r w:rsidRPr="00430B50" w:rsidR="00923EDC">
        <w:rPr>
          <w:rFonts w:asciiTheme="minorHAnsi" w:hAnsiTheme="minorHAnsi" w:cstheme="minorHAnsi"/>
          <w:bCs/>
          <w:sz w:val="24"/>
          <w:lang w:val="cs-CZ"/>
        </w:rPr>
        <w:t xml:space="preserve"> </w:t>
      </w:r>
      <w:r w:rsidRPr="00430B50">
        <w:rPr>
          <w:rFonts w:asciiTheme="minorHAnsi" w:hAnsiTheme="minorHAnsi" w:cstheme="minorHAnsi"/>
          <w:bCs/>
          <w:sz w:val="24"/>
          <w:lang w:val="cs-CZ"/>
        </w:rPr>
        <w:t>(naplnění</w:t>
      </w:r>
      <w:r w:rsidRPr="00430B50" w:rsidR="00BA0D31">
        <w:rPr>
          <w:rFonts w:asciiTheme="minorHAnsi" w:hAnsiTheme="minorHAnsi" w:cstheme="minorHAnsi"/>
          <w:bCs/>
          <w:sz w:val="24"/>
          <w:lang w:val="cs-CZ"/>
        </w:rPr>
        <w:t xml:space="preserve"> specifického</w:t>
      </w:r>
      <w:r w:rsidRPr="00430B50">
        <w:rPr>
          <w:rFonts w:asciiTheme="minorHAnsi" w:hAnsiTheme="minorHAnsi" w:cstheme="minorHAnsi"/>
          <w:bCs/>
          <w:sz w:val="24"/>
          <w:lang w:val="cs-CZ"/>
        </w:rPr>
        <w:t xml:space="preserve"> cíle 1 a 3 Strategického rámce </w:t>
      </w:r>
      <w:r w:rsidRPr="00430B50" w:rsidR="00410720">
        <w:rPr>
          <w:rFonts w:asciiTheme="minorHAnsi" w:hAnsiTheme="minorHAnsi" w:cstheme="minorHAnsi"/>
          <w:bCs/>
          <w:sz w:val="24"/>
          <w:lang w:val="cs-CZ"/>
        </w:rPr>
        <w:t>ČR</w:t>
      </w:r>
      <w:r w:rsidRPr="00430B50">
        <w:rPr>
          <w:rFonts w:asciiTheme="minorHAnsi" w:hAnsiTheme="minorHAnsi" w:cstheme="minorHAnsi"/>
          <w:bCs/>
          <w:sz w:val="24"/>
          <w:lang w:val="cs-CZ"/>
        </w:rPr>
        <w:t xml:space="preserve"> 2030)</w:t>
      </w:r>
      <w:bookmarkStart w:id="517" w:name="_Toc7779519"/>
      <w:bookmarkStart w:id="518" w:name="_Toc10196780"/>
      <w:bookmarkStart w:id="519" w:name="_Toc10196907"/>
      <w:bookmarkStart w:id="520" w:name="_Toc10619799"/>
      <w:bookmarkEnd w:id="517"/>
      <w:bookmarkEnd w:id="518"/>
      <w:bookmarkEnd w:id="519"/>
      <w:bookmarkEnd w:id="520"/>
    </w:p>
    <w:p w:rsidR="003644EE" w:rsidP="003644EE" w14:paraId="76393031" w14:textId="77777777">
      <w:pPr>
        <w:rPr>
          <w:rFonts w:cstheme="minorHAnsi"/>
          <w:bCs/>
          <w:sz w:val="24"/>
        </w:rPr>
      </w:pPr>
      <w:r w:rsidRPr="00A955AF">
        <w:rPr>
          <w:rFonts w:cstheme="minorHAnsi"/>
          <w:bCs/>
          <w:sz w:val="24"/>
        </w:rPr>
        <w:t>S ohledem na aktuální i dlouhodobé potřeby resortu zdravotnictví, ale i se zřetelem na dosavadní poznatky a zkušenosti prezentované v Analytické části Strategického rámce Zdraví 203</w:t>
      </w:r>
      <w:r>
        <w:rPr>
          <w:rFonts w:cstheme="minorHAnsi"/>
          <w:bCs/>
          <w:sz w:val="24"/>
        </w:rPr>
        <w:t>5</w:t>
      </w:r>
      <w:r w:rsidRPr="00A955AF">
        <w:rPr>
          <w:rFonts w:cstheme="minorHAnsi"/>
          <w:bCs/>
          <w:sz w:val="24"/>
        </w:rPr>
        <w:t xml:space="preserve">, byl každý ze strategických cílů rozpracován do podrobnějšího členění na cíle specifické. Výběr specifických cílů byl ovlivněn především posouzením jejich možných dopadů na plnění příslušného strategického cíle. </w:t>
      </w:r>
    </w:p>
    <w:p w:rsidR="00EC4DA6" w:rsidP="00EC4DA6" w14:paraId="3C1EB77C" w14:textId="04CF5089">
      <w:pPr>
        <w:rPr>
          <w:rFonts w:cs="Arial"/>
          <w:sz w:val="24"/>
        </w:rPr>
      </w:pPr>
      <w:r w:rsidRPr="00A955AF">
        <w:rPr>
          <w:rFonts w:cs="Arial"/>
          <w:sz w:val="24"/>
        </w:rPr>
        <w:t xml:space="preserve">Specifické cíle se následně rozpadají na dílčí cíle, které formulují konkrétní </w:t>
      </w:r>
      <w:r>
        <w:rPr>
          <w:rFonts w:cs="Arial"/>
          <w:sz w:val="24"/>
        </w:rPr>
        <w:t>opatření</w:t>
      </w:r>
      <w:r w:rsidRPr="00A955AF">
        <w:rPr>
          <w:rFonts w:cs="Arial"/>
          <w:sz w:val="24"/>
        </w:rPr>
        <w:t xml:space="preserve"> a aktivity, vedoucí k realizaci daného cíle. Zároveň </w:t>
      </w:r>
      <w:r>
        <w:rPr>
          <w:rFonts w:cs="Arial"/>
          <w:sz w:val="24"/>
        </w:rPr>
        <w:t>však</w:t>
      </w:r>
      <w:r w:rsidRPr="00A955AF">
        <w:rPr>
          <w:rFonts w:cs="Arial"/>
          <w:sz w:val="24"/>
        </w:rPr>
        <w:t> všechny dohromady pojímají zdravotní péči jako komplexní oblast, která reprezentuje zdraví jako esenciální podmínku prosperity jednotlivce i</w:t>
      </w:r>
      <w:r w:rsidR="00641113">
        <w:rPr>
          <w:rFonts w:cs="Arial"/>
          <w:sz w:val="24"/>
        </w:rPr>
        <w:t> </w:t>
      </w:r>
      <w:r w:rsidRPr="00A955AF">
        <w:rPr>
          <w:rFonts w:cs="Arial"/>
          <w:sz w:val="24"/>
        </w:rPr>
        <w:t xml:space="preserve">celé společnosti. Zdravotní stav populace má značný dopad nejen na systém a náklady zdravotnictví, ale také na zaměstnanost, sociální systém státu a tím také ekonomiku celé země. </w:t>
      </w:r>
    </w:p>
    <w:p w:rsidR="003C7F59" w:rsidP="00EC4DA6" w14:paraId="371DA52F" w14:textId="77777777">
      <w:pPr>
        <w:rPr>
          <w:rFonts w:cs="Arial"/>
          <w:sz w:val="24"/>
        </w:rPr>
      </w:pPr>
    </w:p>
    <w:p w:rsidR="007E3FBE" w:rsidP="00EC4DA6" w14:paraId="24D811A2" w14:textId="77777777">
      <w:pPr>
        <w:rPr>
          <w:rFonts w:cs="Arial"/>
          <w:sz w:val="24"/>
        </w:rPr>
      </w:pPr>
    </w:p>
    <w:p w:rsidR="007E3FBE" w:rsidRPr="00A955AF" w:rsidP="00EC4DA6" w14:paraId="163E0E89" w14:textId="77777777">
      <w:pPr>
        <w:rPr>
          <w:rFonts w:cs="Arial"/>
          <w:sz w:val="24"/>
        </w:rPr>
      </w:pPr>
    </w:p>
    <w:p w:rsidR="000D1C3E" w:rsidRPr="008729A1" w:rsidP="000D1C3E" w14:paraId="06368345" w14:textId="77777777">
      <w:pPr>
        <w:pStyle w:val="Caption"/>
        <w:rPr>
          <w:rFonts w:cstheme="minorHAnsi"/>
          <w:sz w:val="24"/>
        </w:rPr>
      </w:pPr>
      <w:bookmarkStart w:id="521" w:name="_Toc205306774"/>
      <w:r>
        <w:t xml:space="preserve">Obrázek </w:t>
      </w:r>
      <w:r>
        <w:fldChar w:fldCharType="begin"/>
      </w:r>
      <w:r>
        <w:instrText xml:space="preserve"> SEQ Obrázek \* ARABIC </w:instrText>
      </w:r>
      <w:r>
        <w:fldChar w:fldCharType="separate"/>
      </w:r>
      <w:r>
        <w:t>2</w:t>
      </w:r>
      <w:r>
        <w:fldChar w:fldCharType="end"/>
      </w:r>
      <w:r>
        <w:t xml:space="preserve"> </w:t>
      </w:r>
      <w:r w:rsidRPr="005E53BE">
        <w:t>Strategické a specifické cíle Strategického rámce Zdraví 2035</w:t>
      </w:r>
      <w:bookmarkEnd w:id="521"/>
    </w:p>
    <w:p w:rsidR="00EC4DA6" w:rsidP="003644EE" w14:paraId="7104926B" w14:textId="67B2EDE4">
      <w:pPr>
        <w:rPr>
          <w:rFonts w:cstheme="minorHAnsi"/>
          <w:bCs/>
          <w:sz w:val="24"/>
        </w:rPr>
      </w:pPr>
      <w:r>
        <w:rPr>
          <w:rFonts w:cstheme="minorHAnsi"/>
          <w:bCs/>
          <w:noProof/>
          <w:sz w:val="24"/>
        </w:rPr>
        <w:drawing>
          <wp:inline distT="0" distB="0" distL="0" distR="0">
            <wp:extent cx="5760720" cy="8148320"/>
            <wp:effectExtent l="0" t="0" r="0" b="5080"/>
            <wp:docPr id="717254288" name="Obrázek 1" descr="Obsah obrázku text, snímek obrazovky, Písmo, T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54288" name="Obrázek 1" descr="Obsah obrázku text, snímek obrazovky, Písmo, Tisk"/>
                    <pic:cNvPicPr/>
                  </pic:nvPicPr>
                  <pic:blipFill>
                    <a:blip xmlns:r="http://schemas.openxmlformats.org/officeDocument/2006/relationships" r:embed="rId50" cstate="print">
                      <a:extLst>
                        <a:ext xmlns:a="http://schemas.openxmlformats.org/drawingml/2006/main"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rsidR="003C7F59" w:rsidP="00B60A31" w14:paraId="02004023" w14:textId="77777777">
      <w:pPr>
        <w:pStyle w:val="Bntext"/>
        <w:ind w:firstLine="0"/>
        <w:rPr>
          <w:rFonts w:cstheme="minorHAnsi"/>
          <w:sz w:val="20"/>
          <w:szCs w:val="20"/>
          <w:lang w:val="cs-CZ"/>
        </w:rPr>
      </w:pPr>
      <w:bookmarkStart w:id="522" w:name="_Hlk203323468"/>
      <w:r>
        <w:rPr>
          <w:rFonts w:cstheme="minorHAnsi"/>
          <w:sz w:val="20"/>
          <w:szCs w:val="20"/>
          <w:lang w:val="cs-CZ"/>
        </w:rPr>
        <w:t xml:space="preserve">Zdroj: vlastní zpracování </w:t>
      </w:r>
      <w:bookmarkEnd w:id="522"/>
    </w:p>
    <w:p w:rsidR="00B60A31" w:rsidP="00B60A31" w14:paraId="4DDD5C4C" w14:textId="07A9391A">
      <w:pPr>
        <w:pStyle w:val="Bntext"/>
        <w:ind w:firstLine="0"/>
        <w:rPr>
          <w:rFonts w:asciiTheme="minorHAnsi" w:hAnsiTheme="minorHAnsi" w:cstheme="minorHAnsi"/>
          <w:sz w:val="24"/>
          <w:lang w:val="cs-CZ"/>
        </w:rPr>
      </w:pPr>
      <w:r>
        <w:rPr>
          <w:rFonts w:asciiTheme="minorHAnsi" w:hAnsiTheme="minorHAnsi" w:cstheme="minorHAnsi"/>
          <w:sz w:val="24"/>
          <w:lang w:val="cs-CZ"/>
        </w:rPr>
        <w:t>V rámci aktualizace v roce 2025 došlo k rozšíření okruhu specifických</w:t>
      </w:r>
      <w:r w:rsidR="00EC4DA6">
        <w:rPr>
          <w:rFonts w:asciiTheme="minorHAnsi" w:hAnsiTheme="minorHAnsi" w:cstheme="minorHAnsi"/>
          <w:sz w:val="24"/>
          <w:lang w:val="cs-CZ"/>
        </w:rPr>
        <w:t xml:space="preserve"> a dílčích</w:t>
      </w:r>
      <w:r>
        <w:rPr>
          <w:rFonts w:asciiTheme="minorHAnsi" w:hAnsiTheme="minorHAnsi" w:cstheme="minorHAnsi"/>
          <w:sz w:val="24"/>
          <w:lang w:val="cs-CZ"/>
        </w:rPr>
        <w:t xml:space="preserve"> cílů z důvodu prolongace dokumentu.  </w:t>
      </w:r>
    </w:p>
    <w:p w:rsidR="00B60A31" w:rsidP="03B59B71" w14:paraId="3696B2B7" w14:textId="28F50885">
      <w:pPr>
        <w:pStyle w:val="Bntext"/>
        <w:ind w:firstLine="0"/>
        <w:rPr>
          <w:rFonts w:asciiTheme="minorHAnsi" w:hAnsiTheme="minorHAnsi" w:cstheme="minorBidi"/>
          <w:sz w:val="24"/>
          <w:lang w:val="cs-CZ"/>
        </w:rPr>
      </w:pPr>
      <w:r w:rsidRPr="00641113">
        <w:rPr>
          <w:rFonts w:asciiTheme="minorHAnsi" w:hAnsiTheme="minorHAnsi" w:cstheme="minorBidi"/>
          <w:sz w:val="24"/>
          <w:lang w:val="cs-CZ"/>
        </w:rPr>
        <w:t>St</w:t>
      </w:r>
      <w:r w:rsidRPr="00641113" w:rsidR="5B153A6D">
        <w:rPr>
          <w:rFonts w:asciiTheme="minorHAnsi" w:hAnsiTheme="minorHAnsi" w:cstheme="minorBidi"/>
          <w:sz w:val="24"/>
          <w:lang w:val="cs-CZ"/>
        </w:rPr>
        <w:t>r</w:t>
      </w:r>
      <w:r w:rsidRPr="00641113">
        <w:rPr>
          <w:rFonts w:asciiTheme="minorHAnsi" w:hAnsiTheme="minorHAnsi" w:cstheme="minorBidi"/>
          <w:sz w:val="24"/>
          <w:lang w:val="cs-CZ"/>
        </w:rPr>
        <w:t xml:space="preserve">ategický cíl 1 </w:t>
      </w:r>
      <w:r w:rsidRPr="00641113" w:rsidR="672FF4CC">
        <w:rPr>
          <w:rFonts w:asciiTheme="minorHAnsi" w:hAnsiTheme="minorHAnsi" w:cstheme="minorBidi"/>
          <w:sz w:val="24"/>
          <w:lang w:val="cs-CZ"/>
        </w:rPr>
        <w:t>„</w:t>
      </w:r>
      <w:r w:rsidR="00641113">
        <w:rPr>
          <w:rFonts w:asciiTheme="minorHAnsi" w:hAnsiTheme="minorHAnsi" w:cstheme="minorBidi"/>
          <w:sz w:val="24"/>
          <w:lang w:val="cs-CZ"/>
        </w:rPr>
        <w:t>Ochrana a zlepšení zdravotního stavu populace</w:t>
      </w:r>
      <w:r w:rsidRPr="03B59B71" w:rsidR="672FF4CC">
        <w:rPr>
          <w:rFonts w:asciiTheme="minorHAnsi" w:hAnsiTheme="minorHAnsi" w:cstheme="minorBidi"/>
          <w:sz w:val="24"/>
          <w:lang w:val="cs-CZ"/>
        </w:rPr>
        <w:t>“</w:t>
      </w:r>
      <w:r w:rsidRPr="03B59B71">
        <w:rPr>
          <w:rFonts w:asciiTheme="minorHAnsi" w:hAnsiTheme="minorHAnsi" w:cstheme="minorBidi"/>
          <w:sz w:val="24"/>
          <w:lang w:val="cs-CZ"/>
        </w:rPr>
        <w:t xml:space="preserve"> bude nově plněn prostřednictvím 3 specifických cílů, a to: </w:t>
      </w:r>
    </w:p>
    <w:p w:rsidR="00B60A31" w:rsidP="00641113" w14:paraId="14411FA8" w14:textId="33EEAF61">
      <w:pPr>
        <w:pStyle w:val="Bntext"/>
        <w:numPr>
          <w:ilvl w:val="1"/>
          <w:numId w:val="48"/>
        </w:numPr>
        <w:ind w:left="709"/>
        <w:rPr>
          <w:rFonts w:asciiTheme="minorHAnsi" w:hAnsiTheme="minorHAnsi" w:cstheme="minorHAnsi"/>
          <w:sz w:val="24"/>
          <w:lang w:val="cs-CZ"/>
        </w:rPr>
      </w:pPr>
      <w:r w:rsidRPr="00B60A31">
        <w:rPr>
          <w:rFonts w:asciiTheme="minorHAnsi" w:hAnsiTheme="minorHAnsi" w:cstheme="minorHAnsi"/>
          <w:sz w:val="24"/>
          <w:lang w:val="cs-CZ"/>
        </w:rPr>
        <w:t>Primární prevence a ochrana veřejného zdraví</w:t>
      </w:r>
    </w:p>
    <w:p w:rsidR="00B60A31" w:rsidP="00641113" w14:paraId="3F7BA8BA" w14:textId="68B25EB1">
      <w:pPr>
        <w:pStyle w:val="Bntext"/>
        <w:numPr>
          <w:ilvl w:val="1"/>
          <w:numId w:val="48"/>
        </w:numPr>
        <w:ind w:left="709"/>
        <w:rPr>
          <w:rFonts w:asciiTheme="minorHAnsi" w:hAnsiTheme="minorHAnsi" w:cstheme="minorHAnsi"/>
          <w:sz w:val="24"/>
          <w:lang w:val="cs-CZ"/>
        </w:rPr>
      </w:pPr>
      <w:r w:rsidRPr="00B60A31">
        <w:rPr>
          <w:rFonts w:asciiTheme="minorHAnsi" w:hAnsiTheme="minorHAnsi" w:cstheme="minorHAnsi"/>
          <w:sz w:val="24"/>
          <w:lang w:val="cs-CZ"/>
        </w:rPr>
        <w:t xml:space="preserve"> Sekundární prevence a screeningové programy</w:t>
      </w:r>
    </w:p>
    <w:p w:rsidR="00B60A31" w:rsidP="00641113" w14:paraId="331E7EAE" w14:textId="7E56B2F0">
      <w:pPr>
        <w:pStyle w:val="Bntext"/>
        <w:numPr>
          <w:ilvl w:val="1"/>
          <w:numId w:val="48"/>
        </w:numPr>
        <w:ind w:left="709"/>
        <w:rPr>
          <w:rFonts w:asciiTheme="minorHAnsi" w:hAnsiTheme="minorHAnsi" w:cstheme="minorHAnsi"/>
          <w:sz w:val="24"/>
          <w:lang w:val="cs-CZ"/>
        </w:rPr>
      </w:pPr>
      <w:r>
        <w:rPr>
          <w:rFonts w:asciiTheme="minorHAnsi" w:hAnsiTheme="minorHAnsi" w:cstheme="minorHAnsi"/>
          <w:sz w:val="24"/>
          <w:lang w:val="cs-CZ"/>
        </w:rPr>
        <w:t>L</w:t>
      </w:r>
      <w:r w:rsidRPr="00B60A31">
        <w:rPr>
          <w:rFonts w:asciiTheme="minorHAnsi" w:hAnsiTheme="minorHAnsi" w:cstheme="minorHAnsi"/>
          <w:sz w:val="24"/>
          <w:lang w:val="cs-CZ"/>
        </w:rPr>
        <w:t>ékov</w:t>
      </w:r>
      <w:r>
        <w:rPr>
          <w:rFonts w:asciiTheme="minorHAnsi" w:hAnsiTheme="minorHAnsi" w:cstheme="minorHAnsi"/>
          <w:sz w:val="24"/>
          <w:lang w:val="cs-CZ"/>
        </w:rPr>
        <w:t>á</w:t>
      </w:r>
      <w:r w:rsidRPr="00B60A31">
        <w:rPr>
          <w:rFonts w:asciiTheme="minorHAnsi" w:hAnsiTheme="minorHAnsi" w:cstheme="minorHAnsi"/>
          <w:sz w:val="24"/>
          <w:lang w:val="cs-CZ"/>
        </w:rPr>
        <w:t xml:space="preserve"> politik</w:t>
      </w:r>
      <w:r>
        <w:rPr>
          <w:rFonts w:asciiTheme="minorHAnsi" w:hAnsiTheme="minorHAnsi" w:cstheme="minorHAnsi"/>
          <w:sz w:val="24"/>
          <w:lang w:val="cs-CZ"/>
        </w:rPr>
        <w:t>a a zvýšení dostupnosti léčiv</w:t>
      </w:r>
    </w:p>
    <w:p w:rsidR="00EC4DA6" w:rsidP="00B60A31" w14:paraId="76861688" w14:textId="406D01B0">
      <w:pPr>
        <w:pStyle w:val="Bntext"/>
        <w:ind w:firstLine="0"/>
        <w:rPr>
          <w:rFonts w:asciiTheme="minorHAnsi" w:hAnsiTheme="minorHAnsi" w:cstheme="minorHAnsi"/>
          <w:sz w:val="24"/>
          <w:lang w:val="cs-CZ"/>
        </w:rPr>
      </w:pPr>
      <w:r>
        <w:rPr>
          <w:rFonts w:asciiTheme="minorHAnsi" w:hAnsiTheme="minorHAnsi" w:cstheme="minorHAnsi"/>
          <w:sz w:val="24"/>
          <w:lang w:val="cs-CZ"/>
        </w:rPr>
        <w:t>Původní specifický cíl 1.1 Reforma primární péče byl přesunut pod strategický cíl 2</w:t>
      </w:r>
      <w:r>
        <w:rPr>
          <w:rFonts w:asciiTheme="minorHAnsi" w:hAnsiTheme="minorHAnsi" w:cstheme="minorHAnsi"/>
          <w:sz w:val="24"/>
          <w:lang w:val="cs-CZ"/>
        </w:rPr>
        <w:t xml:space="preserve">. </w:t>
      </w:r>
      <w:r w:rsidR="00B60A31">
        <w:rPr>
          <w:rFonts w:asciiTheme="minorHAnsi" w:hAnsiTheme="minorHAnsi" w:cstheme="minorHAnsi"/>
          <w:sz w:val="24"/>
          <w:lang w:val="cs-CZ"/>
        </w:rPr>
        <w:t xml:space="preserve">Specifický cíl 1.2 Prevence nemocí, podpora a ochrana zdraví; zvyšování zdravotní gramotnosti byl rozdělen na dva samostatné specifické cíle, aby byly více akcentovány některé oblasti, např. bylo žádoucí více rozpracovat oblast podpory zdravotní gramotnosti obyvatel, či reagovat na stále více rezonující hrozbu antibiotické rezistence. </w:t>
      </w:r>
      <w:r>
        <w:rPr>
          <w:rFonts w:asciiTheme="minorHAnsi" w:hAnsiTheme="minorHAnsi" w:cstheme="minorHAnsi"/>
          <w:sz w:val="24"/>
          <w:lang w:val="cs-CZ"/>
        </w:rPr>
        <w:t xml:space="preserve">Nově byl pak, jako reakce na výpadky dodávek některých léků, přidán specifický cíl 1.3 </w:t>
      </w:r>
      <w:r w:rsidR="00434E5A">
        <w:rPr>
          <w:rFonts w:asciiTheme="minorHAnsi" w:hAnsiTheme="minorHAnsi" w:cstheme="minorHAnsi"/>
          <w:sz w:val="24"/>
          <w:lang w:val="cs-CZ"/>
        </w:rPr>
        <w:t>Léková politika a zvýšení dostupnosti léčiv</w:t>
      </w:r>
      <w:r>
        <w:rPr>
          <w:rFonts w:asciiTheme="minorHAnsi" w:hAnsiTheme="minorHAnsi" w:cstheme="minorHAnsi"/>
          <w:sz w:val="24"/>
          <w:lang w:val="cs-CZ"/>
        </w:rPr>
        <w:t>.</w:t>
      </w:r>
    </w:p>
    <w:p w:rsidR="00641113" w:rsidP="00B60A31" w14:paraId="2E53F1B5" w14:textId="77777777">
      <w:pPr>
        <w:pStyle w:val="Bntext"/>
        <w:ind w:firstLine="0"/>
        <w:rPr>
          <w:rFonts w:asciiTheme="minorHAnsi" w:hAnsiTheme="minorHAnsi" w:cstheme="minorHAnsi"/>
          <w:sz w:val="24"/>
          <w:lang w:val="cs-CZ"/>
        </w:rPr>
      </w:pPr>
    </w:p>
    <w:p w:rsidR="00EC4DA6" w:rsidP="00B60A31" w14:paraId="0FEA1767" w14:textId="1E0524F3">
      <w:pPr>
        <w:pStyle w:val="Bntext"/>
        <w:ind w:firstLine="0"/>
        <w:rPr>
          <w:rFonts w:asciiTheme="minorHAnsi" w:hAnsiTheme="minorHAnsi" w:cstheme="minorHAnsi"/>
          <w:sz w:val="24"/>
          <w:lang w:val="cs-CZ"/>
        </w:rPr>
      </w:pPr>
      <w:r>
        <w:rPr>
          <w:rFonts w:asciiTheme="minorHAnsi" w:hAnsiTheme="minorHAnsi" w:cstheme="minorHAnsi"/>
          <w:sz w:val="24"/>
          <w:lang w:val="cs-CZ"/>
        </w:rPr>
        <w:t xml:space="preserve">Strategický cíl </w:t>
      </w:r>
      <w:r w:rsidRPr="00641113">
        <w:rPr>
          <w:rFonts w:asciiTheme="minorHAnsi" w:hAnsiTheme="minorHAnsi" w:cstheme="minorHAnsi"/>
          <w:sz w:val="24"/>
          <w:lang w:val="cs-CZ"/>
        </w:rPr>
        <w:t xml:space="preserve">2 </w:t>
      </w:r>
      <w:r w:rsidRPr="00641113" w:rsidR="00923EDC">
        <w:rPr>
          <w:rFonts w:asciiTheme="minorHAnsi" w:hAnsiTheme="minorHAnsi" w:cstheme="minorHAnsi"/>
          <w:sz w:val="24"/>
          <w:lang w:val="cs-CZ"/>
        </w:rPr>
        <w:t>„</w:t>
      </w:r>
      <w:r w:rsidRPr="00641113" w:rsidR="00641113">
        <w:rPr>
          <w:rFonts w:asciiTheme="minorHAnsi" w:hAnsiTheme="minorHAnsi" w:cstheme="minorHAnsi"/>
          <w:sz w:val="24"/>
          <w:lang w:val="cs-CZ"/>
        </w:rPr>
        <w:t>Optimalizace zdravotnického systému</w:t>
      </w:r>
      <w:r w:rsidRPr="00641113" w:rsidR="00923EDC">
        <w:rPr>
          <w:rFonts w:asciiTheme="minorHAnsi" w:hAnsiTheme="minorHAnsi" w:cstheme="minorHAnsi"/>
          <w:sz w:val="24"/>
          <w:lang w:val="cs-CZ"/>
        </w:rPr>
        <w:t>“</w:t>
      </w:r>
      <w:r w:rsidRPr="00641113">
        <w:rPr>
          <w:rFonts w:asciiTheme="minorHAnsi" w:hAnsiTheme="minorHAnsi" w:cstheme="minorHAnsi"/>
          <w:sz w:val="24"/>
          <w:lang w:val="cs-CZ"/>
        </w:rPr>
        <w:t xml:space="preserve"> bude nově plněn prostřednictvím 8</w:t>
      </w:r>
      <w:r w:rsidR="006F16E1">
        <w:rPr>
          <w:rFonts w:asciiTheme="minorHAnsi" w:hAnsiTheme="minorHAnsi" w:cstheme="minorHAnsi"/>
          <w:sz w:val="24"/>
          <w:lang w:val="cs-CZ"/>
        </w:rPr>
        <w:t> </w:t>
      </w:r>
      <w:r w:rsidRPr="00641113">
        <w:rPr>
          <w:rFonts w:asciiTheme="minorHAnsi" w:hAnsiTheme="minorHAnsi" w:cstheme="minorHAnsi"/>
          <w:sz w:val="24"/>
          <w:lang w:val="cs-CZ"/>
        </w:rPr>
        <w:t>specifických</w:t>
      </w:r>
      <w:r>
        <w:rPr>
          <w:rFonts w:asciiTheme="minorHAnsi" w:hAnsiTheme="minorHAnsi" w:cstheme="minorHAnsi"/>
          <w:sz w:val="24"/>
          <w:lang w:val="cs-CZ"/>
        </w:rPr>
        <w:t xml:space="preserve"> cílů:</w:t>
      </w:r>
    </w:p>
    <w:p w:rsidR="00EC4DA6" w:rsidRPr="00A31894" w:rsidP="00641113" w14:paraId="6C4E4778" w14:textId="3693805A">
      <w:pPr>
        <w:pStyle w:val="Bntext"/>
        <w:ind w:left="426" w:firstLine="0"/>
        <w:rPr>
          <w:rFonts w:asciiTheme="minorHAnsi" w:hAnsiTheme="minorHAnsi" w:cstheme="minorHAnsi"/>
          <w:bCs/>
          <w:sz w:val="24"/>
          <w:lang w:val="cs-CZ"/>
        </w:rPr>
      </w:pPr>
      <w:r w:rsidRPr="00EC4DA6">
        <w:rPr>
          <w:rFonts w:asciiTheme="minorHAnsi" w:hAnsiTheme="minorHAnsi" w:cstheme="minorHAnsi"/>
          <w:bCs/>
          <w:sz w:val="24"/>
          <w:lang w:val="cs-CZ"/>
        </w:rPr>
        <w:t>2.1 Reforma primární péče</w:t>
      </w:r>
    </w:p>
    <w:p w:rsidR="003644EE" w:rsidP="00641113" w14:paraId="448C6F6B" w14:textId="41AD25D7">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2.2 Personální stabilizace resortu zdravotnictví</w:t>
      </w:r>
    </w:p>
    <w:p w:rsidR="00EC4DA6" w:rsidP="00641113" w14:paraId="04649EF2" w14:textId="1B58521C">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2.3 Digitalizace zdravotnictví</w:t>
      </w:r>
    </w:p>
    <w:p w:rsidR="00EC4DA6" w:rsidP="00641113" w14:paraId="616B1EE8" w14:textId="4E7C14ED">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2.4 Optimalizace systému úhrad ve zdravotnictví</w:t>
      </w:r>
    </w:p>
    <w:p w:rsidR="00EC4DA6" w:rsidP="00641113" w14:paraId="5E26770A" w14:textId="097865B0">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2.5 Péče na sociálně zdravotním pomezí</w:t>
      </w:r>
    </w:p>
    <w:p w:rsidR="00EC4DA6" w:rsidP="00641113" w14:paraId="5534CB58" w14:textId="55E385C9">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2.6 Péče o duševní zdraví</w:t>
      </w:r>
    </w:p>
    <w:p w:rsidR="00EC4DA6" w:rsidP="00641113" w14:paraId="2AA084F0" w14:textId="6909CF79">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2.7 Specializovaná zdravotní péče</w:t>
      </w:r>
    </w:p>
    <w:p w:rsidR="00EC4DA6" w:rsidP="00641113" w14:paraId="2EE44728" w14:textId="30E686D1">
      <w:pPr>
        <w:pStyle w:val="Bntext"/>
        <w:spacing w:line="240" w:lineRule="auto"/>
        <w:ind w:left="426" w:firstLine="0"/>
        <w:rPr>
          <w:rFonts w:asciiTheme="minorHAnsi" w:hAnsiTheme="minorHAnsi" w:cstheme="minorHAnsi"/>
          <w:bCs/>
          <w:sz w:val="24"/>
          <w:lang w:val="cs-CZ"/>
        </w:rPr>
      </w:pPr>
      <w:r w:rsidRPr="00EC4DA6">
        <w:rPr>
          <w:rFonts w:asciiTheme="minorHAnsi" w:hAnsiTheme="minorHAnsi" w:cstheme="minorHAnsi"/>
          <w:bCs/>
          <w:sz w:val="24"/>
          <w:lang w:val="cs-CZ"/>
        </w:rPr>
        <w:t xml:space="preserve">2.8 </w:t>
      </w:r>
      <w:r w:rsidRPr="007960F5" w:rsidR="007960F5">
        <w:rPr>
          <w:rFonts w:asciiTheme="minorHAnsi" w:hAnsiTheme="minorHAnsi" w:cstheme="minorHAnsi"/>
          <w:bCs/>
          <w:sz w:val="24"/>
          <w:lang w:val="cs-CZ"/>
        </w:rPr>
        <w:t>Zvýšení kvality poskytovaných zdravotních služeb v ČR</w:t>
      </w:r>
    </w:p>
    <w:p w:rsidR="00EC4DA6" w:rsidP="03B59B71" w14:paraId="2F28810E" w14:textId="16CEDD84">
      <w:pPr>
        <w:pStyle w:val="Bntext"/>
        <w:spacing w:line="240" w:lineRule="auto"/>
        <w:ind w:firstLine="0"/>
        <w:rPr>
          <w:rFonts w:asciiTheme="minorHAnsi" w:hAnsiTheme="minorHAnsi" w:cstheme="minorBidi"/>
          <w:sz w:val="24"/>
          <w:lang w:val="cs-CZ"/>
        </w:rPr>
      </w:pPr>
      <w:r w:rsidRPr="03B59B71">
        <w:rPr>
          <w:rFonts w:asciiTheme="minorHAnsi" w:hAnsiTheme="minorHAnsi" w:cstheme="minorBidi"/>
          <w:sz w:val="24"/>
          <w:lang w:val="cs-CZ"/>
        </w:rPr>
        <w:t xml:space="preserve">Nově je zde přesunut specifický cíl 2.1 </w:t>
      </w:r>
      <w:r w:rsidRPr="03B59B71" w:rsidR="70FAD676">
        <w:rPr>
          <w:rFonts w:asciiTheme="minorHAnsi" w:hAnsiTheme="minorHAnsi" w:cstheme="minorBidi"/>
          <w:sz w:val="24"/>
          <w:lang w:val="cs-CZ"/>
        </w:rPr>
        <w:t>Reforma</w:t>
      </w:r>
      <w:r w:rsidRPr="03B59B71">
        <w:rPr>
          <w:rFonts w:asciiTheme="minorHAnsi" w:hAnsiTheme="minorHAnsi" w:cstheme="minorBidi"/>
          <w:sz w:val="24"/>
          <w:lang w:val="cs-CZ"/>
        </w:rPr>
        <w:t xml:space="preserve"> primární péče. </w:t>
      </w:r>
      <w:r w:rsidRPr="03B59B71" w:rsidR="70FAD676">
        <w:rPr>
          <w:rFonts w:asciiTheme="minorHAnsi" w:hAnsiTheme="minorHAnsi" w:cstheme="minorBidi"/>
          <w:sz w:val="24"/>
          <w:lang w:val="cs-CZ"/>
        </w:rPr>
        <w:t>Specifické</w:t>
      </w:r>
      <w:r w:rsidRPr="03B59B71">
        <w:rPr>
          <w:rFonts w:asciiTheme="minorHAnsi" w:hAnsiTheme="minorHAnsi" w:cstheme="minorBidi"/>
          <w:sz w:val="24"/>
          <w:lang w:val="cs-CZ"/>
        </w:rPr>
        <w:t xml:space="preserve"> cíle 2.2, 2.3 a 2.4 doznaly pouze dílčích změn. Původní specifick</w:t>
      </w:r>
      <w:r w:rsidRPr="03B59B71" w:rsidR="622E442C">
        <w:rPr>
          <w:rFonts w:asciiTheme="minorHAnsi" w:hAnsiTheme="minorHAnsi" w:cstheme="minorBidi"/>
          <w:sz w:val="24"/>
          <w:lang w:val="cs-CZ"/>
        </w:rPr>
        <w:t>ý</w:t>
      </w:r>
      <w:r w:rsidRPr="03B59B71">
        <w:rPr>
          <w:rFonts w:asciiTheme="minorHAnsi" w:hAnsiTheme="minorHAnsi" w:cstheme="minorBidi"/>
          <w:sz w:val="24"/>
          <w:lang w:val="cs-CZ"/>
        </w:rPr>
        <w:t xml:space="preserve"> cíl 2.1 Implementace modelů integrované péče, </w:t>
      </w:r>
      <w:r w:rsidRPr="03B59B71" w:rsidR="70FAD676">
        <w:rPr>
          <w:rFonts w:asciiTheme="minorHAnsi" w:hAnsiTheme="minorHAnsi" w:cstheme="minorBidi"/>
          <w:sz w:val="24"/>
          <w:lang w:val="cs-CZ"/>
        </w:rPr>
        <w:t>integrace</w:t>
      </w:r>
      <w:r w:rsidRPr="03B59B71">
        <w:rPr>
          <w:rFonts w:asciiTheme="minorHAnsi" w:hAnsiTheme="minorHAnsi" w:cstheme="minorBidi"/>
          <w:sz w:val="24"/>
          <w:lang w:val="cs-CZ"/>
        </w:rPr>
        <w:t xml:space="preserve"> zdravotní a sociální pé</w:t>
      </w:r>
      <w:r w:rsidRPr="03B59B71" w:rsidR="70FAD676">
        <w:rPr>
          <w:rFonts w:asciiTheme="minorHAnsi" w:hAnsiTheme="minorHAnsi" w:cstheme="minorBidi"/>
          <w:sz w:val="24"/>
          <w:lang w:val="cs-CZ"/>
        </w:rPr>
        <w:t>č</w:t>
      </w:r>
      <w:r w:rsidRPr="03B59B71">
        <w:rPr>
          <w:rFonts w:asciiTheme="minorHAnsi" w:hAnsiTheme="minorHAnsi" w:cstheme="minorBidi"/>
          <w:sz w:val="24"/>
          <w:lang w:val="cs-CZ"/>
        </w:rPr>
        <w:t xml:space="preserve">e, reforma péče o duševní zdraví je nově rozdělen na 3 samostatné specifické cíle, které spolu úzce souvisí, nicméně vzhledem k jejich obsáhlosti je každá uvedena v samostatném specifickém cíli, a to 2.5, 2.6 a 2.7. Nově pak byl přidán specifický cíl 2.8 </w:t>
      </w:r>
      <w:r w:rsidRPr="007960F5" w:rsidR="007960F5">
        <w:rPr>
          <w:rFonts w:asciiTheme="minorHAnsi" w:hAnsiTheme="minorHAnsi" w:cstheme="minorBidi"/>
          <w:sz w:val="24"/>
          <w:lang w:val="cs-CZ"/>
        </w:rPr>
        <w:t>Zvýšení kvality poskytovaných zdravotních služeb v ČR</w:t>
      </w:r>
      <w:r w:rsidRPr="03B59B71">
        <w:rPr>
          <w:rFonts w:asciiTheme="minorHAnsi" w:hAnsiTheme="minorHAnsi" w:cstheme="minorBidi"/>
          <w:sz w:val="24"/>
          <w:lang w:val="cs-CZ"/>
        </w:rPr>
        <w:t xml:space="preserve">. </w:t>
      </w:r>
    </w:p>
    <w:p w:rsidR="00EC4DA6" w:rsidP="00B60A31" w14:paraId="72D10D61" w14:textId="77777777">
      <w:pPr>
        <w:pStyle w:val="Bntext"/>
        <w:spacing w:line="240" w:lineRule="auto"/>
        <w:ind w:firstLine="0"/>
        <w:rPr>
          <w:rFonts w:asciiTheme="minorHAnsi" w:hAnsiTheme="minorHAnsi" w:cstheme="minorHAnsi"/>
          <w:bCs/>
          <w:sz w:val="24"/>
          <w:lang w:val="cs-CZ"/>
        </w:rPr>
      </w:pPr>
    </w:p>
    <w:p w:rsidR="03B59B71" w:rsidRPr="00641113" w:rsidP="00641113" w14:paraId="04064859" w14:textId="5E630B7B">
      <w:pPr>
        <w:pStyle w:val="Bntext"/>
        <w:spacing w:line="240" w:lineRule="auto"/>
        <w:ind w:firstLine="0"/>
        <w:rPr>
          <w:rFonts w:asciiTheme="minorHAnsi" w:hAnsiTheme="minorHAnsi" w:cstheme="minorHAnsi"/>
          <w:bCs/>
          <w:sz w:val="24"/>
          <w:lang w:val="cs-CZ"/>
        </w:rPr>
      </w:pPr>
      <w:r w:rsidRPr="00641113">
        <w:rPr>
          <w:rFonts w:asciiTheme="minorHAnsi" w:hAnsiTheme="minorHAnsi" w:cstheme="minorBidi"/>
          <w:sz w:val="24"/>
          <w:lang w:val="cs-CZ"/>
        </w:rPr>
        <w:t xml:space="preserve">Strategický cíl 3 </w:t>
      </w:r>
      <w:r w:rsidRPr="00641113" w:rsidR="70FAD676">
        <w:rPr>
          <w:rFonts w:asciiTheme="minorHAnsi" w:hAnsiTheme="minorHAnsi" w:cstheme="minorBidi"/>
          <w:sz w:val="24"/>
          <w:lang w:val="cs-CZ"/>
        </w:rPr>
        <w:t>„</w:t>
      </w:r>
      <w:r w:rsidRPr="00641113" w:rsidR="00641113">
        <w:rPr>
          <w:rFonts w:asciiTheme="minorHAnsi" w:hAnsiTheme="minorHAnsi" w:cstheme="minorBidi"/>
          <w:sz w:val="24"/>
          <w:lang w:val="cs-CZ"/>
        </w:rPr>
        <w:t>Podpora</w:t>
      </w:r>
      <w:r w:rsidR="00641113">
        <w:rPr>
          <w:rFonts w:asciiTheme="minorHAnsi" w:hAnsiTheme="minorHAnsi" w:cstheme="minorBidi"/>
          <w:sz w:val="24"/>
          <w:lang w:val="cs-CZ"/>
        </w:rPr>
        <w:t xml:space="preserve"> vědy a výzkumu</w:t>
      </w:r>
      <w:r w:rsidRPr="03B59B71" w:rsidR="70FAD676">
        <w:rPr>
          <w:rFonts w:asciiTheme="minorHAnsi" w:hAnsiTheme="minorHAnsi" w:cstheme="minorBidi"/>
          <w:sz w:val="24"/>
          <w:lang w:val="cs-CZ"/>
        </w:rPr>
        <w:t>“</w:t>
      </w:r>
      <w:r w:rsidRPr="03B59B71">
        <w:rPr>
          <w:rFonts w:asciiTheme="minorHAnsi" w:hAnsiTheme="minorHAnsi" w:cstheme="minorBidi"/>
          <w:sz w:val="24"/>
          <w:lang w:val="cs-CZ"/>
        </w:rPr>
        <w:t xml:space="preserve"> zůstal nezměněn. </w:t>
      </w:r>
    </w:p>
    <w:p w:rsidR="00F96448" w:rsidRPr="00A955AF" w:rsidP="00477A42" w14:paraId="2D033A98" w14:textId="188A6B8C">
      <w:pPr>
        <w:rPr>
          <w:rFonts w:cs="Arial"/>
          <w:sz w:val="24"/>
        </w:rPr>
      </w:pPr>
      <w:r w:rsidRPr="00A955AF">
        <w:rPr>
          <w:rFonts w:cs="Arial"/>
          <w:sz w:val="24"/>
        </w:rPr>
        <w:t xml:space="preserve">Naplnění těchto </w:t>
      </w:r>
      <w:r w:rsidRPr="00A955AF">
        <w:rPr>
          <w:rFonts w:cs="Arial"/>
          <w:sz w:val="24"/>
        </w:rPr>
        <w:t>specifick</w:t>
      </w:r>
      <w:r w:rsidRPr="00A955AF">
        <w:rPr>
          <w:rFonts w:cs="Arial"/>
          <w:sz w:val="24"/>
        </w:rPr>
        <w:t>ých</w:t>
      </w:r>
      <w:r w:rsidRPr="00A955AF">
        <w:rPr>
          <w:rFonts w:cs="Arial"/>
          <w:sz w:val="24"/>
        </w:rPr>
        <w:t xml:space="preserve"> cíl</w:t>
      </w:r>
      <w:r w:rsidRPr="00A955AF">
        <w:rPr>
          <w:rFonts w:cs="Arial"/>
          <w:sz w:val="24"/>
        </w:rPr>
        <w:t xml:space="preserve">ů bude realizováno </w:t>
      </w:r>
      <w:r w:rsidR="00641113">
        <w:rPr>
          <w:rFonts w:cs="Arial"/>
          <w:sz w:val="24"/>
        </w:rPr>
        <w:t xml:space="preserve">především </w:t>
      </w:r>
      <w:r w:rsidRPr="00A955AF">
        <w:rPr>
          <w:rFonts w:cs="Arial"/>
          <w:sz w:val="24"/>
        </w:rPr>
        <w:t>implementací</w:t>
      </w:r>
      <w:r w:rsidRPr="00A955AF">
        <w:rPr>
          <w:rFonts w:cs="Arial"/>
          <w:sz w:val="24"/>
        </w:rPr>
        <w:t xml:space="preserve"> navazujících </w:t>
      </w:r>
      <w:r w:rsidR="00641113">
        <w:rPr>
          <w:rFonts w:cs="Arial"/>
          <w:sz w:val="24"/>
        </w:rPr>
        <w:t>i</w:t>
      </w:r>
      <w:r w:rsidRPr="00A955AF">
        <w:rPr>
          <w:rFonts w:cs="Arial"/>
          <w:sz w:val="24"/>
        </w:rPr>
        <w:t>mplementačních plánů, které představují hlavní prováděcí dokumenty Strategického rámce Zdraví 203</w:t>
      </w:r>
      <w:r w:rsidR="00641113">
        <w:rPr>
          <w:rFonts w:cs="Arial"/>
          <w:sz w:val="24"/>
        </w:rPr>
        <w:t>5 a</w:t>
      </w:r>
      <w:r w:rsidRPr="00A955AF" w:rsidR="00BC5234">
        <w:rPr>
          <w:rFonts w:cs="Arial"/>
          <w:sz w:val="24"/>
        </w:rPr>
        <w:t xml:space="preserve"> podrobněji rozpracovávají danou tematiku</w:t>
      </w:r>
      <w:r w:rsidRPr="00A955AF" w:rsidR="006B2E6F">
        <w:rPr>
          <w:rFonts w:cs="Arial"/>
          <w:sz w:val="24"/>
        </w:rPr>
        <w:t xml:space="preserve">. </w:t>
      </w:r>
      <w:r w:rsidRPr="00A955AF" w:rsidR="00BC5234">
        <w:rPr>
          <w:rFonts w:cs="Arial"/>
          <w:sz w:val="24"/>
        </w:rPr>
        <w:t xml:space="preserve">Tyto </w:t>
      </w:r>
      <w:r w:rsidR="00641113">
        <w:rPr>
          <w:rFonts w:cs="Arial"/>
          <w:sz w:val="24"/>
        </w:rPr>
        <w:t>i</w:t>
      </w:r>
      <w:r w:rsidRPr="00A955AF" w:rsidR="00BC5234">
        <w:rPr>
          <w:rFonts w:cs="Arial"/>
          <w:sz w:val="24"/>
        </w:rPr>
        <w:t>mplementační plány mohou být doplňovány specifičtějšími (ať už z hlediska užšího tematického</w:t>
      </w:r>
      <w:r w:rsidR="00BA2683">
        <w:rPr>
          <w:rFonts w:cs="Arial"/>
          <w:sz w:val="24"/>
        </w:rPr>
        <w:t>,</w:t>
      </w:r>
      <w:r w:rsidRPr="00A955AF" w:rsidR="00BC5234">
        <w:rPr>
          <w:rFonts w:cs="Arial"/>
          <w:sz w:val="24"/>
        </w:rPr>
        <w:t xml:space="preserve"> nebo časového) akčními plány</w:t>
      </w:r>
      <w:r w:rsidR="00641113">
        <w:rPr>
          <w:rFonts w:cs="Arial"/>
          <w:sz w:val="24"/>
        </w:rPr>
        <w:t>, strategiemi</w:t>
      </w:r>
      <w:r w:rsidR="003644EE">
        <w:rPr>
          <w:rFonts w:cs="Arial"/>
          <w:sz w:val="24"/>
        </w:rPr>
        <w:t xml:space="preserve"> a dalšími dokumenty</w:t>
      </w:r>
      <w:r w:rsidRPr="00A955AF" w:rsidR="00BC5234">
        <w:rPr>
          <w:rFonts w:cs="Arial"/>
          <w:sz w:val="24"/>
        </w:rPr>
        <w:t xml:space="preserve">. </w:t>
      </w:r>
      <w:r w:rsidR="00185745">
        <w:rPr>
          <w:rFonts w:cs="Arial"/>
          <w:sz w:val="24"/>
        </w:rPr>
        <w:t xml:space="preserve">Vzhledem ke specifičnosti oblasti zdravotnického výzkumu bude specifický cíl 3.1 Zapojení vědy a výzkumu do řešení prioritních úkolů zdravotnictví implementován primárně Národní koncepcí zdravotnického výzkumu. </w:t>
      </w:r>
    </w:p>
    <w:p w:rsidR="00D61698" w:rsidP="00ED0099" w14:paraId="34D63F8C" w14:textId="41CE22CB">
      <w:pPr>
        <w:rPr>
          <w:rFonts w:cs="Arial"/>
          <w:sz w:val="24"/>
        </w:rPr>
      </w:pPr>
      <w:r w:rsidRPr="008401F5">
        <w:rPr>
          <w:rFonts w:cs="Arial"/>
          <w:sz w:val="24"/>
        </w:rPr>
        <w:t xml:space="preserve">Níže jsou uvedeny karty jednotlivých specifických cílů, které </w:t>
      </w:r>
      <w:r w:rsidRPr="008401F5" w:rsidR="009C5523">
        <w:rPr>
          <w:rFonts w:cs="Arial"/>
          <w:sz w:val="24"/>
        </w:rPr>
        <w:t xml:space="preserve">obsahují rámcový popis </w:t>
      </w:r>
      <w:r w:rsidR="00641113">
        <w:rPr>
          <w:rFonts w:cs="Arial"/>
          <w:sz w:val="24"/>
        </w:rPr>
        <w:t>i</w:t>
      </w:r>
      <w:r w:rsidRPr="008401F5" w:rsidR="009C5523">
        <w:rPr>
          <w:rFonts w:cs="Arial"/>
          <w:sz w:val="24"/>
        </w:rPr>
        <w:t>mplementačních plánů specifických cílů Strategického rámce Zdraví 203</w:t>
      </w:r>
      <w:r w:rsidRPr="008401F5" w:rsidR="003C645A">
        <w:rPr>
          <w:rFonts w:cs="Arial"/>
          <w:sz w:val="24"/>
        </w:rPr>
        <w:t>5</w:t>
      </w:r>
      <w:r w:rsidRPr="008401F5" w:rsidR="009C5523">
        <w:rPr>
          <w:rFonts w:cs="Arial"/>
          <w:sz w:val="24"/>
        </w:rPr>
        <w:t>.</w:t>
      </w:r>
    </w:p>
    <w:p w:rsidR="003C645A" w:rsidRPr="00A955AF" w:rsidP="00ED0099" w14:paraId="7B5918C1" w14:textId="77777777">
      <w:pPr>
        <w:rPr>
          <w:rFonts w:cs="Arial"/>
          <w:sz w:val="24"/>
        </w:rPr>
      </w:pPr>
    </w:p>
    <w:p w:rsidR="00225F93" w:rsidRPr="00225F93" w:rsidP="00225F93" w14:paraId="1028AAE3" w14:textId="77777777">
      <w:pPr>
        <w:pStyle w:val="ListParagraph"/>
        <w:keepNext/>
        <w:keepLines/>
        <w:numPr>
          <w:ilvl w:val="0"/>
          <w:numId w:val="8"/>
        </w:numPr>
        <w:autoSpaceDE/>
        <w:autoSpaceDN/>
        <w:adjustRightInd/>
        <w:jc w:val="left"/>
        <w:outlineLvl w:val="0"/>
        <w:rPr>
          <w:rFonts w:ascii="Calibri" w:hAnsi="Calibri" w:eastAsiaTheme="majorEastAsia" w:cstheme="majorBidi"/>
          <w:b/>
          <w:bCs w:val="0"/>
          <w:vanish/>
          <w:color w:val="205493"/>
          <w:sz w:val="28"/>
          <w:szCs w:val="32"/>
        </w:rPr>
      </w:pPr>
      <w:bookmarkStart w:id="523" w:name="_Toc7705133"/>
      <w:bookmarkStart w:id="524" w:name="_Toc7705604"/>
      <w:bookmarkStart w:id="525" w:name="_Toc7706120"/>
      <w:bookmarkStart w:id="526" w:name="_Toc7705137"/>
      <w:bookmarkStart w:id="527" w:name="_Toc7705608"/>
      <w:bookmarkStart w:id="528" w:name="_Toc7706124"/>
      <w:bookmarkStart w:id="529" w:name="_Toc23407268"/>
      <w:bookmarkStart w:id="530" w:name="_Toc26776975"/>
      <w:bookmarkStart w:id="531" w:name="_Toc40943353"/>
      <w:bookmarkStart w:id="532" w:name="_Toc41565658"/>
      <w:bookmarkStart w:id="533" w:name="_Toc41566191"/>
      <w:bookmarkStart w:id="534" w:name="_Toc201690651"/>
      <w:bookmarkStart w:id="535" w:name="_Toc201691370"/>
      <w:bookmarkStart w:id="536" w:name="_Toc203386460"/>
      <w:bookmarkStart w:id="537" w:name="_Toc7705138"/>
      <w:bookmarkStart w:id="538" w:name="_Toc7705609"/>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rsidR="00185745" w:rsidRPr="00562C2F" w:rsidP="00520F1D" w14:paraId="3A9DB284" w14:textId="62D9D8CF">
      <w:pPr>
        <w:pStyle w:val="NA2"/>
      </w:pPr>
      <w:bookmarkEnd w:id="537"/>
      <w:bookmarkEnd w:id="538"/>
      <w:bookmarkEnd w:id="421"/>
      <w:bookmarkEnd w:id="422"/>
      <w:bookmarkStart w:id="539" w:name="_Toc256000050"/>
      <w:r>
        <w:t xml:space="preserve">SC 1.1 </w:t>
      </w:r>
      <w:r w:rsidRPr="00562C2F" w:rsidR="00D2750E">
        <w:t>Primární prevence a ochrana veřejného zdraví</w:t>
      </w:r>
      <w:bookmarkEnd w:id="539"/>
    </w:p>
    <w:p w:rsidR="00562C2F" w:rsidRPr="008401F5" w:rsidP="03B59B71" w14:paraId="32658FD2" w14:textId="70D498C0">
      <w:pPr>
        <w:rPr>
          <w:sz w:val="24"/>
        </w:rPr>
      </w:pPr>
      <w:r w:rsidRPr="03B59B71">
        <w:rPr>
          <w:sz w:val="24"/>
        </w:rPr>
        <w:t>V populaci ČR přibývá osob, které se nacházejí v dlouhodobě nepříznivém zdravotním stavu. Ačkoliv hlavním faktorem zvyšující nemocnosti populace je demografické stárnutí, velký podíl zde má i špatný životní styl a silný vliv behaviorálních rizikových faktorů jakými jsou nezdravé stravovací návyky, sedavý způsob života, nedostatek pohybové aktivity, ale i nadměrná konzumace alkoholu, užívání tabáku, a to u všech skupin obyvatel, včetně dětí a mladistvých. Nemalý podíl na rozvoji nežádoucího zdravotního stavu mají i environmentální faktory zdraví. K nejvýznamnějším důsledkům znečištění životního prostředí, stejně jako u behaviorálních faktorů, náleží chronická neinfekční onemocnění, jakými jsou respirační, kardiovaskulární a metabolická onemocnění, vývojové a reprodukční poruchy či nádorová onemocnění. Mnoho životů lze zachránit zintenzivněním snah o prevenci nezdravého životního stylu. V rozvoji různých onemocnění hraje roli chronická expozice obyvatelstva nejen toxickým látkám z prostředí (znečištěné životní prostředí, pracovní prostředí, nevhodné vnitřní prostředí obytných budov), ale také z potravin, předmětů běžného užívání nebo pitné vody. Nepříznivé účinky na zdraví vyvolává i dlouhodobé vystavení zvýšenému</w:t>
      </w:r>
      <w:r w:rsidRPr="03B59B71" w:rsidR="2DF3BEBF">
        <w:rPr>
          <w:sz w:val="24"/>
        </w:rPr>
        <w:t xml:space="preserve"> </w:t>
      </w:r>
      <w:r w:rsidRPr="03B59B71">
        <w:rPr>
          <w:sz w:val="24"/>
        </w:rPr>
        <w:t xml:space="preserve">hluku a v neposlední řadě se může jednat i </w:t>
      </w:r>
      <w:r w:rsidRPr="03B59B71" w:rsidR="1C510E69">
        <w:rPr>
          <w:sz w:val="24"/>
        </w:rPr>
        <w:t xml:space="preserve">o </w:t>
      </w:r>
      <w:r w:rsidRPr="03B59B71">
        <w:rPr>
          <w:sz w:val="24"/>
        </w:rPr>
        <w:t>různé volnočasové aktivity jako koupání ve znečištěných vodách, ať už přírodních nebo nevhodně ošetřovaných umělých koupalištích. Orgány ochrany veřejného zdraví mají nezastupitelnou roli v nastavení a dozorování vhodného systému kontroly různých oblastí expozice obyvatelstva nepříznivým faktorům. Tuto činnost a její výsledky je nezbytné účinně komunikovat s veřejností (mapové a databázové výstupy široce a snadno dostupné veřejnosti), jelikož se jedná o účinný preventivní nástroj v ochraně veřejného zdraví. Je také zásadní flexibilně reagovat na nově se objevující zdravotní rizika.</w:t>
      </w:r>
    </w:p>
    <w:p w:rsidR="00562C2F" w:rsidRPr="008401F5" w:rsidP="00562C2F" w14:paraId="47D3A0C3" w14:textId="5A9610DA">
      <w:pPr>
        <w:rPr>
          <w:sz w:val="24"/>
        </w:rPr>
      </w:pPr>
      <w:r w:rsidRPr="008401F5">
        <w:rPr>
          <w:rFonts w:cstheme="minorHAnsi"/>
          <w:sz w:val="24"/>
        </w:rPr>
        <w:t xml:space="preserve">S narůstající globalizací a s ní se zvyšujícím pohybem obyvatelstva nabývají na významu infekční onemocnění, a to nejen nová, ale i znovu se objevující infekční onemocnění. Znovu se objevující infekční onemocnění jsou již známá onemocnění, jejichž zvýšená incidence nebo jejich znovuobjevení se v populaci souvisí se změnou procesu šíření nákazy. S ohledem na zkušenosti s řešením pandemie </w:t>
      </w:r>
      <w:r w:rsidR="007B4D90">
        <w:rPr>
          <w:rFonts w:cstheme="minorHAnsi"/>
          <w:sz w:val="24"/>
        </w:rPr>
        <w:t>C</w:t>
      </w:r>
      <w:r w:rsidRPr="008401F5">
        <w:rPr>
          <w:rFonts w:cstheme="minorHAnsi"/>
          <w:sz w:val="24"/>
        </w:rPr>
        <w:t xml:space="preserve">ovid-19 vzrůstá význam </w:t>
      </w:r>
      <w:r w:rsidRPr="008401F5">
        <w:rPr>
          <w:sz w:val="24"/>
        </w:rPr>
        <w:t xml:space="preserve">potřeby podpory rozvoje již fungujícího systému epidemiologické bdělosti, tedy komplexního a soustavného sledování všech dostupných informací o procesu šíření nákazy a sledování všech podmínek a faktorů, které tento proces ovlivňují, a to za účelem stanovení systému účinných opatření k potlačování nebo likvidaci dané nákazy. Vhodným nástrojem pro lokalizaci ohnisek infekce a predikci jejího vývoje je i monitoring městských odpadních vod, který může poskytnout informace o typech a množství patogenů cirkulujících v dané oblasti. Aktuálně řešené téma je i klimatická změna a její zdravotní dopady. V této souvislosti se dají očekávat i změny v epidemiologické situaci (výskyt klimaticky-senzitivních patogenů a jejich živočišných vektorů a rezervoárů), proto je nutná příprava zdravotního systému ČR i na tyto v naší oblasti dosud se nevyskytující infekce.  Nezbytnou podmínkou pro řešení případů velmi vysokého rizika ohrožení zdraví populace ČR infekčními nemocemi, ale i pro případy jiné neinfekční povahy (např. hromadná toxická rizika, rozsáhlé povodně apod.) je zajištění připravenosti systému ochrany veřejného zdraví na řešení přeshraničních hrozeb. </w:t>
      </w:r>
    </w:p>
    <w:p w:rsidR="00562C2F" w:rsidRPr="008401F5" w:rsidP="00562C2F" w14:paraId="383667F9" w14:textId="28385388">
      <w:pPr>
        <w:rPr>
          <w:sz w:val="24"/>
        </w:rPr>
      </w:pPr>
      <w:r w:rsidRPr="008401F5">
        <w:rPr>
          <w:sz w:val="24"/>
        </w:rPr>
        <w:t xml:space="preserve">Výraznou příčinou nárůstu počtu některých infekčních onemocnění preventabilních očkováním je pokles proočkovanosti související s váhavostí v oblasti očkování a s ní související neochotou nechat se očkovat či přímo odmítání očkování. Monitoring imunitního stavu populace a podpora očkování a zvýšení proočkovanosti je taktéž jednou z důležitých aktivit podílejících se na boji proti závažné zdravotní hrozbě, jakou je antimikrobiální rezistence, a to spolu se zvyšováním povědomí o rozumném užívání antibiotik, zejména esenciálních, </w:t>
      </w:r>
      <w:r w:rsidRPr="008401F5">
        <w:rPr>
          <w:sz w:val="24"/>
        </w:rPr>
        <w:t>a prevencí infekčních onemocnění spojených s poskytováním zdravotní péče.  Antimikrobiální rezistence a problematika očkování jsou jedny z hlavních priorit v rámci komunitárního programu EU4Health.</w:t>
      </w:r>
    </w:p>
    <w:p w:rsidR="000F3F39" w:rsidRPr="008401F5" w:rsidP="00562C2F" w14:paraId="7481F07F" w14:textId="53B2E7A5">
      <w:pPr>
        <w:rPr>
          <w:sz w:val="24"/>
        </w:rPr>
      </w:pPr>
      <w:r w:rsidRPr="008401F5">
        <w:rPr>
          <w:sz w:val="24"/>
        </w:rPr>
        <w:t>Přestože prevence nemocí představuje jeden z nejúčinnějších a zároveň nákladově efektivních nástrojů pro zlepšování celkového zdravotního stavu české populace, její potenciál není v rámci zdravotních politik České republiky plně využíván. Preventivní opatření nejenže pomáhají předcházet vzniku a</w:t>
      </w:r>
      <w:r w:rsidRPr="008401F5">
        <w:rPr>
          <w:sz w:val="24"/>
        </w:rPr>
        <w:t> </w:t>
      </w:r>
      <w:r w:rsidRPr="008401F5">
        <w:rPr>
          <w:sz w:val="24"/>
        </w:rPr>
        <w:t>rozvoji mnoha chronických i akutních onemocnění, ale také přispívají k vyšší kvalitě života občanů, snižují zatížení zdravotnického systému a dlouhodobě vedou k významným úsporám veřejných financí. Díky lepšímu zdraví obyvatel roste i produktivita pracovní síly, což se pozitivně promítá do ekonomiky a může vést ke zvýšení zaměstnanosti v národním hospodářství. Přesto však preventivní péče zůstává v českém zdravotnickém systému často opomíjena, přičemž důraz je nadále kladen především na léčbu již vzniklých onemocnění namísto jejich předcházení. To ukazuje na potřebu intenzivnějšího zapojení preventivních strategií do zdravotní politiky, většího informování veřejnosti o výhodách prevence a</w:t>
      </w:r>
      <w:r w:rsidRPr="008401F5">
        <w:rPr>
          <w:sz w:val="24"/>
        </w:rPr>
        <w:t> </w:t>
      </w:r>
      <w:r w:rsidRPr="008401F5">
        <w:rPr>
          <w:sz w:val="24"/>
        </w:rPr>
        <w:t>posílení role zdravotní gramotnosti mezi občany.</w:t>
      </w:r>
    </w:p>
    <w:p w:rsidR="000F3F39" w:rsidRPr="008401F5" w:rsidP="000F3F39" w14:paraId="4875365A" w14:textId="77777777">
      <w:pPr>
        <w:rPr>
          <w:rFonts w:cstheme="minorHAnsi"/>
          <w:sz w:val="24"/>
        </w:rPr>
      </w:pPr>
      <w:r w:rsidRPr="008401F5">
        <w:rPr>
          <w:rFonts w:cstheme="minorHAnsi"/>
          <w:sz w:val="24"/>
        </w:rPr>
        <w:t>Specifický cíl 1.1 je zaměřen na ochranu veřejného zdraví a primární prevenci, která se prostřednictvím přijímání opatření k eliminaci příčin a rizikových faktorů jednotlivých onemocnění nebo zvyšováním odolnosti jedinců snaží zabránit vzniku onemocnění. Tento cíl úzce souvisí se specifickým cílem 1.2 zaměřeným na sekundární prevenci, která má za cíl zastavit rozvoj onemocnění předtím, než se začne projevovat klinickými symptomy.</w:t>
      </w:r>
    </w:p>
    <w:p w:rsidR="00562C2F" w:rsidRPr="008401F5" w:rsidP="000F3F39" w14:paraId="268E3B9F" w14:textId="77777777">
      <w:pPr>
        <w:rPr>
          <w:rFonts w:cstheme="minorHAnsi"/>
          <w:sz w:val="24"/>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1D0DBC31"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A103C" w:rsidRPr="008401F5" w:rsidP="004F7B30" w14:paraId="5019773A" w14:textId="77777777">
            <w:pPr>
              <w:jc w:val="left"/>
              <w:rPr>
                <w:rFonts w:eastAsiaTheme="minorHAnsi" w:cs="Arial"/>
                <w:b/>
                <w:color w:val="205493"/>
                <w:sz w:val="24"/>
              </w:rPr>
            </w:pPr>
            <w:r w:rsidRPr="008401F5">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CCFFCC"/>
            <w:vAlign w:val="center"/>
            <w:hideMark/>
          </w:tcPr>
          <w:p w:rsidR="00CA103C" w:rsidRPr="008401F5" w:rsidP="000F3F39" w14:paraId="69AA535E" w14:textId="07DBD725">
            <w:pPr>
              <w:pStyle w:val="Default"/>
              <w:ind w:left="360"/>
              <w:rPr>
                <w:rFonts w:eastAsia="Times New Roman" w:asciiTheme="minorHAnsi" w:hAnsiTheme="minorHAnsi"/>
                <w:b/>
                <w:bCs/>
                <w:color w:val="205493"/>
              </w:rPr>
            </w:pPr>
            <w:r w:rsidRPr="008401F5">
              <w:rPr>
                <w:rFonts w:asciiTheme="minorHAnsi" w:hAnsiTheme="minorHAnsi"/>
                <w:b/>
                <w:bCs/>
                <w:color w:val="205493"/>
              </w:rPr>
              <w:t>1.1 Primární prevence a ochrana veřejného zdraví</w:t>
            </w:r>
          </w:p>
        </w:tc>
        <w:tc>
          <w:tcPr>
            <w:tcW w:w="929" w:type="dxa"/>
            <w:tcBorders>
              <w:top w:val="single" w:sz="4" w:space="0" w:color="auto"/>
              <w:left w:val="nil"/>
              <w:bottom w:val="single" w:sz="4" w:space="0" w:color="auto"/>
              <w:right w:val="single" w:sz="4" w:space="0" w:color="auto"/>
            </w:tcBorders>
            <w:shd w:val="clear" w:color="auto" w:fill="CCFFCC"/>
            <w:vAlign w:val="center"/>
          </w:tcPr>
          <w:p w:rsidR="00CA103C" w:rsidRPr="008401F5" w:rsidP="00CA103C" w14:paraId="7BFFBD4A" w14:textId="3876E55C">
            <w:pPr>
              <w:pStyle w:val="Default"/>
              <w:jc w:val="right"/>
              <w:rPr>
                <w:rFonts w:eastAsia="Times New Roman" w:asciiTheme="minorHAnsi" w:hAnsiTheme="minorHAnsi"/>
                <w:b/>
                <w:bCs/>
                <w:color w:val="205493"/>
              </w:rPr>
            </w:pPr>
          </w:p>
        </w:tc>
      </w:tr>
      <w:tr w14:paraId="3A2EDC13" w14:textId="77777777" w:rsidTr="1061A3C5">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32F96477" w14:textId="77777777">
            <w:pPr>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tcPr>
          <w:p w:rsidR="000F3F39" w:rsidRPr="000F3F39" w:rsidP="006F16E1" w14:paraId="05D1F4D1"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1.1.1. Prevence vzniku a šíření infekčních onemocnění a nastavení podpůrných informačních opatření a nástrojů pro řízení krizových situací</w:t>
            </w:r>
          </w:p>
          <w:p w:rsidR="000F3F39" w:rsidRPr="000F3F39" w:rsidP="006F16E1" w14:paraId="62A9A128" w14:textId="46C8B705">
            <w:pPr>
              <w:pStyle w:val="NormalWeb"/>
              <w:jc w:val="both"/>
              <w:rPr>
                <w:rFonts w:asciiTheme="minorHAnsi" w:eastAsiaTheme="minorEastAsia" w:hAnsiTheme="minorHAnsi" w:cs="Arial"/>
                <w:color w:val="212121"/>
                <w:lang w:eastAsia="en-US"/>
              </w:rPr>
            </w:pPr>
            <w:r w:rsidRPr="1061A3C5">
              <w:rPr>
                <w:rFonts w:asciiTheme="minorHAnsi" w:eastAsiaTheme="minorEastAsia" w:hAnsiTheme="minorHAnsi" w:cs="Arial"/>
                <w:color w:val="212121"/>
                <w:lang w:eastAsia="en-US"/>
              </w:rPr>
              <w:t>1.1.2</w:t>
            </w:r>
            <w:r w:rsidRPr="1061A3C5" w:rsidR="7CCC4D32">
              <w:rPr>
                <w:rFonts w:asciiTheme="minorHAnsi" w:eastAsiaTheme="minorEastAsia" w:hAnsiTheme="minorHAnsi" w:cs="Arial"/>
                <w:color w:val="212121"/>
                <w:lang w:eastAsia="en-US"/>
              </w:rPr>
              <w:t>.</w:t>
            </w:r>
            <w:r w:rsidRPr="1061A3C5">
              <w:rPr>
                <w:rFonts w:asciiTheme="minorHAnsi" w:eastAsiaTheme="minorEastAsia" w:hAnsiTheme="minorHAnsi" w:cs="Arial"/>
                <w:color w:val="212121"/>
                <w:lang w:eastAsia="en-US"/>
              </w:rPr>
              <w:t xml:space="preserve"> Vytvoření a implementace národní očkovací strategie jako nástroje pro systematickou prevenci očkováním preventabilních infekčních onemocnění a nastavení organizačního řízení očkovaní a</w:t>
            </w:r>
            <w:r w:rsidR="006F16E1">
              <w:rPr>
                <w:rFonts w:asciiTheme="minorHAnsi" w:eastAsiaTheme="minorEastAsia" w:hAnsiTheme="minorHAnsi" w:cs="Arial"/>
                <w:color w:val="212121"/>
                <w:lang w:eastAsia="en-US"/>
              </w:rPr>
              <w:t> </w:t>
            </w:r>
            <w:r w:rsidRPr="1061A3C5">
              <w:rPr>
                <w:rFonts w:asciiTheme="minorHAnsi" w:eastAsiaTheme="minorEastAsia" w:hAnsiTheme="minorHAnsi" w:cs="Arial"/>
                <w:color w:val="212121"/>
                <w:lang w:eastAsia="en-US"/>
              </w:rPr>
              <w:t xml:space="preserve">efektivní komunikační strategie  </w:t>
            </w:r>
          </w:p>
          <w:p w:rsidR="000F3F39" w:rsidRPr="000F3F39" w:rsidP="006F16E1" w14:paraId="20987451"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1.1.3. Ochrana zdraví obyvatel ČR v kontextu environmentálních rizik (chemické látky, nadměrná hluková zátěž, projevy změny klimatu apod.)</w:t>
            </w:r>
          </w:p>
          <w:p w:rsidR="000F3F39" w:rsidRPr="000F3F39" w:rsidP="006F16E1" w14:paraId="13B319C6"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1.1.4 Prevence užívání návykových látek, realizace screeningu, časné diagnostiky a krátké intervence v oblasti závislostního chování</w:t>
            </w:r>
          </w:p>
          <w:p w:rsidR="000F3F39" w:rsidRPr="000F3F39" w:rsidP="006F16E1" w14:paraId="58F08C4E"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1.1.5 Tvorba Národního programu zvyšování úrovně zdravotní gramotnosti, monitoring zdravotní gramotnosti, pohybové aktivity a sedavého chování a podpora realizace aktivit a programů v oblasti primární a primordiální prevence vedoucí ke snížení výskytu nejčastějších a nejzávažnějších neinfekčních nemocí</w:t>
            </w:r>
          </w:p>
          <w:p w:rsidR="000F3F39" w:rsidRPr="000F3F39" w:rsidP="006F16E1" w14:paraId="1F438233"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1.1.6 Vybudování a rozvoj center prevence ve zdravotnických zařízeních</w:t>
            </w:r>
          </w:p>
          <w:p w:rsidR="000F3F39" w:rsidRPr="000F3F39" w:rsidP="006F16E1" w14:paraId="7BE6ADA6"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1.1.7. Vybudování a rozvoj Národního zdravotnického informačního portálu</w:t>
            </w:r>
          </w:p>
          <w:p w:rsidR="000F3F39" w:rsidRPr="000F3F39" w:rsidP="006F16E1" w14:paraId="5BA0B250"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1.1.8 Připravenost orgánů ochrany veřejného zdraví na krize pro veřejné zdraví národního a mezinárodního významu</w:t>
            </w:r>
          </w:p>
          <w:p w:rsidR="000F3F39" w:rsidRPr="000F3F39" w:rsidP="006F16E1" w14:paraId="3EE58E64" w14:textId="77777777">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1.1.9 Strategický a udržitelný rozvoj orgánů ochrany veřejného zdraví z pohledu ochrany zdraví při práci</w:t>
            </w:r>
          </w:p>
          <w:p w:rsidR="00707392" w:rsidRPr="000F3F39" w:rsidP="006F16E1" w14:paraId="3C559481" w14:textId="07945851">
            <w:pPr>
              <w:pStyle w:val="NormalWeb"/>
              <w:jc w:val="both"/>
              <w:rPr>
                <w:rFonts w:asciiTheme="minorHAnsi" w:eastAsiaTheme="minorEastAsia" w:hAnsiTheme="minorHAnsi" w:cs="Arial"/>
                <w:color w:val="212121"/>
                <w:lang w:eastAsia="en-US"/>
              </w:rPr>
            </w:pPr>
            <w:r w:rsidRPr="000F3F39">
              <w:rPr>
                <w:rFonts w:asciiTheme="minorHAnsi" w:eastAsiaTheme="minorEastAsia" w:hAnsiTheme="minorHAnsi" w:cs="Arial"/>
                <w:color w:val="212121"/>
                <w:lang w:eastAsia="en-US"/>
              </w:rPr>
              <w:t>1.1.10 Modernizace technického a administrativního zázemí orgánů ochrany veřejného zdraví</w:t>
            </w:r>
          </w:p>
        </w:tc>
      </w:tr>
      <w:tr w14:paraId="7915B41D"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32BD9C1F" w14:textId="64B1599B">
            <w:pPr>
              <w:rPr>
                <w:rFonts w:eastAsiaTheme="minorHAnsi" w:cs="Arial"/>
                <w:b/>
                <w:sz w:val="24"/>
              </w:rPr>
            </w:pPr>
            <w:r w:rsidRPr="006F4684">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07392" w:rsidRPr="00434BDD" w:rsidP="006C359E" w14:paraId="5B234F05" w14:textId="1C8E4E93">
            <w:pPr>
              <w:pStyle w:val="NormalWeb"/>
              <w:numPr>
                <w:ilvl w:val="0"/>
                <w:numId w:val="35"/>
              </w:numPr>
              <w:spacing w:before="100" w:beforeAutospacing="1" w:after="100" w:afterAutospacing="1"/>
              <w:jc w:val="both"/>
              <w:rPr>
                <w:rFonts w:asciiTheme="minorHAnsi" w:hAnsiTheme="minorHAnsi" w:cs="Arial"/>
                <w:color w:val="000000"/>
              </w:rPr>
            </w:pPr>
            <w:r w:rsidRPr="00BF108D">
              <w:rPr>
                <w:rFonts w:asciiTheme="minorHAnsi" w:hAnsiTheme="minorHAnsi" w:cs="Arial"/>
                <w:color w:val="000000"/>
              </w:rPr>
              <w:t>Rozvoj datové a informační základny a informačního systému</w:t>
            </w:r>
            <w:r w:rsidR="00260CD7">
              <w:rPr>
                <w:rFonts w:asciiTheme="minorHAnsi" w:hAnsiTheme="minorHAnsi" w:cs="Arial"/>
                <w:color w:val="000000"/>
              </w:rPr>
              <w:t>,</w:t>
            </w:r>
            <w:r w:rsidRPr="00BF108D">
              <w:rPr>
                <w:rFonts w:asciiTheme="minorHAnsi" w:hAnsiTheme="minorHAnsi" w:cs="Arial"/>
                <w:color w:val="000000"/>
              </w:rPr>
              <w:t xml:space="preserve"> monitoring infekčních </w:t>
            </w:r>
            <w:r w:rsidR="00260CD7">
              <w:rPr>
                <w:rFonts w:asciiTheme="minorHAnsi" w:hAnsiTheme="minorHAnsi" w:cs="Arial"/>
                <w:color w:val="000000"/>
              </w:rPr>
              <w:t>nemocí</w:t>
            </w:r>
            <w:r w:rsidRPr="00BF108D">
              <w:rPr>
                <w:rFonts w:asciiTheme="minorHAnsi" w:hAnsiTheme="minorHAnsi" w:cs="Arial"/>
                <w:color w:val="000000"/>
              </w:rPr>
              <w:t xml:space="preserve"> a dalších nově se</w:t>
            </w:r>
            <w:r w:rsidR="00260CD7">
              <w:rPr>
                <w:rFonts w:asciiTheme="minorHAnsi" w:hAnsiTheme="minorHAnsi" w:cs="Arial"/>
                <w:color w:val="000000"/>
              </w:rPr>
              <w:t> </w:t>
            </w:r>
            <w:r w:rsidRPr="00BF108D">
              <w:rPr>
                <w:rFonts w:asciiTheme="minorHAnsi" w:hAnsiTheme="minorHAnsi" w:cs="Arial"/>
                <w:color w:val="000000"/>
              </w:rPr>
              <w:t xml:space="preserve">objevujících hrozeb pro zdraví obyvatelstva a tvorba výstupů pro užití odbornou i širokou veřejností </w:t>
            </w:r>
          </w:p>
          <w:p w:rsidR="00E226C1" w:rsidRPr="00434BDD" w:rsidP="006C359E" w14:paraId="438668B4" w14:textId="105F384B">
            <w:pPr>
              <w:pStyle w:val="NormalWeb"/>
              <w:numPr>
                <w:ilvl w:val="0"/>
                <w:numId w:val="35"/>
              </w:numPr>
              <w:spacing w:before="100" w:beforeAutospacing="1" w:after="100" w:afterAutospacing="1"/>
              <w:jc w:val="both"/>
              <w:rPr>
                <w:rFonts w:asciiTheme="minorHAnsi" w:hAnsiTheme="minorHAnsi" w:cs="Arial"/>
                <w:color w:val="000000"/>
              </w:rPr>
            </w:pPr>
            <w:r w:rsidRPr="00BF108D">
              <w:rPr>
                <w:rFonts w:asciiTheme="minorHAnsi" w:hAnsiTheme="minorHAnsi" w:cs="Arial"/>
                <w:color w:val="000000"/>
              </w:rPr>
              <w:t>Rozvoj systému epidemiologické bdělosti za účelem stanovení systému účinných opatření k potlačování nebo likvidaci dané nákazy a predikce případných nových výskytů nákazy</w:t>
            </w:r>
          </w:p>
          <w:p w:rsidR="00707392" w:rsidRPr="00BF108D" w:rsidP="006C359E" w14:paraId="0158416A" w14:textId="1C898891">
            <w:pPr>
              <w:pStyle w:val="NormalWeb"/>
              <w:numPr>
                <w:ilvl w:val="0"/>
                <w:numId w:val="35"/>
              </w:numPr>
              <w:spacing w:before="100" w:beforeAutospacing="1" w:after="100" w:afterAutospacing="1"/>
              <w:jc w:val="both"/>
              <w:rPr>
                <w:rFonts w:cs="Arial"/>
                <w:color w:val="000000"/>
              </w:rPr>
            </w:pPr>
            <w:r w:rsidRPr="00BF108D">
              <w:rPr>
                <w:rFonts w:asciiTheme="minorHAnsi" w:hAnsiTheme="minorHAnsi" w:cs="Arial"/>
                <w:color w:val="000000"/>
              </w:rPr>
              <w:t xml:space="preserve">Rozvoj pracovišť zaměřených na boj s infekčními </w:t>
            </w:r>
            <w:r w:rsidR="00D50A81">
              <w:rPr>
                <w:rFonts w:asciiTheme="minorHAnsi" w:hAnsiTheme="minorHAnsi" w:cs="Arial"/>
                <w:color w:val="000000"/>
              </w:rPr>
              <w:t>nemocemi</w:t>
            </w:r>
          </w:p>
          <w:p w:rsidR="00707392" w:rsidRPr="00BF108D" w:rsidP="006C359E" w14:paraId="0867D1B6" w14:textId="347B9054">
            <w:pPr>
              <w:pStyle w:val="NormalWeb"/>
              <w:numPr>
                <w:ilvl w:val="0"/>
                <w:numId w:val="35"/>
              </w:numPr>
              <w:spacing w:before="100" w:beforeAutospacing="1" w:after="100" w:afterAutospacing="1"/>
              <w:jc w:val="both"/>
              <w:rPr>
                <w:rFonts w:cs="Arial"/>
                <w:color w:val="000000"/>
              </w:rPr>
            </w:pPr>
            <w:r w:rsidRPr="00BF108D">
              <w:rPr>
                <w:rFonts w:asciiTheme="minorHAnsi" w:hAnsiTheme="minorHAnsi" w:cs="Arial"/>
                <w:color w:val="000000"/>
              </w:rPr>
              <w:t xml:space="preserve">Tvorba a realizace komunikační strategie v oblasti očkování </w:t>
            </w:r>
          </w:p>
          <w:p w:rsidR="00A01C45" w:rsidRPr="00520F1D" w:rsidP="006C359E" w14:paraId="32CF69AE" w14:textId="77777777">
            <w:pPr>
              <w:pStyle w:val="NormalWeb"/>
              <w:numPr>
                <w:ilvl w:val="0"/>
                <w:numId w:val="35"/>
              </w:numPr>
              <w:spacing w:before="100" w:beforeAutospacing="1" w:after="100" w:afterAutospacing="1"/>
              <w:jc w:val="both"/>
              <w:rPr>
                <w:rFonts w:cs="Arial"/>
                <w:color w:val="000000"/>
              </w:rPr>
            </w:pPr>
            <w:r w:rsidRPr="00BF108D">
              <w:rPr>
                <w:rFonts w:asciiTheme="minorHAnsi" w:hAnsiTheme="minorHAnsi" w:cs="Arial"/>
                <w:color w:val="000000"/>
              </w:rPr>
              <w:t xml:space="preserve">Rozvoj </w:t>
            </w:r>
            <w:r w:rsidRPr="00520F1D">
              <w:rPr>
                <w:rFonts w:asciiTheme="minorHAnsi" w:hAnsiTheme="minorHAnsi" w:cs="Arial"/>
                <w:color w:val="000000"/>
              </w:rPr>
              <w:t xml:space="preserve">hygienických registrů </w:t>
            </w:r>
          </w:p>
          <w:p w:rsidR="00A01C45" w:rsidRPr="00520F1D" w:rsidP="006C359E" w14:paraId="3B64BEB0" w14:textId="3403F9FD">
            <w:pPr>
              <w:pStyle w:val="NormalWeb"/>
              <w:numPr>
                <w:ilvl w:val="0"/>
                <w:numId w:val="35"/>
              </w:numPr>
              <w:spacing w:before="100" w:beforeAutospacing="1" w:after="100" w:afterAutospacing="1"/>
              <w:jc w:val="both"/>
              <w:rPr>
                <w:rFonts w:asciiTheme="minorHAnsi" w:hAnsiTheme="minorHAnsi" w:cs="Arial"/>
                <w:color w:val="000000"/>
              </w:rPr>
            </w:pPr>
            <w:r>
              <w:rPr>
                <w:rFonts w:asciiTheme="minorHAnsi" w:hAnsiTheme="minorHAnsi" w:cs="Arial"/>
                <w:color w:val="000000"/>
              </w:rPr>
              <w:t>E</w:t>
            </w:r>
            <w:r w:rsidRPr="00520F1D">
              <w:rPr>
                <w:rFonts w:asciiTheme="minorHAnsi" w:hAnsiTheme="minorHAnsi" w:cs="Arial"/>
                <w:color w:val="000000"/>
              </w:rPr>
              <w:t>dukace veřejnosti o možných škodlivých vlivech životního a pracovního prostředí</w:t>
            </w:r>
          </w:p>
          <w:p w:rsidR="00A01C45" w:rsidRPr="00520F1D" w:rsidP="006C359E" w14:paraId="7032991E" w14:textId="12B96CD7">
            <w:pPr>
              <w:pStyle w:val="NormalWeb"/>
              <w:numPr>
                <w:ilvl w:val="0"/>
                <w:numId w:val="35"/>
              </w:numPr>
              <w:spacing w:before="100" w:beforeAutospacing="1" w:after="100" w:afterAutospacing="1"/>
              <w:jc w:val="both"/>
              <w:rPr>
                <w:rFonts w:asciiTheme="minorHAnsi" w:hAnsiTheme="minorHAnsi" w:cs="Arial"/>
                <w:color w:val="000000"/>
              </w:rPr>
            </w:pPr>
            <w:r>
              <w:rPr>
                <w:rFonts w:asciiTheme="minorHAnsi" w:hAnsiTheme="minorHAnsi" w:cs="Arial"/>
                <w:color w:val="000000"/>
              </w:rPr>
              <w:t>E</w:t>
            </w:r>
            <w:r w:rsidRPr="00520F1D">
              <w:rPr>
                <w:rFonts w:asciiTheme="minorHAnsi" w:hAnsiTheme="minorHAnsi" w:cs="Arial"/>
                <w:color w:val="000000"/>
              </w:rPr>
              <w:t>dukace veřejnosti ohledně zdravého životního stylu</w:t>
            </w:r>
          </w:p>
          <w:p w:rsidR="00707392" w:rsidRPr="00BF108D" w:rsidP="006C359E" w14:paraId="0353BB73" w14:textId="475EAEBC">
            <w:pPr>
              <w:pStyle w:val="NormalWeb"/>
              <w:numPr>
                <w:ilvl w:val="0"/>
                <w:numId w:val="35"/>
              </w:numPr>
              <w:spacing w:before="100" w:beforeAutospacing="1" w:after="100" w:afterAutospacing="1"/>
              <w:jc w:val="both"/>
              <w:rPr>
                <w:rFonts w:cs="Arial"/>
                <w:color w:val="000000"/>
              </w:rPr>
            </w:pPr>
            <w:r w:rsidRPr="00BF108D">
              <w:rPr>
                <w:rFonts w:asciiTheme="minorHAnsi" w:hAnsiTheme="minorHAnsi" w:cs="Arial"/>
                <w:color w:val="000000"/>
              </w:rPr>
              <w:t>Tvorba a realizace</w:t>
            </w:r>
            <w:r w:rsidR="003C24A0">
              <w:rPr>
                <w:rFonts w:asciiTheme="minorHAnsi" w:hAnsiTheme="minorHAnsi" w:cs="Arial"/>
                <w:color w:val="000000"/>
              </w:rPr>
              <w:t xml:space="preserve"> meziresortní</w:t>
            </w:r>
            <w:r w:rsidRPr="00BF108D">
              <w:rPr>
                <w:rFonts w:asciiTheme="minorHAnsi" w:hAnsiTheme="minorHAnsi" w:cs="Arial"/>
                <w:color w:val="000000"/>
              </w:rPr>
              <w:t xml:space="preserve"> strategie pro omezení výskytu a důsledků antimikrobiální rezistence</w:t>
            </w:r>
          </w:p>
          <w:p w:rsidR="00707392" w:rsidRPr="00BF108D" w:rsidP="006C359E" w14:paraId="340C87C0" w14:textId="247108B0">
            <w:pPr>
              <w:pStyle w:val="NormalWeb"/>
              <w:numPr>
                <w:ilvl w:val="0"/>
                <w:numId w:val="35"/>
              </w:numPr>
              <w:spacing w:before="100" w:beforeAutospacing="1" w:after="100" w:afterAutospacing="1"/>
              <w:jc w:val="both"/>
              <w:rPr>
                <w:rFonts w:asciiTheme="minorHAnsi" w:hAnsiTheme="minorHAnsi" w:cs="Arial"/>
                <w:color w:val="000000"/>
              </w:rPr>
            </w:pPr>
            <w:r w:rsidRPr="00434BDD">
              <w:rPr>
                <w:rFonts w:asciiTheme="minorHAnsi" w:hAnsiTheme="minorHAnsi" w:cs="Arial"/>
                <w:color w:val="000000"/>
              </w:rPr>
              <w:t>M</w:t>
            </w:r>
            <w:r w:rsidRPr="00BF108D">
              <w:rPr>
                <w:rFonts w:asciiTheme="minorHAnsi" w:hAnsiTheme="minorHAnsi" w:cs="Arial"/>
                <w:color w:val="000000"/>
              </w:rPr>
              <w:t>onitorování zdravotního stavu obyvatelstva České republiky</w:t>
            </w:r>
          </w:p>
          <w:p w:rsidR="00707392" w:rsidRPr="00BF108D" w:rsidP="006C359E" w14:paraId="20DCE8E3" w14:textId="6A2990AF">
            <w:pPr>
              <w:pStyle w:val="ListParagraph"/>
              <w:numPr>
                <w:ilvl w:val="0"/>
                <w:numId w:val="35"/>
              </w:numPr>
              <w:spacing w:before="100" w:beforeAutospacing="1" w:after="100" w:afterAutospacing="1"/>
              <w:rPr>
                <w:rFonts w:eastAsiaTheme="minorHAnsi" w:cs="Arial"/>
                <w:bCs w:val="0"/>
                <w:color w:val="000000"/>
                <w:sz w:val="24"/>
                <w:szCs w:val="24"/>
                <w:lang w:eastAsia="cs-CZ"/>
              </w:rPr>
            </w:pPr>
            <w:r w:rsidRPr="00BF108D">
              <w:rPr>
                <w:rFonts w:eastAsiaTheme="minorHAnsi" w:cs="Arial"/>
                <w:bCs w:val="0"/>
                <w:color w:val="000000"/>
                <w:sz w:val="24"/>
                <w:szCs w:val="24"/>
                <w:lang w:eastAsia="cs-CZ"/>
              </w:rPr>
              <w:t xml:space="preserve">Včasná diagnostika a krátké intervence v oblasti závislostního chování </w:t>
            </w:r>
          </w:p>
          <w:p w:rsidR="00707392" w:rsidRPr="008401F5" w:rsidP="006C359E" w14:paraId="5FF29A48" w14:textId="2AF09066">
            <w:pPr>
              <w:pStyle w:val="NormalWeb"/>
              <w:numPr>
                <w:ilvl w:val="0"/>
                <w:numId w:val="35"/>
              </w:numPr>
              <w:spacing w:before="100" w:beforeAutospacing="1" w:after="100" w:afterAutospacing="1"/>
              <w:jc w:val="both"/>
              <w:rPr>
                <w:rFonts w:asciiTheme="minorHAnsi" w:hAnsiTheme="minorHAnsi" w:cs="Arial"/>
                <w:color w:val="000000"/>
              </w:rPr>
            </w:pPr>
            <w:r w:rsidRPr="00434BDD">
              <w:rPr>
                <w:rFonts w:asciiTheme="minorHAnsi" w:hAnsiTheme="minorHAnsi" w:cs="Arial"/>
                <w:color w:val="000000"/>
              </w:rPr>
              <w:t xml:space="preserve">Vybudování Národního zdravotnického informačního portálu </w:t>
            </w:r>
          </w:p>
        </w:tc>
      </w:tr>
      <w:tr w14:paraId="70DE9C3D"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3A3F8F38" w14:textId="77777777">
            <w:pPr>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33662678" w14:textId="579AF66E">
            <w:pPr>
              <w:rPr>
                <w:rFonts w:eastAsiaTheme="minorHAnsi" w:cs="Arial"/>
                <w:sz w:val="24"/>
              </w:rPr>
            </w:pPr>
            <w:r w:rsidRPr="00A955AF">
              <w:rPr>
                <w:rFonts w:cs="Arial"/>
                <w:sz w:val="24"/>
              </w:rPr>
              <w:t>MZ</w:t>
            </w:r>
            <w:r>
              <w:rPr>
                <w:rFonts w:cs="Arial"/>
                <w:sz w:val="24"/>
              </w:rPr>
              <w:t>D – vrchní ředitel sekce ochrany veřejného zdraví a hlavní hygienik ČR</w:t>
            </w:r>
          </w:p>
        </w:tc>
      </w:tr>
      <w:tr w14:paraId="587FCDFF"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477575AD" w14:textId="77777777">
            <w:pPr>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00305028" w14:textId="16E7BB9F">
            <w:pPr>
              <w:rPr>
                <w:rFonts w:eastAsiaTheme="minorHAnsi" w:cs="Arial"/>
                <w:sz w:val="24"/>
              </w:rPr>
            </w:pPr>
            <w:r w:rsidRPr="00A955AF">
              <w:rPr>
                <w:rFonts w:cs="Arial"/>
                <w:sz w:val="24"/>
              </w:rPr>
              <w:t>SZÚ</w:t>
            </w:r>
            <w:r w:rsidR="006F4684">
              <w:rPr>
                <w:rFonts w:cs="Arial"/>
                <w:sz w:val="24"/>
              </w:rPr>
              <w:t xml:space="preserve"> a ZÚ</w:t>
            </w:r>
            <w:r w:rsidRPr="00A955AF">
              <w:rPr>
                <w:rFonts w:cs="Arial"/>
                <w:sz w:val="24"/>
              </w:rPr>
              <w:t xml:space="preserve">, </w:t>
            </w:r>
            <w:r w:rsidR="00E34444">
              <w:rPr>
                <w:rFonts w:cs="Arial"/>
                <w:sz w:val="24"/>
              </w:rPr>
              <w:t xml:space="preserve">KHS, IPVZ, NCO NZO, AZV, </w:t>
            </w:r>
            <w:r w:rsidRPr="00A955AF">
              <w:rPr>
                <w:rFonts w:cs="Arial"/>
                <w:sz w:val="24"/>
              </w:rPr>
              <w:t>MPSV,</w:t>
            </w:r>
            <w:r w:rsidR="00520F1D">
              <w:rPr>
                <w:rFonts w:cs="Arial"/>
                <w:sz w:val="24"/>
              </w:rPr>
              <w:t xml:space="preserve"> </w:t>
            </w:r>
            <w:r w:rsidR="006A0483">
              <w:rPr>
                <w:rFonts w:cs="Arial"/>
                <w:sz w:val="24"/>
              </w:rPr>
              <w:t>MZe,</w:t>
            </w:r>
            <w:r w:rsidRPr="00A955AF">
              <w:rPr>
                <w:rFonts w:cs="Arial"/>
                <w:sz w:val="24"/>
              </w:rPr>
              <w:t xml:space="preserve"> MŽP, MMR, MŠMT, MV,</w:t>
            </w:r>
            <w:r w:rsidR="00520F1D">
              <w:rPr>
                <w:rFonts w:cs="Arial"/>
                <w:sz w:val="24"/>
              </w:rPr>
              <w:t xml:space="preserve"> </w:t>
            </w:r>
            <w:r w:rsidR="00A01C45">
              <w:rPr>
                <w:rFonts w:cs="Arial"/>
                <w:sz w:val="24"/>
              </w:rPr>
              <w:t>ÚV,</w:t>
            </w:r>
            <w:r w:rsidRPr="00A955AF">
              <w:rPr>
                <w:rFonts w:cs="Arial"/>
                <w:sz w:val="24"/>
              </w:rPr>
              <w:t xml:space="preserve"> ČLS JEP, NSZM</w:t>
            </w:r>
            <w:r w:rsidR="006F4684">
              <w:rPr>
                <w:rFonts w:cs="Arial"/>
                <w:sz w:val="24"/>
              </w:rPr>
              <w:t>,</w:t>
            </w:r>
            <w:r w:rsidRPr="00A955AF">
              <w:rPr>
                <w:rFonts w:cs="Arial"/>
                <w:sz w:val="24"/>
              </w:rPr>
              <w:t xml:space="preserve"> kraje – krajské úřady, nevládní sektor, pacientské organizace, municipality, zdravotní pojišťovny, Svaz měst a obcí ČR a Sdružení místních samospráv, NÚKIB</w:t>
            </w:r>
            <w:r w:rsidR="00E34444">
              <w:rPr>
                <w:rFonts w:cs="Arial"/>
                <w:sz w:val="24"/>
              </w:rPr>
              <w:t xml:space="preserve">, lékařské fakulty, profesní organizace, </w:t>
            </w:r>
            <w:r w:rsidRPr="006563C0" w:rsidR="006563C0">
              <w:rPr>
                <w:rFonts w:cs="Arial"/>
                <w:sz w:val="24"/>
              </w:rPr>
              <w:t>ÚSKVBL</w:t>
            </w:r>
            <w:r w:rsidR="00E34444">
              <w:rPr>
                <w:rFonts w:cs="Arial"/>
                <w:sz w:val="24"/>
              </w:rPr>
              <w:t>, PZS, NNO</w:t>
            </w:r>
          </w:p>
        </w:tc>
      </w:tr>
      <w:tr w14:paraId="669519DF" w14:textId="77777777" w:rsidTr="1061A3C5">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3A0E83B5" w14:textId="77777777">
            <w:pPr>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6F4684" w:rsidP="00707392" w14:paraId="2E19EE12" w14:textId="77777777">
            <w:pPr>
              <w:rPr>
                <w:rFonts w:cs="Arial"/>
                <w:sz w:val="24"/>
              </w:rPr>
            </w:pPr>
            <w:r w:rsidRPr="00A955AF">
              <w:rPr>
                <w:rFonts w:cs="Arial"/>
                <w:sz w:val="24"/>
              </w:rPr>
              <w:t>1.</w:t>
            </w:r>
            <w:r>
              <w:rPr>
                <w:rFonts w:cs="Arial"/>
                <w:sz w:val="24"/>
              </w:rPr>
              <w:t>2 Sekundární prevence a screeningové programy</w:t>
            </w:r>
          </w:p>
          <w:p w:rsidR="00707392" w:rsidRPr="00A955AF" w:rsidP="00707392" w14:paraId="59DF9756" w14:textId="6D954264">
            <w:pPr>
              <w:rPr>
                <w:rFonts w:eastAsiaTheme="minorHAnsi" w:cs="Arial"/>
                <w:sz w:val="24"/>
              </w:rPr>
            </w:pPr>
            <w:r>
              <w:rPr>
                <w:rFonts w:cs="Arial"/>
                <w:sz w:val="24"/>
              </w:rPr>
              <w:t xml:space="preserve">2.1 </w:t>
            </w:r>
            <w:r w:rsidRPr="00A955AF">
              <w:rPr>
                <w:rFonts w:cs="Arial"/>
                <w:sz w:val="24"/>
              </w:rPr>
              <w:t>Reforma primární péče</w:t>
            </w:r>
          </w:p>
          <w:p w:rsidR="00707392" w:rsidRPr="00A955AF" w:rsidP="00707392" w14:paraId="71BD9D40" w14:textId="15AA10A3">
            <w:pPr>
              <w:rPr>
                <w:rFonts w:cs="Arial"/>
                <w:sz w:val="24"/>
              </w:rPr>
            </w:pPr>
            <w:r w:rsidRPr="00A955AF">
              <w:rPr>
                <w:rFonts w:cs="Arial"/>
                <w:sz w:val="24"/>
              </w:rPr>
              <w:t>2.3</w:t>
            </w:r>
            <w:r w:rsidR="006F4684">
              <w:rPr>
                <w:rFonts w:cs="Arial"/>
                <w:sz w:val="24"/>
              </w:rPr>
              <w:t xml:space="preserve"> </w:t>
            </w:r>
            <w:r w:rsidRPr="00A955AF">
              <w:rPr>
                <w:rFonts w:cs="Arial"/>
                <w:sz w:val="24"/>
              </w:rPr>
              <w:t>Digitalizace zdravotnictví</w:t>
            </w:r>
          </w:p>
          <w:p w:rsidR="00707392" w:rsidRPr="00A955AF" w:rsidP="00707392" w14:paraId="369E00E5" w14:textId="7EFBF6F4">
            <w:pPr>
              <w:ind w:left="743" w:hanging="743"/>
              <w:rPr>
                <w:rFonts w:eastAsiaTheme="minorHAnsi" w:cs="Arial"/>
                <w:sz w:val="24"/>
              </w:rPr>
            </w:pPr>
            <w:r w:rsidRPr="00A955AF">
              <w:rPr>
                <w:rFonts w:cs="Arial"/>
                <w:sz w:val="24"/>
              </w:rPr>
              <w:t>3.1</w:t>
            </w:r>
            <w:r w:rsidR="006F4684">
              <w:rPr>
                <w:rFonts w:cs="Arial"/>
                <w:sz w:val="24"/>
              </w:rPr>
              <w:t xml:space="preserve"> </w:t>
            </w:r>
            <w:r w:rsidRPr="00A955AF">
              <w:rPr>
                <w:rFonts w:cs="Arial"/>
                <w:sz w:val="24"/>
              </w:rPr>
              <w:t>Zapojení vědy a výzkumu do řešení prioritních úkolů zdravotnictví</w:t>
            </w:r>
          </w:p>
        </w:tc>
      </w:tr>
      <w:tr w14:paraId="2EE6C323"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010E6133" w14:textId="77777777">
            <w:pPr>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45099453" w14:textId="77777777">
            <w:pPr>
              <w:tabs>
                <w:tab w:val="num" w:pos="585"/>
              </w:tabs>
              <w:overflowPunct w:val="0"/>
              <w:autoSpaceDE w:val="0"/>
              <w:autoSpaceDN w:val="0"/>
              <w:adjustRightInd w:val="0"/>
              <w:rPr>
                <w:rFonts w:cs="Arial"/>
                <w:sz w:val="24"/>
              </w:rPr>
            </w:pPr>
            <w:r w:rsidRPr="00A955AF">
              <w:rPr>
                <w:rFonts w:cs="Arial"/>
                <w:sz w:val="24"/>
              </w:rPr>
              <w:t xml:space="preserve">Na úrovni dopadu: </w:t>
            </w:r>
          </w:p>
          <w:p w:rsidR="00707392" w:rsidRPr="00A955AF" w:rsidP="006C359E" w14:paraId="1B8C0C3C" w14:textId="269B488C">
            <w:pPr>
              <w:pStyle w:val="ListParagraph"/>
              <w:numPr>
                <w:ilvl w:val="0"/>
                <w:numId w:val="30"/>
              </w:numPr>
              <w:overflowPunct w:val="0"/>
              <w:spacing w:before="0"/>
              <w:contextualSpacing/>
              <w:rPr>
                <w:rFonts w:cs="Arial"/>
                <w:sz w:val="24"/>
                <w:szCs w:val="24"/>
              </w:rPr>
            </w:pPr>
            <w:r w:rsidRPr="00A955AF">
              <w:rPr>
                <w:rFonts w:cs="Arial"/>
                <w:sz w:val="24"/>
                <w:szCs w:val="24"/>
              </w:rPr>
              <w:t xml:space="preserve">Podíl veřejných výdajů na prevenci </w:t>
            </w:r>
          </w:p>
          <w:p w:rsidR="00707392" w:rsidRPr="00A955AF" w:rsidP="006C359E" w14:paraId="66BE0DF2" w14:textId="77777777">
            <w:pPr>
              <w:pStyle w:val="ListParagraph"/>
              <w:numPr>
                <w:ilvl w:val="0"/>
                <w:numId w:val="30"/>
              </w:numPr>
              <w:overflowPunct w:val="0"/>
              <w:spacing w:before="0"/>
              <w:contextualSpacing/>
              <w:rPr>
                <w:rFonts w:cs="Arial"/>
                <w:sz w:val="24"/>
                <w:szCs w:val="24"/>
              </w:rPr>
            </w:pPr>
            <w:r w:rsidRPr="00A955AF">
              <w:rPr>
                <w:rFonts w:cs="Arial"/>
                <w:sz w:val="24"/>
                <w:szCs w:val="24"/>
              </w:rPr>
              <w:t xml:space="preserve">Podíl osob s rizikovou konzumací alkoholu </w:t>
            </w:r>
          </w:p>
          <w:p w:rsidR="00707392" w:rsidRPr="00A955AF" w:rsidP="006C359E" w14:paraId="2429E6F1" w14:textId="77777777">
            <w:pPr>
              <w:pStyle w:val="ListParagraph"/>
              <w:numPr>
                <w:ilvl w:val="0"/>
                <w:numId w:val="30"/>
              </w:numPr>
              <w:overflowPunct w:val="0"/>
              <w:spacing w:before="0"/>
              <w:contextualSpacing/>
              <w:rPr>
                <w:rFonts w:cs="Arial"/>
                <w:sz w:val="24"/>
                <w:szCs w:val="24"/>
              </w:rPr>
            </w:pPr>
            <w:r w:rsidRPr="00A955AF">
              <w:rPr>
                <w:rFonts w:cs="Arial"/>
                <w:sz w:val="24"/>
                <w:szCs w:val="24"/>
              </w:rPr>
              <w:t xml:space="preserve">Podíl denních kuřáků  </w:t>
            </w:r>
          </w:p>
          <w:p w:rsidR="00707392" w:rsidRPr="00A955AF" w:rsidP="00707392" w14:paraId="103BE13F" w14:textId="77777777">
            <w:pPr>
              <w:pStyle w:val="ListParagraph"/>
              <w:numPr>
                <w:ilvl w:val="0"/>
                <w:numId w:val="0"/>
              </w:numPr>
              <w:overflowPunct w:val="0"/>
              <w:spacing w:before="0"/>
              <w:ind w:left="720"/>
              <w:contextualSpacing/>
              <w:rPr>
                <w:rFonts w:cs="Arial"/>
                <w:sz w:val="24"/>
                <w:szCs w:val="24"/>
              </w:rPr>
            </w:pPr>
          </w:p>
          <w:p w:rsidR="00707392" w:rsidRPr="00A955AF" w:rsidP="00707392" w14:paraId="643CE0D6" w14:textId="77777777">
            <w:pPr>
              <w:tabs>
                <w:tab w:val="num" w:pos="585"/>
              </w:tabs>
              <w:overflowPunct w:val="0"/>
              <w:autoSpaceDE w:val="0"/>
              <w:autoSpaceDN w:val="0"/>
              <w:adjustRightInd w:val="0"/>
              <w:rPr>
                <w:rFonts w:cs="Arial"/>
                <w:sz w:val="24"/>
              </w:rPr>
            </w:pPr>
            <w:r w:rsidRPr="00A955AF">
              <w:rPr>
                <w:rFonts w:cs="Arial"/>
                <w:sz w:val="24"/>
              </w:rPr>
              <w:t>Na úrovni výsledků/výstupů:</w:t>
            </w:r>
          </w:p>
          <w:p w:rsidR="00707392" w:rsidRPr="00A955AF" w:rsidP="006C359E" w14:paraId="6D7942A8" w14:textId="77777777">
            <w:pPr>
              <w:pStyle w:val="ListParagraph"/>
              <w:numPr>
                <w:ilvl w:val="0"/>
                <w:numId w:val="30"/>
              </w:numPr>
              <w:overflowPunct w:val="0"/>
              <w:spacing w:before="0"/>
              <w:contextualSpacing/>
              <w:rPr>
                <w:rFonts w:cs="Arial"/>
                <w:sz w:val="24"/>
                <w:szCs w:val="24"/>
              </w:rPr>
            </w:pPr>
            <w:r w:rsidRPr="00A955AF">
              <w:rPr>
                <w:rFonts w:cs="Arial"/>
                <w:sz w:val="24"/>
                <w:szCs w:val="24"/>
              </w:rPr>
              <w:t>Vybudování a návštěvnost Národního zdravotnického informačního portálu</w:t>
            </w:r>
          </w:p>
          <w:p w:rsidR="00707392" w:rsidRPr="00A955AF" w:rsidP="006C359E" w14:paraId="586ED31D" w14:textId="233DF969">
            <w:pPr>
              <w:pStyle w:val="ListParagraph"/>
              <w:numPr>
                <w:ilvl w:val="0"/>
                <w:numId w:val="30"/>
              </w:numPr>
              <w:overflowPunct w:val="0"/>
              <w:spacing w:before="0"/>
              <w:contextualSpacing/>
              <w:rPr>
                <w:rFonts w:cs="Arial"/>
                <w:sz w:val="24"/>
                <w:szCs w:val="24"/>
              </w:rPr>
            </w:pPr>
            <w:r w:rsidRPr="00A955AF">
              <w:rPr>
                <w:rFonts w:cs="Arial"/>
                <w:sz w:val="24"/>
                <w:szCs w:val="24"/>
              </w:rPr>
              <w:t xml:space="preserve">Počet osob podpořených programy podpory zdraví </w:t>
            </w:r>
          </w:p>
          <w:p w:rsidR="00707392" w:rsidRPr="00A955AF" w:rsidP="006C359E" w14:paraId="2EA5EFA1" w14:textId="77777777">
            <w:pPr>
              <w:pStyle w:val="ListParagraph"/>
              <w:numPr>
                <w:ilvl w:val="0"/>
                <w:numId w:val="30"/>
              </w:numPr>
              <w:overflowPunct w:val="0"/>
              <w:spacing w:before="0"/>
              <w:contextualSpacing/>
              <w:rPr>
                <w:rFonts w:cs="Arial"/>
                <w:sz w:val="24"/>
                <w:szCs w:val="24"/>
              </w:rPr>
            </w:pPr>
            <w:r w:rsidRPr="00A955AF">
              <w:rPr>
                <w:rFonts w:cs="Arial"/>
                <w:sz w:val="24"/>
                <w:szCs w:val="24"/>
              </w:rPr>
              <w:t>Počet koncepcí podpory zdraví na municipální a regionální úrovni</w:t>
            </w:r>
          </w:p>
        </w:tc>
      </w:tr>
      <w:tr w14:paraId="34963092"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65D8F2C6" w14:textId="77777777">
            <w:pPr>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7CCA42A9" w14:textId="742E84AA">
            <w:pPr>
              <w:rPr>
                <w:rFonts w:cs="Arial"/>
                <w:sz w:val="24"/>
              </w:rPr>
            </w:pPr>
            <w:r w:rsidRPr="00A955AF">
              <w:rPr>
                <w:rFonts w:cs="Arial"/>
                <w:sz w:val="24"/>
              </w:rPr>
              <w:t>Každoročně v zemích EU umírá předčasně více než 1,2 milionu osob. ČR má přitom míru úmrtí na preventabilní onemocnění zřetelně vyšší (285 na 100 000 obyvatel)</w:t>
            </w:r>
            <w:r>
              <w:rPr>
                <w:rFonts w:cs="Arial"/>
                <w:sz w:val="24"/>
              </w:rPr>
              <w:t>,</w:t>
            </w:r>
            <w:r w:rsidRPr="00A955AF">
              <w:rPr>
                <w:rFonts w:cs="Arial"/>
                <w:sz w:val="24"/>
              </w:rPr>
              <w:t xml:space="preserve"> než je průměr EU28 (216 na</w:t>
            </w:r>
            <w:r w:rsidR="00EC1D8A">
              <w:rPr>
                <w:rFonts w:cs="Arial"/>
                <w:sz w:val="24"/>
              </w:rPr>
              <w:t> </w:t>
            </w:r>
            <w:r w:rsidRPr="00A955AF">
              <w:rPr>
                <w:rFonts w:cs="Arial"/>
                <w:sz w:val="24"/>
              </w:rPr>
              <w:t>100 000 obyvatel). Tento stav je mimo jiné důsledkem snížené zdravotní gramotnosti obyvatel, jisté rezistence části obyvatel k preventivním programům a vysoké míry vlivu rizikových faktorů na českou populaci. Prakticky ve všech hlavních pro zdraví rizikových faktorech je česká populace významně nad průměrem vyspělých zemí EU (výskyt silných kuřáků, užívání tabáku u dětí a </w:t>
            </w:r>
            <w:r w:rsidRPr="007C7E89">
              <w:rPr>
                <w:rFonts w:cs="Arial"/>
                <w:sz w:val="24"/>
              </w:rPr>
              <w:t>mladistvých, riziková konzumace alkoholu, nesprávné stravovací návyky a nedostatečná pohybová aktivita, preobezita a obezita, aj.). Například výsledky evropského dotazníkového šetření o zdraví (2014) potvrzují nepříznivou pozici ČR ve srovnání indexu tělesné hmotnosti, kdy podíl jedinců s nadváhou v české populaci patří mezi vůbec nejvyšší v EU.</w:t>
            </w:r>
            <w:r w:rsidR="00D50A81">
              <w:rPr>
                <w:rFonts w:cs="Arial"/>
                <w:sz w:val="24"/>
              </w:rPr>
              <w:t xml:space="preserve"> </w:t>
            </w:r>
            <w:r w:rsidRPr="00A955AF">
              <w:rPr>
                <w:rFonts w:cs="Arial"/>
                <w:sz w:val="24"/>
              </w:rPr>
              <w:t>Dostupná data o zdravotním stavu české populace poukazují na nevyužitý potenciál preventivních aktivit pro</w:t>
            </w:r>
            <w:r w:rsidR="003E35D0">
              <w:rPr>
                <w:rFonts w:cs="Arial"/>
                <w:sz w:val="24"/>
              </w:rPr>
              <w:t> </w:t>
            </w:r>
            <w:r w:rsidRPr="00A955AF">
              <w:rPr>
                <w:rFonts w:cs="Arial"/>
                <w:sz w:val="24"/>
              </w:rPr>
              <w:t>zlepšování délky a kvality života českých občanů. Mezinárodní statistiky ukazují, že</w:t>
            </w:r>
            <w:r>
              <w:rPr>
                <w:rFonts w:cs="Arial"/>
                <w:sz w:val="24"/>
              </w:rPr>
              <w:t> </w:t>
            </w:r>
            <w:r w:rsidRPr="00A955AF">
              <w:rPr>
                <w:rFonts w:cs="Arial"/>
                <w:sz w:val="24"/>
              </w:rPr>
              <w:t>výdaje na preventivní aktivity v přepočtu na</w:t>
            </w:r>
            <w:r w:rsidR="00EC1D8A">
              <w:rPr>
                <w:rFonts w:cs="Arial"/>
                <w:sz w:val="24"/>
              </w:rPr>
              <w:t> </w:t>
            </w:r>
            <w:r w:rsidRPr="00A955AF">
              <w:rPr>
                <w:rFonts w:cs="Arial"/>
                <w:sz w:val="24"/>
              </w:rPr>
              <w:t xml:space="preserve">obyvatele patří v ČR mezi zeměmi OECD ke spíše nižším. Rovněž systém exaktního a metodicky garantovaného zavádění nových preventivních programů je v ČR pouze v počátcích. Cílem přitom nemohou být velmi nákladné a celoplošné programy, ale spíše projekty cíleně zaměřené na rizikové skupiny obyvatel. </w:t>
            </w:r>
          </w:p>
          <w:p w:rsidR="00707392" w:rsidRPr="00A955AF" w:rsidP="00707392" w14:paraId="766C5217" w14:textId="347F856F">
            <w:pPr>
              <w:spacing w:after="200"/>
              <w:rPr>
                <w:rFonts w:eastAsiaTheme="minorHAnsi" w:cs="Arial"/>
                <w:sz w:val="24"/>
              </w:rPr>
            </w:pPr>
            <w:r w:rsidRPr="00A955AF">
              <w:rPr>
                <w:rFonts w:cs="Arial"/>
                <w:sz w:val="24"/>
              </w:rPr>
              <w:t>V oblasti posilování odpovědnosti občanů a zvyšování zdravotní gramotnosti rovněž chybí odpovídající meziresortní spolupráce integrující kroky relevantních ministerstev (MZ</w:t>
            </w:r>
            <w:r w:rsidR="00E22AF8">
              <w:rPr>
                <w:rFonts w:cs="Arial"/>
                <w:sz w:val="24"/>
              </w:rPr>
              <w:t>D</w:t>
            </w:r>
            <w:r w:rsidRPr="00A955AF">
              <w:rPr>
                <w:rFonts w:cs="Arial"/>
                <w:sz w:val="24"/>
              </w:rPr>
              <w:t>, MF, MMR</w:t>
            </w:r>
            <w:r w:rsidR="00674161">
              <w:rPr>
                <w:rFonts w:cs="Arial"/>
                <w:sz w:val="24"/>
              </w:rPr>
              <w:t>, MŠMT</w:t>
            </w:r>
            <w:r w:rsidRPr="00A955AF">
              <w:rPr>
                <w:rFonts w:cs="Arial"/>
                <w:sz w:val="24"/>
              </w:rPr>
              <w:t xml:space="preserve">) s aktivitami krajských úřadů, regionálních a místních samospráv. Je třeba sladit nebo vzájemně propojit nejrůznější dílčí preventivní projekty, a to i za účasti zdravotních pojišťoven. </w:t>
            </w:r>
          </w:p>
        </w:tc>
      </w:tr>
      <w:tr w14:paraId="217F091C"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00D22064" w14:textId="77777777">
            <w:pPr>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0F3F39" w:rsidRPr="000F5A9B" w:rsidP="00707392" w14:paraId="008B7C28" w14:textId="69F59B13">
            <w:pPr>
              <w:rPr>
                <w:sz w:val="24"/>
                <w:szCs w:val="28"/>
              </w:rPr>
            </w:pPr>
            <w:r w:rsidRPr="000F5A9B">
              <w:rPr>
                <w:sz w:val="24"/>
                <w:szCs w:val="28"/>
              </w:rPr>
              <w:t xml:space="preserve">V rámci řešení implementačního plánu dojde k vytvoření komplexní soustavy opatření a programů ochrany a podpory zdraví tak, aby </w:t>
            </w:r>
            <w:r w:rsidRPr="000F5A9B">
              <w:rPr>
                <w:sz w:val="24"/>
                <w:szCs w:val="28"/>
              </w:rPr>
              <w:t xml:space="preserve">jeho naplňování významně přispělo k rozšíření nástrojů pro boj s infekčními onemocněními a zavádění epidemiologických opatření, zvýšení zdravotní gramotnosti obyvatel a usnadnil se přístup k cíleným a efektivním programům prevence a přispěl k prodloužení života ve zdraví českých občanů. </w:t>
            </w:r>
            <w:r w:rsidRPr="000F5A9B">
              <w:rPr>
                <w:rFonts w:cstheme="minorHAnsi"/>
                <w:sz w:val="24"/>
                <w:szCs w:val="28"/>
              </w:rPr>
              <w:t>V kontextu veřejného zdraví jsou velmi podstatnými aktivitami i programy usilující o snížení negativního vlivu řady rizikových faktorů na zdraví, a to pomocí komplexního systému sběru a hodnocení údajů v oblasti kvalitativních ukazatelů ve vztahu ke zdraví a vyhodnocování zdravotních rizik.</w:t>
            </w:r>
            <w:r w:rsidRPr="000F5A9B">
              <w:rPr>
                <w:sz w:val="24"/>
                <w:szCs w:val="28"/>
              </w:rPr>
              <w:t xml:space="preserve"> Jedná se například o sledování kvality pitné vody nebo koupacích vod, zveřejňování nebezpečných výrobků apod. Výsledky tohoto typu monitoringu je nutné vhodnými kanály pomocí moderních nástrojů předkládat veřejnosti, aby bylo dosaženo minimalizace možných nepříznivých účinků a veřejné zdraví ochráněno na maximální možnou úroveň. </w:t>
            </w:r>
          </w:p>
          <w:p w:rsidR="00707392" w:rsidRPr="003B0688" w:rsidP="00707392" w14:paraId="18315D85" w14:textId="4367CF60">
            <w:pPr>
              <w:rPr>
                <w:rFonts w:eastAsiaTheme="minorHAnsi" w:cs="Arial"/>
                <w:sz w:val="24"/>
              </w:rPr>
            </w:pPr>
            <w:r w:rsidRPr="00A955AF">
              <w:rPr>
                <w:rFonts w:cs="Arial"/>
                <w:sz w:val="24"/>
              </w:rPr>
              <w:t xml:space="preserve">V oblasti posilování zdravotní gramotnosti a odpovědnosti občanů za vlastní zdraví je cílovým stavem vysoká míra zdravotní gramotnosti oproti současnému stavu. Zdravotní gramotnost je důležitá pro každého občana, protože v určitém okamžiku života, každý potřebuje být schopen najít, pochopit a využít informací o zdraví a zdravotní péči. Péče o zdraví se musí stát součástí každodenního života. Výsledkem aktivit bude posílení zdraví zvýšením zdravotní gramotnosti nejen celkové populace, ale zejména dílčích populačních skupin. Cílené edukační aktivity posílí schopnost porozumět nejen základním informacím například o faktorech životního stylu, ale také například pozvánkám na vyšetření, příbalovým letákům, pokynům zdravotnického personálu, základní orientaci v systému poskytování zdravotní péče, znalost symptomů běžných onemocnění, znalost základních funkcí lidského těla, znalost základních kroků sebepéče a zajištění soběstačnosti v případě onemocnění. Důležitá bude rovněž tvorba a implementace vhodných komunikačních kanálů, jakým je například realizace Národního zdravotnického informačního portálu či zlepšování komunikačních schopností pracovníků ve zdravotnictví prostřednictvím aktivit cílených na zpracování odborných informací </w:t>
            </w:r>
            <w:r w:rsidRPr="003B0688">
              <w:rPr>
                <w:rFonts w:cs="Arial"/>
                <w:sz w:val="24"/>
              </w:rPr>
              <w:t>do všeobecně srozumitelných forem.</w:t>
            </w:r>
          </w:p>
          <w:p w:rsidR="00707392" w:rsidRPr="00A955AF" w:rsidP="00707392" w14:paraId="38DD6BD8" w14:textId="7BFCADFF">
            <w:pPr>
              <w:rPr>
                <w:rFonts w:eastAsiaTheme="minorHAnsi" w:cs="Arial"/>
                <w:sz w:val="24"/>
              </w:rPr>
            </w:pPr>
            <w:r w:rsidRPr="00BF108D">
              <w:rPr>
                <w:rFonts w:cs="Arial"/>
                <w:sz w:val="24"/>
              </w:rPr>
              <w:t xml:space="preserve">Z pohledu celého zdravotního systému je cílovým stavem jednak funkční, legislativně a metodicky ukotvený systém programů podpory </w:t>
            </w:r>
            <w:r w:rsidR="003C24A0">
              <w:rPr>
                <w:rFonts w:cs="Arial"/>
                <w:sz w:val="24"/>
              </w:rPr>
              <w:t xml:space="preserve">a ochrany </w:t>
            </w:r>
            <w:r w:rsidRPr="00BF108D">
              <w:rPr>
                <w:rFonts w:cs="Arial"/>
                <w:sz w:val="24"/>
              </w:rPr>
              <w:t>zdraví, zdravotní gramotnosti a programů zaměřených na časný záchyt vážných onemocnění v rizikových skupinách osob, jednak funkční, legislativně a metodicky ukotvený systém epidemiologické bdělosti a připravenosti systému ochrany veřejného zdraví na řešení aktuálních zdravotních hrozeb pro veřejné zdraví.</w:t>
            </w:r>
            <w:r>
              <w:rPr>
                <w:rFonts w:ascii="Arial" w:hAnsi="Arial" w:cs="Arial"/>
                <w:sz w:val="20"/>
                <w:szCs w:val="20"/>
              </w:rPr>
              <w:t xml:space="preserve">  </w:t>
            </w:r>
            <w:r w:rsidRPr="00A955AF">
              <w:rPr>
                <w:rFonts w:cs="Arial"/>
                <w:sz w:val="24"/>
              </w:rPr>
              <w:t xml:space="preserve">Institucionální ukotvení těchto programů, jako jsou např. centra prevence, bude provedeno tak, aby byla zajištěna jejich </w:t>
            </w:r>
            <w:r w:rsidRPr="00A955AF">
              <w:rPr>
                <w:rFonts w:cs="Arial"/>
                <w:sz w:val="24"/>
              </w:rPr>
              <w:t>dlouhodobá udržitelnost, včetně udržitelnosti v rovině personální a finanční. Cílový stav bude rovněž charakterizovaný zapojením moderních nástrojů eHealth a on-line dostupných a plně garantovaných informačních služeb pro posílení zdravotní gramotnosti obyvatel. Dále bude vybudována funkční meziresortní platforma zpřístupňující informace a posilující programy podpory zdraví zejména na regionální a municipální úrovni a Národní zdravotnický informační portál</w:t>
            </w:r>
            <w:r w:rsidR="006F16E1">
              <w:rPr>
                <w:rFonts w:cs="Arial"/>
                <w:sz w:val="24"/>
              </w:rPr>
              <w:t xml:space="preserve"> (NZIP)</w:t>
            </w:r>
            <w:r w:rsidRPr="00A955AF">
              <w:rPr>
                <w:rFonts w:cs="Arial"/>
                <w:sz w:val="24"/>
              </w:rPr>
              <w:t xml:space="preserve">. </w:t>
            </w:r>
          </w:p>
        </w:tc>
      </w:tr>
      <w:tr w14:paraId="00D19AB1" w14:textId="77777777" w:rsidTr="1061A3C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218D4BD8" w14:textId="77777777">
            <w:pPr>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07392" w:rsidRPr="00A955AF" w:rsidP="00707392" w14:paraId="49DAD4C6" w14:textId="4504F963">
            <w:pPr>
              <w:rPr>
                <w:rFonts w:cs="Arial"/>
                <w:sz w:val="24"/>
                <w:szCs w:val="22"/>
              </w:rPr>
            </w:pPr>
            <w:r w:rsidRPr="00A955AF">
              <w:rPr>
                <w:rFonts w:cs="Arial"/>
                <w:sz w:val="24"/>
                <w:szCs w:val="22"/>
              </w:rPr>
              <w:t>Státní rozpočet, fondy EU</w:t>
            </w:r>
            <w:r w:rsidR="00271588">
              <w:rPr>
                <w:rFonts w:cs="Arial"/>
                <w:sz w:val="24"/>
                <w:szCs w:val="22"/>
              </w:rPr>
              <w:t xml:space="preserve">, </w:t>
            </w:r>
            <w:r w:rsidRPr="00271588" w:rsidR="00271588">
              <w:rPr>
                <w:rFonts w:cs="Arial"/>
                <w:sz w:val="24"/>
                <w:szCs w:val="22"/>
              </w:rPr>
              <w:t>Fondy EHP/Norska</w:t>
            </w:r>
            <w:r w:rsidR="00271588">
              <w:rPr>
                <w:rFonts w:cs="Arial"/>
                <w:sz w:val="24"/>
                <w:szCs w:val="22"/>
              </w:rPr>
              <w:t>, E</w:t>
            </w:r>
            <w:r w:rsidRPr="00271588" w:rsidR="00271588">
              <w:rPr>
                <w:rFonts w:cs="Arial"/>
                <w:sz w:val="24"/>
                <w:szCs w:val="22"/>
              </w:rPr>
              <w:t>U4Health</w:t>
            </w:r>
          </w:p>
          <w:p w:rsidR="00707392" w:rsidRPr="00A955AF" w:rsidP="00707392" w14:paraId="6B218AAA" w14:textId="1746F6F3">
            <w:pPr>
              <w:spacing w:after="200"/>
              <w:rPr>
                <w:rFonts w:eastAsiaTheme="minorHAnsi" w:cs="Arial"/>
                <w:sz w:val="24"/>
              </w:rPr>
            </w:pPr>
            <w:r w:rsidRPr="00A955AF">
              <w:rPr>
                <w:rFonts w:cs="Arial"/>
                <w:sz w:val="24"/>
              </w:rPr>
              <w:t xml:space="preserve">Vedle interních rozpočtových zdrojů resortu zdravotnictví bude využívána i možnost mezinárodních projektů spolupráce v rámci EU a projektů domácích grantových agentur. </w:t>
            </w:r>
          </w:p>
        </w:tc>
      </w:tr>
    </w:tbl>
    <w:p w:rsidR="006F16E1" w:rsidP="00E44D97" w14:paraId="420BA6A9" w14:textId="20146B64">
      <w:pPr>
        <w:rPr>
          <w:rFonts w:cstheme="minorHAnsi"/>
          <w:sz w:val="24"/>
          <w:szCs w:val="22"/>
        </w:rPr>
      </w:pPr>
    </w:p>
    <w:p w:rsidR="006F16E1" w14:paraId="4A68A07D" w14:textId="77777777">
      <w:pPr>
        <w:spacing w:before="0" w:line="264" w:lineRule="auto"/>
        <w:jc w:val="left"/>
        <w:rPr>
          <w:rFonts w:cstheme="minorHAnsi"/>
          <w:sz w:val="24"/>
          <w:szCs w:val="22"/>
        </w:rPr>
      </w:pPr>
      <w:r>
        <w:rPr>
          <w:rFonts w:cstheme="minorHAnsi"/>
          <w:sz w:val="24"/>
          <w:szCs w:val="22"/>
        </w:rPr>
        <w:br w:type="page"/>
      </w:r>
    </w:p>
    <w:p w:rsidR="00A86531" w:rsidRPr="00A86531" w:rsidP="00A86531" w14:paraId="7DDCEDB5" w14:textId="17ACF66C">
      <w:pPr>
        <w:pStyle w:val="NA2"/>
        <w:jc w:val="both"/>
      </w:pPr>
      <w:bookmarkStart w:id="540" w:name="_Toc256000051"/>
      <w:r>
        <w:t xml:space="preserve">SC 1.2 </w:t>
      </w:r>
      <w:r w:rsidR="6ECFCF1B">
        <w:t>Sekundární prevence a screeningové programy</w:t>
      </w:r>
      <w:bookmarkEnd w:id="540"/>
    </w:p>
    <w:p w:rsidR="00455E3A" w:rsidRPr="006F16E1" w:rsidP="006F16E1" w14:paraId="021761A9" w14:textId="1B127530">
      <w:pPr>
        <w:rPr>
          <w:sz w:val="24"/>
        </w:rPr>
      </w:pPr>
      <w:r w:rsidRPr="006F16E1">
        <w:rPr>
          <w:sz w:val="24"/>
        </w:rPr>
        <w:t>Specifický cíl usiluje o funkční, legislativně a metodicky ukotvený systém programů prevence a</w:t>
      </w:r>
      <w:r w:rsidRPr="006F16E1">
        <w:rPr>
          <w:sz w:val="24"/>
        </w:rPr>
        <w:t> </w:t>
      </w:r>
      <w:r w:rsidRPr="006F16E1">
        <w:rPr>
          <w:sz w:val="24"/>
        </w:rPr>
        <w:t>programů zaměřených na časný záchyt vážných onemocnění v rizikových skupinách osob</w:t>
      </w:r>
      <w:r w:rsidRPr="006F16E1">
        <w:rPr>
          <w:sz w:val="24"/>
        </w:rPr>
        <w:t xml:space="preserve"> a </w:t>
      </w:r>
      <w:r w:rsidRPr="006F16E1">
        <w:rPr>
          <w:sz w:val="24"/>
        </w:rPr>
        <w:t>cíl úzce souvisí se specifickým cílem 1.1 Primární prevence a ochrana veřejného zdraví</w:t>
      </w:r>
      <w:r w:rsidRPr="006F16E1">
        <w:rPr>
          <w:sz w:val="24"/>
        </w:rPr>
        <w:t>.</w:t>
      </w:r>
    </w:p>
    <w:p w:rsidR="00455E3A" w:rsidRPr="00455E3A" w:rsidP="684CB8A3" w14:paraId="42396C99" w14:textId="5EDB6FA7">
      <w:pPr>
        <w:rPr>
          <w:sz w:val="24"/>
        </w:rPr>
      </w:pPr>
      <w:r w:rsidRPr="684CB8A3">
        <w:rPr>
          <w:sz w:val="24"/>
        </w:rPr>
        <w:t>Specifický cíl 1.2 ve svých aktivitách a dílčích cílech přijímá opatření k eliminaci příčin jednotlivých onemocnění nebo zvyšováním odolnosti jedinců, směřuje aktivity k předcházení vzniku onemocnění či odhalení nemoci včasné, zpravidla lépe léčitelné, fázi. Správný následný management onemocnění a kroky k časnému záchytu zhoršení již diagnostikovaných onemocnění vedou ke snížení negativních dopadů vlastního onemocnění. Díky časnému záchytu lze tak u mnoha onemocnění zabránit fatálním následkům, ale i ušetřit peníze za nákladnou léčbu pokročilých stadií onemocnění. Protože postupy primární, sekundární a terciární prevence často závisí na chování osob v populaci a převzetí jejich odpovědnosti za své zdraví, klíčovou součástí preventivních zdravotních politik rovněž musí být zvyšování zdravotní gramotnosti populace tak, aby lidé mohli správně chápat zdravotnické informace a činit vhodná rozhodnutí o svém zdraví a čerpané zdravotní péči.</w:t>
      </w:r>
    </w:p>
    <w:p w:rsidR="00455E3A" w:rsidRPr="00455E3A" w:rsidP="684CB8A3" w14:paraId="61D21F95" w14:textId="1308E603">
      <w:pPr>
        <w:rPr>
          <w:sz w:val="24"/>
        </w:rPr>
      </w:pPr>
      <w:r w:rsidRPr="684CB8A3">
        <w:rPr>
          <w:sz w:val="24"/>
        </w:rPr>
        <w:t>Přestože prevence onemocnění představuje účinný a nákladově efektivní nástroj pro zlepšování zdraví české populace, zvyšování efektivity zdravotnického systému a potažmo i zvyšování zaměstnanosti obyvatel v národním hospodářství, přesto stále není ve zdravotních politikách ČR dostatečně využívaná. Specifický cíl 1.2 tuto situaci plánuje v příštích deseti letech změnit.  V rámci řešení implementačního plánu dojde k  posilování zdravotní gramotnosti občanů v oblasti sekundární prevence, rozvoji metodického, personální</w:t>
      </w:r>
      <w:r w:rsidRPr="684CB8A3" w:rsidR="1295568C">
        <w:rPr>
          <w:sz w:val="24"/>
        </w:rPr>
        <w:t>ho</w:t>
      </w:r>
      <w:r w:rsidRPr="684CB8A3">
        <w:rPr>
          <w:sz w:val="24"/>
        </w:rPr>
        <w:t>, datového a analytického zázemí pro podporu preventivních a screeningových programů, realizaci pilotních projektů časného záchytu onemocnění či rizikových faktorů, rozvoji nástrojů elektronického zdravotnictví pro podporu prevence, rozvoji mezinárodních aktivit a vědecké aktivity a spolupráce na poli sekundární prevence a metodicky garantované zavádění nových programů časného záchytu vážných onemocnění.</w:t>
      </w:r>
    </w:p>
    <w:p w:rsidR="00A86531" w:rsidRPr="00455E3A" w:rsidP="27A1148F" w14:paraId="6811E38E" w14:textId="16843643">
      <w:pPr>
        <w:rPr>
          <w:rFonts w:cs="Arial"/>
          <w:sz w:val="24"/>
        </w:rPr>
      </w:pPr>
      <w:r w:rsidRPr="27A1148F">
        <w:rPr>
          <w:rFonts w:cs="Arial"/>
          <w:sz w:val="24"/>
        </w:rPr>
        <w:t xml:space="preserve">Význam specifického cíle 1.2 </w:t>
      </w:r>
      <w:r w:rsidRPr="27A1148F">
        <w:rPr>
          <w:sz w:val="24"/>
        </w:rPr>
        <w:t xml:space="preserve">vychází zejména </w:t>
      </w:r>
      <w:r w:rsidRPr="27A1148F">
        <w:rPr>
          <w:rFonts w:cs="Arial"/>
          <w:sz w:val="24"/>
        </w:rPr>
        <w:t>z dostupných mezinárodních srovnání a provedených národních statistických šetření. V souhrnu lze konstatovat, že i přes zlepšení situace ve zdravotní gramotnosti a míry zapojování občanů do preventivních programů, je úroveň zdravotní gramotnosti zejména v některých skupinách populace nedostatečná a rizikové faktory pro zdraví a rizikové vzorce chování mají v české populaci stále velmi výrazný vliv.</w:t>
      </w:r>
    </w:p>
    <w:p w:rsidR="00A86531" w:rsidRPr="00455E3A" w:rsidP="00A86531" w14:paraId="11539B80" w14:textId="77777777">
      <w:pPr>
        <w:rPr>
          <w:sz w:val="24"/>
        </w:rPr>
      </w:pPr>
      <w:r w:rsidRPr="00455E3A">
        <w:rPr>
          <w:sz w:val="24"/>
        </w:rPr>
        <w:t>Hlavní aktivity a dílčí cíle tohoto specifického cíle byly nastaveny na základě následujících závěrů:</w:t>
      </w:r>
    </w:p>
    <w:p w:rsidR="00A86531" w:rsidRPr="00455E3A" w:rsidP="006C359E" w14:paraId="4F8139F7" w14:textId="77777777">
      <w:pPr>
        <w:pStyle w:val="ListParagraph"/>
        <w:numPr>
          <w:ilvl w:val="0"/>
          <w:numId w:val="59"/>
        </w:numPr>
        <w:autoSpaceDE/>
        <w:autoSpaceDN/>
        <w:adjustRightInd/>
        <w:spacing w:before="0" w:after="0"/>
        <w:contextualSpacing/>
        <w:rPr>
          <w:sz w:val="24"/>
          <w:szCs w:val="24"/>
        </w:rPr>
      </w:pPr>
      <w:r w:rsidRPr="00455E3A">
        <w:rPr>
          <w:sz w:val="24"/>
          <w:szCs w:val="24"/>
        </w:rPr>
        <w:t>Úmrtnost z důvodů preventabilních a léčitelných příčin je v ČR přibližně o 25 % vyšší, než je průměr EU.</w:t>
      </w:r>
    </w:p>
    <w:p w:rsidR="00A86531" w:rsidRPr="00455E3A" w:rsidP="006C359E" w14:paraId="2B99A8FA" w14:textId="77777777">
      <w:pPr>
        <w:pStyle w:val="ListParagraph"/>
        <w:numPr>
          <w:ilvl w:val="0"/>
          <w:numId w:val="59"/>
        </w:numPr>
        <w:autoSpaceDE/>
        <w:autoSpaceDN/>
        <w:adjustRightInd/>
        <w:spacing w:before="0" w:after="0"/>
        <w:contextualSpacing/>
        <w:rPr>
          <w:sz w:val="24"/>
          <w:szCs w:val="24"/>
        </w:rPr>
      </w:pPr>
      <w:r w:rsidRPr="00455E3A">
        <w:rPr>
          <w:sz w:val="24"/>
          <w:szCs w:val="24"/>
        </w:rPr>
        <w:t>Podle analýz publikovaných Evropskou komisí a OECD existuje významný prostor pro prevenci, veřejně-zdravotnické intervence a včasné poskytování efektivních zdravotních služeb zaměřených na včasný záchyt vážných onemocnění.</w:t>
      </w:r>
    </w:p>
    <w:p w:rsidR="00A86531" w:rsidRPr="00455E3A" w:rsidP="006C359E" w14:paraId="40F4360B" w14:textId="77777777">
      <w:pPr>
        <w:pStyle w:val="ListParagraph"/>
        <w:numPr>
          <w:ilvl w:val="0"/>
          <w:numId w:val="59"/>
        </w:numPr>
        <w:autoSpaceDE/>
        <w:autoSpaceDN/>
        <w:adjustRightInd/>
        <w:spacing w:before="0" w:after="0"/>
        <w:contextualSpacing/>
        <w:rPr>
          <w:sz w:val="24"/>
          <w:szCs w:val="24"/>
        </w:rPr>
      </w:pPr>
      <w:r w:rsidRPr="00455E3A">
        <w:rPr>
          <w:sz w:val="24"/>
          <w:szCs w:val="24"/>
        </w:rPr>
        <w:t>Účinná opatření mohou zahrnovat jak primární prevenci, tedy snižování rizikových faktorů a podporu zdraví, tak sekundární prevenci, tedy screening a včasnou diagnostiku vážných onemocnění.</w:t>
      </w:r>
    </w:p>
    <w:p w:rsidR="00A86531" w:rsidRPr="00455E3A" w:rsidP="006C359E" w14:paraId="73CA18D0" w14:textId="77777777">
      <w:pPr>
        <w:pStyle w:val="ListParagraph"/>
        <w:numPr>
          <w:ilvl w:val="0"/>
          <w:numId w:val="59"/>
        </w:numPr>
        <w:autoSpaceDE/>
        <w:autoSpaceDN/>
        <w:adjustRightInd/>
        <w:spacing w:before="0" w:after="0"/>
        <w:contextualSpacing/>
        <w:rPr>
          <w:sz w:val="24"/>
          <w:szCs w:val="24"/>
        </w:rPr>
      </w:pPr>
      <w:r w:rsidRPr="00455E3A">
        <w:rPr>
          <w:sz w:val="24"/>
          <w:szCs w:val="24"/>
        </w:rPr>
        <w:t>Preventivní a screeningové programy, přestože jsou plně hrazené z veřejného zdravotního pojištění a nabízené v širokém rozsahu, nejsou populací dostatečně využívané.</w:t>
      </w:r>
    </w:p>
    <w:p w:rsidR="00A86531" w:rsidP="00A86531" w14:paraId="2B26D515" w14:textId="77777777">
      <w:pPr>
        <w:rPr>
          <w:sz w:val="24"/>
        </w:rPr>
      </w:pPr>
      <w:r w:rsidRPr="00455E3A">
        <w:rPr>
          <w:sz w:val="24"/>
        </w:rPr>
        <w:t>V oblasti sekundární prevence onemocnění je nezbytné dále posilovat organizační roli státu v implementaci a zajištění kvality, posilovat informování populace včetně adresného zvaní a efektivně zavádět nové programy založené na nově získaných vědeckých poznatcích.</w:t>
      </w:r>
    </w:p>
    <w:p w:rsidR="27A1148F" w:rsidP="27A1148F" w14:paraId="1D00786B" w14:textId="1F6502C0">
      <w:pPr>
        <w:rPr>
          <w:sz w:val="24"/>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09D88E97"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845"/>
          <w:tblHeader/>
        </w:trPr>
        <w:tc>
          <w:tcPr>
            <w:tcW w:w="215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8401F5" w:rsidP="00B56B1A" w14:paraId="0CED0D6E" w14:textId="77777777">
            <w:pPr>
              <w:jc w:val="left"/>
              <w:rPr>
                <w:rFonts w:cs="Times New Roman"/>
                <w:sz w:val="24"/>
              </w:rPr>
            </w:pPr>
            <w:r>
              <w:rPr>
                <w:rFonts w:cs="Times New Roman"/>
                <w:sz w:val="24"/>
              </w:rPr>
              <w:br w:type="page"/>
            </w:r>
          </w:p>
          <w:p w:rsidR="00D2750E" w:rsidRPr="00A955AF" w:rsidP="00B56B1A" w14:paraId="0B9C5672" w14:textId="741962B7">
            <w:pPr>
              <w:jc w:val="left"/>
              <w:rPr>
                <w:rFonts w:eastAsiaTheme="minorHAnsi" w:cs="Arial"/>
                <w:b/>
                <w:color w:val="205493"/>
                <w:sz w:val="24"/>
              </w:rPr>
            </w:pPr>
            <w:r w:rsidRPr="00A955AF">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CCFFCC"/>
            <w:vAlign w:val="center"/>
            <w:hideMark/>
          </w:tcPr>
          <w:p w:rsidR="00D2750E" w:rsidRPr="00A955AF" w:rsidP="00B56B1A" w14:paraId="07ACFA15" w14:textId="16BFC3A8">
            <w:pPr>
              <w:pStyle w:val="Default"/>
              <w:numPr>
                <w:ilvl w:val="1"/>
                <w:numId w:val="11"/>
              </w:numPr>
              <w:rPr>
                <w:rFonts w:eastAsia="Times New Roman" w:asciiTheme="minorHAnsi" w:hAnsiTheme="minorHAnsi"/>
                <w:b/>
                <w:bCs/>
                <w:color w:val="205493"/>
              </w:rPr>
            </w:pPr>
            <w:r w:rsidRPr="00552ED5">
              <w:rPr>
                <w:rFonts w:asciiTheme="minorHAnsi" w:hAnsiTheme="minorHAnsi"/>
                <w:b/>
                <w:bCs/>
                <w:color w:val="205493"/>
              </w:rPr>
              <w:t>Sekundární prevence a screeningové programy</w:t>
            </w:r>
          </w:p>
        </w:tc>
        <w:tc>
          <w:tcPr>
            <w:tcW w:w="929" w:type="dxa"/>
            <w:tcBorders>
              <w:top w:val="single" w:sz="4" w:space="0" w:color="auto"/>
              <w:left w:val="nil"/>
              <w:bottom w:val="single" w:sz="4" w:space="0" w:color="auto"/>
              <w:right w:val="single" w:sz="4" w:space="0" w:color="auto"/>
            </w:tcBorders>
            <w:shd w:val="clear" w:color="auto" w:fill="CCFFCC"/>
            <w:vAlign w:val="center"/>
          </w:tcPr>
          <w:p w:rsidR="00D2750E" w:rsidRPr="00A955AF" w:rsidP="00B56B1A" w14:paraId="1202A09E" w14:textId="38B9BAC7">
            <w:pPr>
              <w:pStyle w:val="Default"/>
              <w:jc w:val="right"/>
              <w:rPr>
                <w:rFonts w:eastAsia="Times New Roman" w:asciiTheme="minorHAnsi" w:hAnsiTheme="minorHAnsi"/>
                <w:b/>
                <w:bCs/>
                <w:color w:val="205493"/>
              </w:rPr>
            </w:pPr>
          </w:p>
        </w:tc>
      </w:tr>
      <w:tr w14:paraId="01C2B09A" w14:textId="77777777" w:rsidTr="27A1148F">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53E2EB61" w14:textId="77777777">
            <w:pPr>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tcPr>
          <w:p w:rsidR="00455E3A" w:rsidRPr="00455E3A" w:rsidP="006F16E1" w14:paraId="264EA45E" w14:textId="77777777">
            <w:pPr>
              <w:pStyle w:val="NormalWeb"/>
              <w:jc w:val="both"/>
              <w:rPr>
                <w:rFonts w:asciiTheme="minorHAnsi" w:hAnsiTheme="minorHAnsi" w:cstheme="minorHAnsi"/>
                <w:color w:val="000000"/>
              </w:rPr>
            </w:pPr>
            <w:r w:rsidRPr="00455E3A">
              <w:rPr>
                <w:rFonts w:asciiTheme="minorHAnsi" w:hAnsiTheme="minorHAnsi" w:cstheme="minorHAnsi"/>
                <w:color w:val="000000"/>
              </w:rPr>
              <w:t>1.2.1. Zajištění a rozvoj metodického a personálního zázemí pro podporu sekundární prevence a nastavení její řídící struktury vč. rozvoje institucionálního zázemí</w:t>
            </w:r>
          </w:p>
          <w:p w:rsidR="00455E3A" w:rsidRPr="00455E3A" w:rsidP="006F16E1" w14:paraId="320469C4" w14:textId="77777777">
            <w:pPr>
              <w:pStyle w:val="NormalWeb"/>
              <w:jc w:val="both"/>
              <w:rPr>
                <w:rFonts w:asciiTheme="minorHAnsi" w:hAnsiTheme="minorHAnsi" w:cstheme="minorHAnsi"/>
                <w:color w:val="000000"/>
              </w:rPr>
            </w:pPr>
            <w:r w:rsidRPr="00455E3A">
              <w:rPr>
                <w:rFonts w:asciiTheme="minorHAnsi" w:hAnsiTheme="minorHAnsi" w:cstheme="minorHAnsi"/>
                <w:color w:val="000000"/>
              </w:rPr>
              <w:t xml:space="preserve">1.2.2. Zajištění a rozvoj datového a analytického zázemí pro podporu sekundární prevence </w:t>
            </w:r>
          </w:p>
          <w:p w:rsidR="00455E3A" w:rsidRPr="00455E3A" w:rsidP="006F16E1" w14:paraId="6E5A3FD8" w14:textId="77777777">
            <w:pPr>
              <w:pStyle w:val="NormalWeb"/>
              <w:jc w:val="both"/>
              <w:rPr>
                <w:rFonts w:asciiTheme="minorHAnsi" w:hAnsiTheme="minorHAnsi" w:cstheme="minorHAnsi"/>
                <w:color w:val="000000"/>
              </w:rPr>
            </w:pPr>
            <w:r w:rsidRPr="00455E3A">
              <w:rPr>
                <w:rFonts w:asciiTheme="minorHAnsi" w:hAnsiTheme="minorHAnsi" w:cstheme="minorHAnsi"/>
                <w:color w:val="000000"/>
              </w:rPr>
              <w:t>1.2.3 Podpora a optimalizace zavedených organizovaných programů screeningu vč. očkování proti HPV a zavádění vhodných celoplošných programů screeningu vážených onemocnění</w:t>
            </w:r>
          </w:p>
          <w:p w:rsidR="00455E3A" w:rsidRPr="00455E3A" w:rsidP="006F16E1" w14:paraId="175031CA" w14:textId="77777777">
            <w:pPr>
              <w:pStyle w:val="NormalWeb"/>
              <w:jc w:val="both"/>
              <w:rPr>
                <w:rFonts w:asciiTheme="minorHAnsi" w:hAnsiTheme="minorHAnsi" w:cstheme="minorHAnsi"/>
                <w:color w:val="000000"/>
              </w:rPr>
            </w:pPr>
            <w:r w:rsidRPr="00455E3A">
              <w:rPr>
                <w:rFonts w:asciiTheme="minorHAnsi" w:hAnsiTheme="minorHAnsi" w:cstheme="minorHAnsi"/>
                <w:color w:val="000000"/>
              </w:rPr>
              <w:t>1.2.4. Realizace pilotních projektů časného záchytu onemocnění</w:t>
            </w:r>
          </w:p>
          <w:p w:rsidR="00455E3A" w:rsidRPr="00455E3A" w:rsidP="006F16E1" w14:paraId="7A92D0A5" w14:textId="6987619B">
            <w:pPr>
              <w:pStyle w:val="NormalWeb"/>
              <w:jc w:val="both"/>
              <w:rPr>
                <w:rFonts w:asciiTheme="minorHAnsi" w:hAnsiTheme="minorHAnsi" w:cstheme="minorHAnsi"/>
                <w:color w:val="000000"/>
              </w:rPr>
            </w:pPr>
            <w:r w:rsidRPr="00455E3A">
              <w:rPr>
                <w:rFonts w:asciiTheme="minorHAnsi" w:hAnsiTheme="minorHAnsi" w:cstheme="minorHAnsi"/>
                <w:color w:val="000000"/>
              </w:rPr>
              <w:t>1.2.5. Zavádění a podpora nástrojů elektronizace zdravotnictví v</w:t>
            </w:r>
            <w:r w:rsidR="006F16E1">
              <w:rPr>
                <w:rFonts w:asciiTheme="minorHAnsi" w:hAnsiTheme="minorHAnsi" w:cstheme="minorHAnsi"/>
                <w:color w:val="000000"/>
              </w:rPr>
              <w:t> </w:t>
            </w:r>
            <w:r w:rsidRPr="00455E3A">
              <w:rPr>
                <w:rFonts w:asciiTheme="minorHAnsi" w:hAnsiTheme="minorHAnsi" w:cstheme="minorHAnsi"/>
                <w:color w:val="000000"/>
              </w:rPr>
              <w:t>oblasti prevence</w:t>
            </w:r>
          </w:p>
          <w:p w:rsidR="00455E3A" w:rsidRPr="00455E3A" w:rsidP="006F16E1" w14:paraId="6D5B47F8" w14:textId="77777777">
            <w:pPr>
              <w:pStyle w:val="NormalWeb"/>
              <w:jc w:val="both"/>
              <w:rPr>
                <w:rFonts w:asciiTheme="minorHAnsi" w:hAnsiTheme="minorHAnsi" w:cstheme="minorHAnsi"/>
                <w:color w:val="000000"/>
              </w:rPr>
            </w:pPr>
            <w:r w:rsidRPr="00455E3A">
              <w:rPr>
                <w:rFonts w:asciiTheme="minorHAnsi" w:hAnsiTheme="minorHAnsi" w:cstheme="minorHAnsi"/>
                <w:color w:val="000000"/>
              </w:rPr>
              <w:t>1.2.6. Rozvoj mezinárodní spolupráce a vědeckého zázemí v oblasti sekundární prevence vč. očkování proti HPV</w:t>
            </w:r>
          </w:p>
          <w:p w:rsidR="00455E3A" w:rsidRPr="00455E3A" w:rsidP="006F16E1" w14:paraId="61E4E303" w14:textId="01B451F6">
            <w:pPr>
              <w:pStyle w:val="NormalWeb"/>
              <w:jc w:val="both"/>
              <w:rPr>
                <w:rFonts w:asciiTheme="minorHAnsi" w:hAnsiTheme="minorHAnsi" w:cstheme="minorHAnsi"/>
                <w:color w:val="000000"/>
              </w:rPr>
            </w:pPr>
            <w:r w:rsidRPr="00455E3A">
              <w:rPr>
                <w:rFonts w:asciiTheme="minorHAnsi" w:hAnsiTheme="minorHAnsi" w:cstheme="minorHAnsi"/>
                <w:color w:val="000000"/>
              </w:rPr>
              <w:t>1.2.7. Realizace vzdělávacích aktivit a zajištění informovanosti o</w:t>
            </w:r>
            <w:r w:rsidR="006F16E1">
              <w:rPr>
                <w:rFonts w:asciiTheme="minorHAnsi" w:hAnsiTheme="minorHAnsi" w:cstheme="minorHAnsi"/>
                <w:color w:val="000000"/>
              </w:rPr>
              <w:t> </w:t>
            </w:r>
            <w:r w:rsidRPr="00455E3A">
              <w:rPr>
                <w:rFonts w:asciiTheme="minorHAnsi" w:hAnsiTheme="minorHAnsi" w:cstheme="minorHAnsi"/>
                <w:color w:val="000000"/>
              </w:rPr>
              <w:t>sekundární prevenci vč. očkování proti HPV pro odbornou i laickou veřejnost</w:t>
            </w:r>
          </w:p>
          <w:p w:rsidR="00455E3A" w:rsidRPr="00455E3A" w:rsidP="006F16E1" w14:paraId="24E5D5EA" w14:textId="77777777">
            <w:pPr>
              <w:pStyle w:val="NormalWeb"/>
              <w:jc w:val="both"/>
              <w:rPr>
                <w:rFonts w:asciiTheme="minorHAnsi" w:hAnsiTheme="minorHAnsi" w:cstheme="minorHAnsi"/>
                <w:color w:val="000000"/>
              </w:rPr>
            </w:pPr>
            <w:r w:rsidRPr="00455E3A">
              <w:rPr>
                <w:rFonts w:asciiTheme="minorHAnsi" w:hAnsiTheme="minorHAnsi" w:cstheme="minorHAnsi"/>
                <w:color w:val="000000"/>
              </w:rPr>
              <w:t>1.2.8. Vybudování vzorového centra prevence ve vybraném zdravotnickém zařízení</w:t>
            </w:r>
          </w:p>
          <w:p w:rsidR="00D2750E" w:rsidRPr="0077505D" w:rsidP="006F16E1" w14:paraId="3D1C4CFF" w14:textId="204C3419">
            <w:pPr>
              <w:pStyle w:val="NormalWeb"/>
              <w:jc w:val="both"/>
              <w:rPr>
                <w:rFonts w:cstheme="minorHAnsi"/>
                <w:color w:val="000000"/>
              </w:rPr>
            </w:pPr>
            <w:r w:rsidRPr="00455E3A">
              <w:rPr>
                <w:rFonts w:asciiTheme="minorHAnsi" w:hAnsiTheme="minorHAnsi" w:cstheme="minorHAnsi"/>
                <w:color w:val="000000"/>
              </w:rPr>
              <w:t>1.2.9 Podpora časného záchytu nežádoucích stavů ve všech dalších oblastech prevence (primární i terciární) a podpora správného managementu onemocnění</w:t>
            </w:r>
          </w:p>
        </w:tc>
      </w:tr>
      <w:tr w14:paraId="282E510F"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24FDAEE2" w14:textId="77777777">
            <w:pPr>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55E3A" w:rsidRPr="008401F5" w:rsidP="006C359E" w14:paraId="53944F24" w14:textId="77777777">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Nastavení koncepce preventivních intervencí pokrývající propojený komplex primární, sekundární a terciální prevence.</w:t>
            </w:r>
          </w:p>
          <w:p w:rsidR="00455E3A" w:rsidRPr="008401F5" w:rsidP="006C359E" w14:paraId="7BACE9E6" w14:textId="77777777">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Vybudování a další rozvoj Národního screeningového centra.</w:t>
            </w:r>
          </w:p>
          <w:p w:rsidR="00455E3A" w:rsidRPr="008401F5" w:rsidP="006C359E" w14:paraId="339603E2" w14:textId="77777777">
            <w:pPr>
              <w:pStyle w:val="ListParagraph"/>
              <w:numPr>
                <w:ilvl w:val="0"/>
                <w:numId w:val="35"/>
              </w:numPr>
              <w:autoSpaceDE/>
              <w:autoSpaceDN/>
              <w:adjustRightInd/>
              <w:spacing w:before="0" w:after="0"/>
              <w:contextualSpacing/>
              <w:rPr>
                <w:rFonts w:ascii="Arial" w:hAnsi="Arial" w:cs="Arial"/>
                <w:b/>
                <w:bCs w:val="0"/>
                <w:sz w:val="24"/>
                <w:szCs w:val="24"/>
              </w:rPr>
            </w:pPr>
            <w:r w:rsidRPr="008401F5">
              <w:rPr>
                <w:rFonts w:cstheme="minorHAnsi"/>
                <w:sz w:val="24"/>
                <w:szCs w:val="24"/>
              </w:rPr>
              <w:t>Optimalizace a zvyšování kvality plošných screeningových programů.</w:t>
            </w:r>
          </w:p>
          <w:p w:rsidR="00D2750E" w:rsidRPr="008401F5" w:rsidP="006C359E" w14:paraId="61439877" w14:textId="77777777">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 xml:space="preserve">Zavádění nových programů časného záchytu onemocnění (včetně vzácných onemocnění) založených na vědeckých poznatcích. </w:t>
            </w:r>
          </w:p>
          <w:p w:rsidR="00455E3A" w:rsidRPr="008401F5" w:rsidP="006C359E" w14:paraId="48140565" w14:textId="77777777">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Vývoj a kultivace datové základny realizace screeningových programů</w:t>
            </w:r>
          </w:p>
          <w:p w:rsidR="00455E3A" w:rsidRPr="008401F5" w:rsidP="006C359E" w14:paraId="596FE59E" w14:textId="2231DF44">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Rozvoj doporučených postupů, hodnocení kvality a</w:t>
            </w:r>
            <w:r w:rsidR="007E3FBE">
              <w:rPr>
                <w:rFonts w:cstheme="minorHAnsi"/>
                <w:sz w:val="24"/>
                <w:szCs w:val="24"/>
              </w:rPr>
              <w:t> </w:t>
            </w:r>
            <w:r w:rsidRPr="008401F5">
              <w:rPr>
                <w:rFonts w:cstheme="minorHAnsi"/>
                <w:sz w:val="24"/>
                <w:szCs w:val="24"/>
              </w:rPr>
              <w:t>akreditace screeningových center</w:t>
            </w:r>
          </w:p>
          <w:p w:rsidR="00455E3A" w:rsidRPr="008401F5" w:rsidP="006C359E" w14:paraId="7C3343BA" w14:textId="77777777">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Vznik a rozvoj nástroje pro sdílení individuálních dat občanům v oblasti preventivních a screeningových programů</w:t>
            </w:r>
          </w:p>
          <w:p w:rsidR="008401F5" w:rsidRPr="008401F5" w:rsidP="006C359E" w14:paraId="406FE225" w14:textId="77777777">
            <w:pPr>
              <w:pStyle w:val="ListParagraph"/>
              <w:numPr>
                <w:ilvl w:val="0"/>
                <w:numId w:val="35"/>
              </w:numPr>
              <w:autoSpaceDE/>
              <w:autoSpaceDN/>
              <w:adjustRightInd/>
              <w:spacing w:before="0" w:after="0"/>
              <w:contextualSpacing/>
              <w:rPr>
                <w:rFonts w:cstheme="minorHAnsi"/>
                <w:sz w:val="24"/>
                <w:szCs w:val="24"/>
              </w:rPr>
            </w:pPr>
            <w:r w:rsidRPr="008401F5">
              <w:rPr>
                <w:rFonts w:cstheme="minorHAnsi"/>
                <w:sz w:val="24"/>
                <w:szCs w:val="24"/>
              </w:rPr>
              <w:t>Vznik a rozvoj nástroje pro možnost objednávání se na preventivní a screeningové vyšetření.</w:t>
            </w:r>
          </w:p>
          <w:p w:rsidR="008401F5" w:rsidRPr="00455E3A" w:rsidP="006C359E" w14:paraId="58E01910" w14:textId="1F4376D1">
            <w:pPr>
              <w:pStyle w:val="ListParagraph"/>
              <w:numPr>
                <w:ilvl w:val="0"/>
                <w:numId w:val="35"/>
              </w:numPr>
              <w:autoSpaceDE/>
              <w:autoSpaceDN/>
              <w:adjustRightInd/>
              <w:spacing w:before="0" w:after="0"/>
              <w:contextualSpacing/>
              <w:rPr>
                <w:rFonts w:cstheme="minorHAnsi"/>
              </w:rPr>
            </w:pPr>
            <w:r w:rsidRPr="008401F5">
              <w:rPr>
                <w:rFonts w:cstheme="minorHAnsi"/>
                <w:sz w:val="24"/>
                <w:szCs w:val="24"/>
              </w:rPr>
              <w:t>Vznik a rozvoj nástroje pro sdílení individuálních dat pacientů mezi relevantními lékaři v oblasti preventivních a screeningových programů</w:t>
            </w:r>
          </w:p>
        </w:tc>
      </w:tr>
      <w:tr w14:paraId="37FFF524"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646E3A53" w14:textId="77777777">
            <w:pPr>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73C06C19" w14:textId="53157629">
            <w:pPr>
              <w:rPr>
                <w:rFonts w:eastAsiaTheme="minorHAnsi" w:cs="Arial"/>
                <w:sz w:val="24"/>
              </w:rPr>
            </w:pPr>
            <w:r>
              <w:rPr>
                <w:rFonts w:cs="Arial"/>
                <w:sz w:val="24"/>
              </w:rPr>
              <w:t>ÚZIS – Rada</w:t>
            </w:r>
            <w:r w:rsidR="008401F5">
              <w:rPr>
                <w:rFonts w:cs="Arial"/>
                <w:sz w:val="24"/>
              </w:rPr>
              <w:t xml:space="preserve"> NSC</w:t>
            </w:r>
          </w:p>
        </w:tc>
      </w:tr>
      <w:tr w14:paraId="34AB989E"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1FD2283E" w14:textId="77777777">
            <w:pPr>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5C5E9CA0" w14:textId="7962F3F5">
            <w:pPr>
              <w:rPr>
                <w:rFonts w:eastAsiaTheme="minorHAnsi" w:cs="Arial"/>
                <w:sz w:val="24"/>
              </w:rPr>
            </w:pPr>
            <w:r w:rsidRPr="00A955AF">
              <w:rPr>
                <w:rFonts w:cs="Arial"/>
                <w:sz w:val="24"/>
              </w:rPr>
              <w:t xml:space="preserve">SZÚ, </w:t>
            </w:r>
            <w:r>
              <w:rPr>
                <w:rFonts w:cs="Arial"/>
                <w:sz w:val="24"/>
              </w:rPr>
              <w:t xml:space="preserve">KHS, IPVZ, NCO NZO, AZV, </w:t>
            </w:r>
            <w:r w:rsidRPr="00A955AF">
              <w:rPr>
                <w:rFonts w:cs="Arial"/>
                <w:sz w:val="24"/>
              </w:rPr>
              <w:t>MPSV,</w:t>
            </w:r>
            <w:r>
              <w:rPr>
                <w:rFonts w:cs="Arial"/>
                <w:sz w:val="24"/>
              </w:rPr>
              <w:t xml:space="preserve"> MZe,</w:t>
            </w:r>
            <w:r w:rsidRPr="00A955AF">
              <w:rPr>
                <w:rFonts w:cs="Arial"/>
                <w:sz w:val="24"/>
              </w:rPr>
              <w:t xml:space="preserve"> MŽP, MMR, MŠMT, MV,</w:t>
            </w:r>
            <w:r>
              <w:rPr>
                <w:rFonts w:cs="Arial"/>
                <w:sz w:val="24"/>
              </w:rPr>
              <w:t xml:space="preserve"> ÚV,</w:t>
            </w:r>
            <w:r w:rsidRPr="00A955AF">
              <w:rPr>
                <w:rFonts w:cs="Arial"/>
                <w:sz w:val="24"/>
              </w:rPr>
              <w:t xml:space="preserve"> ČLS JEP, NSZM kraje – krajské úřady, nevládní sektor, pacientské organizace, municipality, zdravotní pojišťovny, Svaz měst a obcí ČR a Sdružení místních samospráv, NÚKIB</w:t>
            </w:r>
            <w:r>
              <w:rPr>
                <w:rFonts w:cs="Arial"/>
                <w:sz w:val="24"/>
              </w:rPr>
              <w:t>, lékařské fakulty, profesní organizace,</w:t>
            </w:r>
            <w:r w:rsidR="006563C0">
              <w:t xml:space="preserve"> </w:t>
            </w:r>
            <w:r w:rsidRPr="006563C0" w:rsidR="006563C0">
              <w:rPr>
                <w:rFonts w:cs="Arial"/>
                <w:sz w:val="24"/>
              </w:rPr>
              <w:t>ÚSKVBL</w:t>
            </w:r>
            <w:r>
              <w:rPr>
                <w:rFonts w:cs="Arial"/>
                <w:sz w:val="24"/>
              </w:rPr>
              <w:t>, PZS, NNO</w:t>
            </w:r>
          </w:p>
        </w:tc>
      </w:tr>
      <w:tr w14:paraId="25892A2F" w14:textId="77777777" w:rsidTr="27A1148F">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360AADDB" w14:textId="77777777">
            <w:pPr>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8401F5" w:rsidP="00B56B1A" w14:paraId="55132D55" w14:textId="6DE34CD3">
            <w:pPr>
              <w:rPr>
                <w:rFonts w:cs="Arial"/>
                <w:sz w:val="24"/>
              </w:rPr>
            </w:pPr>
            <w:r w:rsidRPr="00A955AF">
              <w:rPr>
                <w:rFonts w:cs="Arial"/>
                <w:sz w:val="24"/>
              </w:rPr>
              <w:t>1.1</w:t>
            </w:r>
            <w:r w:rsidRPr="00A955AF">
              <w:rPr>
                <w:rFonts w:cs="Arial"/>
                <w:sz w:val="24"/>
              </w:rPr>
              <w:tab/>
            </w:r>
            <w:r>
              <w:rPr>
                <w:rFonts w:cs="Arial"/>
                <w:sz w:val="24"/>
              </w:rPr>
              <w:t>Primární prevence a ochrana veřejného zdraví</w:t>
            </w:r>
          </w:p>
          <w:p w:rsidR="00D2750E" w:rsidRPr="00A955AF" w:rsidP="00B56B1A" w14:paraId="52BC76D6" w14:textId="41D9F75B">
            <w:pPr>
              <w:rPr>
                <w:rFonts w:eastAsiaTheme="minorHAnsi" w:cs="Arial"/>
                <w:sz w:val="24"/>
              </w:rPr>
            </w:pPr>
            <w:r>
              <w:rPr>
                <w:rFonts w:cs="Arial"/>
                <w:sz w:val="24"/>
              </w:rPr>
              <w:t xml:space="preserve">2.1       </w:t>
            </w:r>
            <w:r w:rsidRPr="00A955AF">
              <w:rPr>
                <w:rFonts w:cs="Arial"/>
                <w:sz w:val="24"/>
              </w:rPr>
              <w:t>Reforma primární péče</w:t>
            </w:r>
          </w:p>
          <w:p w:rsidR="00D2750E" w:rsidRPr="00A955AF" w:rsidP="00B56B1A" w14:paraId="2327C623" w14:textId="77777777">
            <w:pPr>
              <w:rPr>
                <w:rFonts w:cs="Arial"/>
                <w:sz w:val="24"/>
              </w:rPr>
            </w:pPr>
            <w:r w:rsidRPr="00A955AF">
              <w:rPr>
                <w:rFonts w:cs="Arial"/>
                <w:sz w:val="24"/>
              </w:rPr>
              <w:t>2.3</w:t>
            </w:r>
            <w:r w:rsidRPr="00A955AF">
              <w:rPr>
                <w:rFonts w:cs="Arial"/>
                <w:sz w:val="24"/>
              </w:rPr>
              <w:tab/>
              <w:t>Digitalizace zdravotnictví</w:t>
            </w:r>
          </w:p>
          <w:p w:rsidR="00D2750E" w:rsidRPr="00A955AF" w:rsidP="00B56B1A" w14:paraId="47E8F0C0" w14:textId="77777777">
            <w:pPr>
              <w:rPr>
                <w:rFonts w:cs="Arial"/>
                <w:sz w:val="24"/>
              </w:rPr>
            </w:pPr>
            <w:r w:rsidRPr="00A955AF">
              <w:rPr>
                <w:rFonts w:cs="Arial"/>
                <w:sz w:val="24"/>
              </w:rPr>
              <w:t>2.4</w:t>
            </w:r>
            <w:r w:rsidRPr="00A955AF">
              <w:rPr>
                <w:rFonts w:cs="Arial"/>
                <w:sz w:val="24"/>
              </w:rPr>
              <w:tab/>
              <w:t>Optimalizace systému úhrad ve zdravotnictví</w:t>
            </w:r>
          </w:p>
          <w:p w:rsidR="00D2750E" w:rsidRPr="00A955AF" w:rsidP="00B56B1A" w14:paraId="4E68CCE4" w14:textId="77777777">
            <w:pPr>
              <w:ind w:left="743" w:hanging="743"/>
              <w:rPr>
                <w:rFonts w:eastAsiaTheme="minorHAnsi" w:cs="Arial"/>
                <w:sz w:val="24"/>
              </w:rPr>
            </w:pPr>
            <w:r w:rsidRPr="00A955AF">
              <w:rPr>
                <w:rFonts w:cs="Arial"/>
                <w:sz w:val="24"/>
              </w:rPr>
              <w:t>3.1</w:t>
            </w:r>
            <w:r w:rsidRPr="00A955AF">
              <w:rPr>
                <w:rFonts w:cs="Arial"/>
                <w:sz w:val="24"/>
              </w:rPr>
              <w:tab/>
              <w:t>Zapojení vědy a výzkumu do řešení prioritních úkolů zdravotnictví</w:t>
            </w:r>
          </w:p>
        </w:tc>
      </w:tr>
      <w:tr w14:paraId="5057BC65"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1A24215F" w14:textId="77777777">
            <w:pPr>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2750E" w:rsidRPr="00A955AF" w:rsidP="007E3FBE" w14:paraId="7720FA3F" w14:textId="77777777">
            <w:pPr>
              <w:tabs>
                <w:tab w:val="num" w:pos="585"/>
              </w:tabs>
              <w:overflowPunct w:val="0"/>
              <w:autoSpaceDE w:val="0"/>
              <w:autoSpaceDN w:val="0"/>
              <w:adjustRightInd w:val="0"/>
              <w:rPr>
                <w:rFonts w:cs="Arial"/>
                <w:sz w:val="24"/>
              </w:rPr>
            </w:pPr>
            <w:r w:rsidRPr="00A955AF">
              <w:rPr>
                <w:rFonts w:cs="Arial"/>
                <w:sz w:val="24"/>
              </w:rPr>
              <w:t xml:space="preserve">Na úrovni dopadu: </w:t>
            </w:r>
          </w:p>
          <w:p w:rsidR="008401F5" w:rsidRPr="008401F5" w:rsidP="007E3FBE" w14:paraId="703DEF3B" w14:textId="77777777">
            <w:pPr>
              <w:pStyle w:val="ListParagraph"/>
              <w:numPr>
                <w:ilvl w:val="0"/>
                <w:numId w:val="30"/>
              </w:numPr>
              <w:overflowPunct w:val="0"/>
              <w:spacing w:before="0"/>
              <w:contextualSpacing/>
              <w:rPr>
                <w:rFonts w:cs="Arial"/>
                <w:sz w:val="24"/>
                <w:szCs w:val="24"/>
              </w:rPr>
            </w:pPr>
            <w:r w:rsidRPr="008401F5">
              <w:rPr>
                <w:rFonts w:cs="Arial"/>
                <w:sz w:val="24"/>
                <w:szCs w:val="24"/>
              </w:rPr>
              <w:t>Pokrytí populace screeningem kolorektálního karcinomu</w:t>
            </w:r>
          </w:p>
          <w:p w:rsidR="00D2750E" w:rsidP="007E3FBE" w14:paraId="6A026FA9" w14:textId="30463193">
            <w:pPr>
              <w:pStyle w:val="ListParagraph"/>
              <w:numPr>
                <w:ilvl w:val="0"/>
                <w:numId w:val="30"/>
              </w:numPr>
              <w:overflowPunct w:val="0"/>
              <w:spacing w:before="0"/>
              <w:contextualSpacing/>
              <w:rPr>
                <w:rFonts w:cs="Arial"/>
                <w:sz w:val="24"/>
                <w:szCs w:val="24"/>
              </w:rPr>
            </w:pPr>
            <w:r w:rsidRPr="008401F5">
              <w:rPr>
                <w:rFonts w:cs="Arial"/>
                <w:sz w:val="24"/>
                <w:szCs w:val="24"/>
              </w:rPr>
              <w:t>Počet osob, které byly osloveny do programu časného záchytu karcinomu plic a dalších plicních onemocnění</w:t>
            </w:r>
          </w:p>
          <w:p w:rsidR="008401F5" w:rsidRPr="008401F5" w:rsidP="007E3FBE" w14:paraId="6BEA3845" w14:textId="13914896">
            <w:pPr>
              <w:pStyle w:val="ListParagraph"/>
              <w:numPr>
                <w:ilvl w:val="0"/>
                <w:numId w:val="30"/>
              </w:numPr>
              <w:overflowPunct w:val="0"/>
              <w:spacing w:before="0"/>
              <w:contextualSpacing/>
              <w:rPr>
                <w:rFonts w:cs="Arial"/>
                <w:sz w:val="24"/>
                <w:szCs w:val="24"/>
              </w:rPr>
            </w:pPr>
            <w:r w:rsidRPr="008401F5">
              <w:rPr>
                <w:rFonts w:cs="Arial"/>
                <w:sz w:val="24"/>
                <w:szCs w:val="24"/>
              </w:rPr>
              <w:t>Pokrytí populace screeningovým programem časného záchytu karcinomu prostaty</w:t>
            </w:r>
          </w:p>
          <w:p w:rsidR="00D2750E" w:rsidRPr="00A955AF" w:rsidP="007E3FBE" w14:paraId="7A828374" w14:textId="77777777">
            <w:pPr>
              <w:tabs>
                <w:tab w:val="num" w:pos="585"/>
              </w:tabs>
              <w:overflowPunct w:val="0"/>
              <w:autoSpaceDE w:val="0"/>
              <w:autoSpaceDN w:val="0"/>
              <w:adjustRightInd w:val="0"/>
              <w:rPr>
                <w:rFonts w:cs="Arial"/>
                <w:sz w:val="24"/>
              </w:rPr>
            </w:pPr>
            <w:r w:rsidRPr="00A955AF">
              <w:rPr>
                <w:rFonts w:cs="Arial"/>
                <w:sz w:val="24"/>
              </w:rPr>
              <w:t>Na úrovni výsledků/výstupů:</w:t>
            </w:r>
          </w:p>
          <w:p w:rsidR="006F16E1" w:rsidRPr="006F16E1" w:rsidP="007E3FBE" w14:paraId="469EE3E9" w14:textId="77777777">
            <w:pPr>
              <w:pStyle w:val="ListParagraph"/>
              <w:numPr>
                <w:ilvl w:val="0"/>
                <w:numId w:val="30"/>
              </w:numPr>
              <w:overflowPunct w:val="0"/>
              <w:spacing w:before="0"/>
              <w:contextualSpacing/>
              <w:rPr>
                <w:rFonts w:cs="Arial"/>
                <w:sz w:val="24"/>
                <w:szCs w:val="24"/>
              </w:rPr>
            </w:pPr>
            <w:r w:rsidRPr="006F16E1">
              <w:rPr>
                <w:rFonts w:cs="Arial"/>
                <w:sz w:val="24"/>
                <w:szCs w:val="24"/>
              </w:rPr>
              <w:t xml:space="preserve">Počet zavedených programů časného záchytu onemocnění </w:t>
            </w:r>
          </w:p>
          <w:p w:rsidR="00716062" w:rsidRPr="006F16E1" w:rsidP="007E3FBE" w14:paraId="31A0DD90" w14:textId="20AA76DE">
            <w:pPr>
              <w:pStyle w:val="ListParagraph"/>
              <w:numPr>
                <w:ilvl w:val="0"/>
                <w:numId w:val="30"/>
              </w:numPr>
              <w:overflowPunct w:val="0"/>
              <w:spacing w:before="0"/>
              <w:contextualSpacing/>
              <w:rPr>
                <w:rFonts w:cs="Arial"/>
                <w:sz w:val="24"/>
                <w:szCs w:val="24"/>
              </w:rPr>
            </w:pPr>
            <w:r w:rsidRPr="006F16E1">
              <w:rPr>
                <w:rFonts w:cs="Arial"/>
                <w:sz w:val="24"/>
                <w:szCs w:val="24"/>
              </w:rPr>
              <w:t>Počet registrů ke screeningu a datový portál</w:t>
            </w:r>
          </w:p>
          <w:p w:rsidR="006F16E1" w:rsidRPr="006F16E1" w:rsidP="007E3FBE" w14:paraId="5DC578D1" w14:textId="77777777">
            <w:pPr>
              <w:pStyle w:val="ListParagraph"/>
              <w:numPr>
                <w:ilvl w:val="0"/>
                <w:numId w:val="30"/>
              </w:numPr>
              <w:overflowPunct w:val="0"/>
              <w:spacing w:before="0"/>
              <w:contextualSpacing/>
              <w:rPr>
                <w:rFonts w:cs="Arial"/>
                <w:sz w:val="24"/>
                <w:szCs w:val="24"/>
              </w:rPr>
            </w:pPr>
            <w:r w:rsidRPr="006F16E1">
              <w:rPr>
                <w:rFonts w:cs="Arial"/>
                <w:sz w:val="24"/>
                <w:szCs w:val="24"/>
              </w:rPr>
              <w:t>Počet vytvořených projektů časného záchytu onemocnění</w:t>
            </w:r>
          </w:p>
          <w:p w:rsidR="00716062" w:rsidRPr="008401F5" w:rsidP="007E3FBE" w14:paraId="1DE0B3A0" w14:textId="03E0490F">
            <w:pPr>
              <w:pStyle w:val="ListParagraph"/>
              <w:numPr>
                <w:ilvl w:val="0"/>
                <w:numId w:val="30"/>
              </w:numPr>
              <w:overflowPunct w:val="0"/>
              <w:spacing w:before="0"/>
              <w:contextualSpacing/>
              <w:rPr>
                <w:rFonts w:cs="Arial"/>
                <w:sz w:val="24"/>
                <w:szCs w:val="24"/>
              </w:rPr>
            </w:pPr>
            <w:r>
              <w:rPr>
                <w:rFonts w:cs="Arial"/>
                <w:sz w:val="24"/>
                <w:szCs w:val="24"/>
              </w:rPr>
              <w:t>P</w:t>
            </w:r>
            <w:r w:rsidRPr="006F16E1" w:rsidR="006F16E1">
              <w:rPr>
                <w:rFonts w:cs="Arial"/>
                <w:sz w:val="24"/>
                <w:szCs w:val="24"/>
              </w:rPr>
              <w:t>očet nově zavedených nástrojů elektronického zdravotnictví pro podporu preventivních a screeningových programů</w:t>
            </w:r>
          </w:p>
        </w:tc>
      </w:tr>
      <w:tr w14:paraId="033034CE"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50E33C2B" w14:textId="77777777">
            <w:pPr>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D2750E" w:rsidRPr="00716062" w:rsidP="00B56B1A" w14:paraId="375F061A" w14:textId="0F62597E">
            <w:pPr>
              <w:spacing w:after="200"/>
              <w:rPr>
                <w:rFonts w:eastAsiaTheme="minorHAnsi" w:cs="Arial"/>
                <w:sz w:val="24"/>
              </w:rPr>
            </w:pPr>
            <w:r w:rsidRPr="00716062">
              <w:rPr>
                <w:rFonts w:eastAsiaTheme="minorHAnsi" w:cs="Arial"/>
                <w:sz w:val="24"/>
              </w:rPr>
              <w:t>V populaci ČR přibývá osob, které se nacházejí v dlouhodobě nepříznivém zdravotním stavu. Ačkoliv hlavním faktorem zvyšující nemocnosti populace je demografické stárnutí, velký podíl zde má i</w:t>
            </w:r>
            <w:r w:rsidR="00D13FED">
              <w:rPr>
                <w:rFonts w:eastAsiaTheme="minorHAnsi" w:cs="Arial"/>
                <w:sz w:val="24"/>
              </w:rPr>
              <w:t> </w:t>
            </w:r>
            <w:r w:rsidRPr="00716062">
              <w:rPr>
                <w:rFonts w:eastAsiaTheme="minorHAnsi" w:cs="Arial"/>
                <w:sz w:val="24"/>
              </w:rPr>
              <w:t>špatný životní styl a silný vliv behaviorálních rizikových faktorů jakými jsou nezdravé stravovací návyky, sedavý způsob života, nedostatek pohybové aktivity, ale i nadměrná konzumace alkoholu, užívání tabáku, a to u všech skupin obyvatel, včetně dětí a</w:t>
            </w:r>
            <w:r w:rsidR="006F16E1">
              <w:rPr>
                <w:rFonts w:eastAsiaTheme="minorHAnsi" w:cs="Arial"/>
                <w:sz w:val="24"/>
              </w:rPr>
              <w:t> </w:t>
            </w:r>
            <w:r w:rsidRPr="00716062">
              <w:rPr>
                <w:rFonts w:eastAsiaTheme="minorHAnsi" w:cs="Arial"/>
                <w:sz w:val="24"/>
              </w:rPr>
              <w:t>mladistvých.</w:t>
            </w:r>
          </w:p>
          <w:p w:rsidR="00716062" w:rsidRPr="00D13FED" w:rsidP="00D13FED" w14:paraId="56EAA7B2" w14:textId="141E3F1C">
            <w:pPr>
              <w:autoSpaceDE w:val="0"/>
              <w:autoSpaceDN w:val="0"/>
              <w:adjustRightInd w:val="0"/>
              <w:rPr>
                <w:rFonts w:cstheme="minorHAnsi"/>
                <w:sz w:val="24"/>
              </w:rPr>
            </w:pPr>
            <w:r w:rsidRPr="00716062">
              <w:rPr>
                <w:rFonts w:cstheme="minorHAnsi"/>
                <w:sz w:val="24"/>
              </w:rPr>
              <w:t>Nemalý podíl na rozvoji nežádoucího zdravotního stavu mají i</w:t>
            </w:r>
            <w:r w:rsidR="00D13FED">
              <w:rPr>
                <w:rFonts w:cstheme="minorHAnsi"/>
                <w:sz w:val="24"/>
              </w:rPr>
              <w:t> </w:t>
            </w:r>
            <w:r w:rsidRPr="00716062">
              <w:rPr>
                <w:rFonts w:cstheme="minorHAnsi"/>
                <w:sz w:val="24"/>
              </w:rPr>
              <w:t>environmentální faktory zdraví. K nejvýznamnějším důsledkům znečištění životního prostředí, stejně jako u behaviorálních faktorů, náleží chronická neinfekční onemocnění, jakými jsou respirační, kardiovaskulární a metabolická onemocnění, vývojové a</w:t>
            </w:r>
            <w:r w:rsidR="00D13FED">
              <w:rPr>
                <w:rFonts w:cstheme="minorHAnsi"/>
                <w:sz w:val="24"/>
              </w:rPr>
              <w:t> </w:t>
            </w:r>
            <w:r w:rsidRPr="00716062">
              <w:rPr>
                <w:rFonts w:cstheme="minorHAnsi"/>
                <w:sz w:val="24"/>
              </w:rPr>
              <w:t xml:space="preserve">reprodukční poruchy či nádorová onemocnění.  </w:t>
            </w:r>
          </w:p>
        </w:tc>
      </w:tr>
      <w:tr w14:paraId="4E4F1C8C"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6B666DD8" w14:textId="77777777">
            <w:pPr>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091ACA" w:rsidP="27A1148F" w14:paraId="54E19B73" w14:textId="0D7B49D5">
            <w:pPr>
              <w:rPr>
                <w:sz w:val="24"/>
              </w:rPr>
            </w:pPr>
            <w:r w:rsidRPr="27A1148F">
              <w:rPr>
                <w:sz w:val="24"/>
              </w:rPr>
              <w:t>V rámci řešení implementačního plánu dojde k  posilování zdravotní gramotnosti občanů v oblasti sekundární prevence, rozvoji metodického, personální</w:t>
            </w:r>
            <w:r w:rsidRPr="27A1148F" w:rsidR="4A0F4469">
              <w:rPr>
                <w:sz w:val="24"/>
              </w:rPr>
              <w:t>ho</w:t>
            </w:r>
            <w:r w:rsidRPr="27A1148F">
              <w:rPr>
                <w:sz w:val="24"/>
              </w:rPr>
              <w:t>, datového a analytického zázemí pro podporu preventivních a screeningových programů, realizaci pilotních projektů časného záchytu onemocnění či rizikových faktorů, rozvoji nástrojů elektronického zdravotnictví pro podporu prevence, rozvoji mezinárodních aktivit a vědecké aktivity a</w:t>
            </w:r>
            <w:r w:rsidR="00D13FED">
              <w:rPr>
                <w:sz w:val="24"/>
              </w:rPr>
              <w:t> </w:t>
            </w:r>
            <w:r w:rsidRPr="27A1148F">
              <w:rPr>
                <w:sz w:val="24"/>
              </w:rPr>
              <w:t>spolupráce na poli sekundární prevence a metodicky garantované zavádění nových programů časného záchytu vážných onemocnění.</w:t>
            </w:r>
          </w:p>
          <w:p w:rsidR="00091ACA" w:rsidRPr="00091ACA" w:rsidP="00091ACA" w14:paraId="456B96F3" w14:textId="70F89BFF">
            <w:pPr>
              <w:rPr>
                <w:rFonts w:cstheme="minorHAnsi"/>
                <w:sz w:val="24"/>
              </w:rPr>
            </w:pPr>
            <w:r w:rsidRPr="00091ACA">
              <w:rPr>
                <w:rFonts w:cstheme="minorHAnsi"/>
                <w:sz w:val="24"/>
              </w:rPr>
              <w:t>Specifický cíl 1.2 dále předpokládá posilování rolí poskytovatelů zdravotní péče a státu ve zvyšování kvality a dostupnosti preventivních a screeningových programů. Mezi hlavní dílčí cíle této oblasti patří zejména:</w:t>
            </w:r>
          </w:p>
          <w:p w:rsidR="00091ACA" w:rsidRPr="00091ACA" w:rsidP="006C359E" w14:paraId="4B8ACA35" w14:textId="299CD059">
            <w:pPr>
              <w:pStyle w:val="ListParagraph"/>
              <w:numPr>
                <w:ilvl w:val="0"/>
                <w:numId w:val="60"/>
              </w:numPr>
              <w:autoSpaceDE/>
              <w:autoSpaceDN/>
              <w:adjustRightInd/>
              <w:spacing w:before="0" w:after="0"/>
              <w:contextualSpacing/>
              <w:rPr>
                <w:rFonts w:cstheme="minorHAnsi"/>
                <w:sz w:val="24"/>
                <w:szCs w:val="24"/>
              </w:rPr>
            </w:pPr>
            <w:r w:rsidRPr="00091ACA">
              <w:rPr>
                <w:rFonts w:cstheme="minorHAnsi"/>
                <w:sz w:val="24"/>
                <w:szCs w:val="24"/>
              </w:rPr>
              <w:t>Nastaven</w:t>
            </w:r>
            <w:r>
              <w:rPr>
                <w:rFonts w:cstheme="minorHAnsi"/>
                <w:sz w:val="24"/>
                <w:szCs w:val="24"/>
              </w:rPr>
              <w:t>á funkční</w:t>
            </w:r>
            <w:r w:rsidRPr="00091ACA">
              <w:rPr>
                <w:rFonts w:cstheme="minorHAnsi"/>
                <w:sz w:val="24"/>
                <w:szCs w:val="24"/>
              </w:rPr>
              <w:t xml:space="preserve"> koncepce preventivních intervencí pokrývající propojený komplex primární, sekundární a</w:t>
            </w:r>
            <w:r w:rsidR="00D13FED">
              <w:rPr>
                <w:rFonts w:cstheme="minorHAnsi"/>
                <w:sz w:val="24"/>
                <w:szCs w:val="24"/>
              </w:rPr>
              <w:t> </w:t>
            </w:r>
            <w:r w:rsidRPr="00091ACA">
              <w:rPr>
                <w:rFonts w:cstheme="minorHAnsi"/>
                <w:sz w:val="24"/>
                <w:szCs w:val="24"/>
              </w:rPr>
              <w:t>terciální prevence.</w:t>
            </w:r>
          </w:p>
          <w:p w:rsidR="00091ACA" w:rsidRPr="00091ACA" w:rsidP="006C359E" w14:paraId="267C3C9B" w14:textId="77777777">
            <w:pPr>
              <w:pStyle w:val="ListParagraph"/>
              <w:numPr>
                <w:ilvl w:val="0"/>
                <w:numId w:val="60"/>
              </w:numPr>
              <w:autoSpaceDE/>
              <w:autoSpaceDN/>
              <w:adjustRightInd/>
              <w:spacing w:before="0" w:after="0"/>
              <w:contextualSpacing/>
              <w:rPr>
                <w:rFonts w:cstheme="minorHAnsi"/>
                <w:sz w:val="24"/>
                <w:szCs w:val="24"/>
              </w:rPr>
            </w:pPr>
            <w:r w:rsidRPr="00091ACA">
              <w:rPr>
                <w:rFonts w:cstheme="minorHAnsi"/>
                <w:sz w:val="24"/>
                <w:szCs w:val="24"/>
              </w:rPr>
              <w:t>Vybudování a další rozvoj Národního screeningového centra.</w:t>
            </w:r>
          </w:p>
          <w:p w:rsidR="00091ACA" w:rsidRPr="00091ACA" w:rsidP="006C359E" w14:paraId="072DC8A0" w14:textId="06ECB816">
            <w:pPr>
              <w:pStyle w:val="ListParagraph"/>
              <w:numPr>
                <w:ilvl w:val="0"/>
                <w:numId w:val="60"/>
              </w:numPr>
              <w:autoSpaceDE/>
              <w:autoSpaceDN/>
              <w:adjustRightInd/>
              <w:spacing w:before="0" w:after="0"/>
              <w:contextualSpacing/>
              <w:rPr>
                <w:rFonts w:ascii="Arial" w:hAnsi="Arial" w:cs="Arial"/>
                <w:b/>
                <w:bCs w:val="0"/>
                <w:sz w:val="24"/>
                <w:szCs w:val="24"/>
              </w:rPr>
            </w:pPr>
            <w:r w:rsidRPr="00091ACA">
              <w:rPr>
                <w:rFonts w:cstheme="minorHAnsi"/>
                <w:sz w:val="24"/>
                <w:szCs w:val="24"/>
              </w:rPr>
              <w:t>Optimaliz</w:t>
            </w:r>
            <w:r>
              <w:rPr>
                <w:rFonts w:cstheme="minorHAnsi"/>
                <w:sz w:val="24"/>
                <w:szCs w:val="24"/>
              </w:rPr>
              <w:t>ované a kvalitní</w:t>
            </w:r>
            <w:r w:rsidRPr="00091ACA">
              <w:rPr>
                <w:rFonts w:cstheme="minorHAnsi"/>
                <w:sz w:val="24"/>
                <w:szCs w:val="24"/>
              </w:rPr>
              <w:t xml:space="preserve"> plošn</w:t>
            </w:r>
            <w:r>
              <w:rPr>
                <w:rFonts w:cstheme="minorHAnsi"/>
                <w:sz w:val="24"/>
                <w:szCs w:val="24"/>
              </w:rPr>
              <w:t>é</w:t>
            </w:r>
            <w:r w:rsidRPr="00091ACA">
              <w:rPr>
                <w:rFonts w:cstheme="minorHAnsi"/>
                <w:sz w:val="24"/>
                <w:szCs w:val="24"/>
              </w:rPr>
              <w:t xml:space="preserve"> screeningov</w:t>
            </w:r>
            <w:r>
              <w:rPr>
                <w:rFonts w:cstheme="minorHAnsi"/>
                <w:sz w:val="24"/>
                <w:szCs w:val="24"/>
              </w:rPr>
              <w:t>é</w:t>
            </w:r>
            <w:r w:rsidRPr="00091ACA">
              <w:rPr>
                <w:rFonts w:cstheme="minorHAnsi"/>
                <w:sz w:val="24"/>
                <w:szCs w:val="24"/>
              </w:rPr>
              <w:t xml:space="preserve"> program</w:t>
            </w:r>
            <w:r>
              <w:rPr>
                <w:rFonts w:cstheme="minorHAnsi"/>
                <w:sz w:val="24"/>
                <w:szCs w:val="24"/>
              </w:rPr>
              <w:t>y</w:t>
            </w:r>
            <w:r w:rsidRPr="00091ACA">
              <w:rPr>
                <w:rFonts w:cstheme="minorHAnsi"/>
                <w:sz w:val="24"/>
                <w:szCs w:val="24"/>
              </w:rPr>
              <w:t>.</w:t>
            </w:r>
          </w:p>
          <w:p w:rsidR="00D2750E" w:rsidRPr="00D13FED" w:rsidP="00B56B1A" w14:paraId="773BDB0B" w14:textId="64E3D98F">
            <w:pPr>
              <w:pStyle w:val="ListParagraph"/>
              <w:numPr>
                <w:ilvl w:val="0"/>
                <w:numId w:val="60"/>
              </w:numPr>
              <w:autoSpaceDE/>
              <w:autoSpaceDN/>
              <w:adjustRightInd/>
              <w:spacing w:before="0" w:after="0"/>
              <w:contextualSpacing/>
              <w:rPr>
                <w:rFonts w:cstheme="minorHAnsi"/>
                <w:sz w:val="24"/>
                <w:szCs w:val="24"/>
              </w:rPr>
            </w:pPr>
            <w:r w:rsidRPr="00091ACA">
              <w:rPr>
                <w:rFonts w:cstheme="minorHAnsi"/>
                <w:sz w:val="24"/>
                <w:szCs w:val="24"/>
              </w:rPr>
              <w:t xml:space="preserve">Zavádění nových programů časného záchytu onemocnění (včetně vzácných onemocnění) založených na vědeckých poznatcích. </w:t>
            </w:r>
          </w:p>
        </w:tc>
      </w:tr>
      <w:tr w14:paraId="772A1A56" w14:textId="77777777" w:rsidTr="27A1148F">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4C0701E6" w14:textId="77777777">
            <w:pPr>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2750E" w:rsidRPr="00A955AF" w:rsidP="00B56B1A" w14:paraId="43E0A2A1" w14:textId="77777777">
            <w:pPr>
              <w:rPr>
                <w:rFonts w:cs="Arial"/>
                <w:sz w:val="24"/>
                <w:szCs w:val="22"/>
              </w:rPr>
            </w:pPr>
            <w:r w:rsidRPr="00A955AF">
              <w:rPr>
                <w:rFonts w:cs="Arial"/>
                <w:sz w:val="24"/>
                <w:szCs w:val="22"/>
              </w:rPr>
              <w:t>Státní rozpočet, fondy EU</w:t>
            </w:r>
          </w:p>
          <w:p w:rsidR="00D2750E" w:rsidRPr="00A955AF" w:rsidP="00B56B1A" w14:paraId="1BCBDEAC" w14:textId="77777777">
            <w:pPr>
              <w:spacing w:after="200"/>
              <w:rPr>
                <w:rFonts w:eastAsiaTheme="minorHAnsi" w:cs="Arial"/>
                <w:sz w:val="24"/>
              </w:rPr>
            </w:pPr>
            <w:r w:rsidRPr="00A955AF">
              <w:rPr>
                <w:rFonts w:cs="Arial"/>
                <w:sz w:val="24"/>
              </w:rPr>
              <w:t xml:space="preserve">Vedle interních rozpočtových zdrojů resortu zdravotnictví bude využívána i možnost mezinárodních projektů spolupráce v rámci EU a projektů domácích grantových agentur. Financování nových programů screeningu bude projektově kryto pouze ve fázi verifikace a testování, následně přejde finanční krytí na zdroje veřejného zdravotního pojištění. </w:t>
            </w:r>
          </w:p>
        </w:tc>
      </w:tr>
    </w:tbl>
    <w:p w:rsidR="00D2750E" w:rsidRPr="00A955AF" w:rsidP="00D2750E" w14:paraId="25415BBE" w14:textId="77777777">
      <w:pPr>
        <w:rPr>
          <w:rFonts w:cstheme="minorHAnsi"/>
          <w:sz w:val="24"/>
          <w:szCs w:val="22"/>
        </w:rPr>
      </w:pPr>
    </w:p>
    <w:p w:rsidR="00D13FED" w14:paraId="4048A139" w14:textId="6767C7D2">
      <w:pPr>
        <w:spacing w:before="0" w:line="264" w:lineRule="auto"/>
        <w:jc w:val="left"/>
        <w:rPr>
          <w:rFonts w:ascii="Calibri" w:hAnsi="Calibri" w:eastAsiaTheme="majorEastAsia" w:cstheme="majorBidi"/>
          <w:b/>
          <w:color w:val="205493"/>
          <w:sz w:val="28"/>
          <w:szCs w:val="32"/>
        </w:rPr>
      </w:pPr>
      <w:r>
        <w:br w:type="page"/>
      </w:r>
    </w:p>
    <w:p w:rsidR="00D2750E" w:rsidP="00091ACA" w14:paraId="3168EBBC" w14:textId="643601E0">
      <w:pPr>
        <w:pStyle w:val="NA2"/>
      </w:pPr>
      <w:bookmarkStart w:id="541" w:name="_Toc256000052"/>
      <w:r>
        <w:t xml:space="preserve">SC 1.3 </w:t>
      </w:r>
      <w:r w:rsidR="00434E5A">
        <w:t>Léková politika a zvýšení dostupnosti léčiv</w:t>
      </w:r>
      <w:bookmarkEnd w:id="541"/>
    </w:p>
    <w:p w:rsidR="00434E5A" w:rsidRPr="0070747B" w:rsidP="00434E5A" w14:paraId="70C75592" w14:textId="77777777">
      <w:pPr>
        <w:rPr>
          <w:rFonts w:cstheme="minorHAnsi"/>
          <w:color w:val="auto"/>
          <w:sz w:val="24"/>
        </w:rPr>
      </w:pPr>
      <w:r w:rsidRPr="0070747B">
        <w:rPr>
          <w:rFonts w:cstheme="minorHAnsi"/>
          <w:color w:val="auto"/>
          <w:sz w:val="24"/>
        </w:rPr>
        <w:t>Specifický cíl po provedené analýze potřeb České republiky navazuje na čtyři pilíře Farmaceutické strategie pro Evropu</w:t>
      </w:r>
      <w:r>
        <w:rPr>
          <w:rStyle w:val="FootnoteReference"/>
          <w:rFonts w:cstheme="minorHAnsi"/>
          <w:color w:val="auto"/>
          <w:sz w:val="24"/>
        </w:rPr>
        <w:footnoteReference w:id="57"/>
      </w:r>
      <w:r w:rsidRPr="0070747B">
        <w:rPr>
          <w:rFonts w:cstheme="minorHAnsi"/>
          <w:color w:val="auto"/>
          <w:sz w:val="24"/>
        </w:rPr>
        <w:t>, strategický dokument, který je orientovaný zejména na pacienty. Jeho cílem je zajištění kvality a bezpečnosti léčivých přípravků a posílení globální konkurenceschopnosti evropského farmaceutického průmyslu. Strategie se opírá o 4 pilíře, mezi něž patří legislativní i nelegislativní opatření:</w:t>
      </w:r>
    </w:p>
    <w:p w:rsidR="00434E5A" w:rsidRPr="0070747B" w:rsidP="00434E5A" w14:paraId="2A2AA2C6" w14:textId="41153EEC">
      <w:pPr>
        <w:pStyle w:val="ListParagraph"/>
        <w:numPr>
          <w:ilvl w:val="0"/>
          <w:numId w:val="69"/>
        </w:numPr>
        <w:rPr>
          <w:rFonts w:cstheme="minorHAnsi"/>
          <w:color w:val="auto"/>
          <w:sz w:val="24"/>
        </w:rPr>
      </w:pPr>
      <w:r>
        <w:rPr>
          <w:rFonts w:cstheme="minorHAnsi"/>
          <w:color w:val="auto"/>
          <w:sz w:val="24"/>
          <w:szCs w:val="24"/>
        </w:rPr>
        <w:t>Z</w:t>
      </w:r>
      <w:r w:rsidRPr="0070747B">
        <w:rPr>
          <w:rFonts w:cstheme="minorHAnsi"/>
          <w:color w:val="auto"/>
          <w:sz w:val="24"/>
          <w:szCs w:val="24"/>
        </w:rPr>
        <w:t>ajistit pacientům přístup k cenově dostupným lékům a zaměřit se na neuspokojené léčebné potřeby (např. v oblasti antimikrobiální rezistence či vzácných onemocnění);</w:t>
      </w:r>
    </w:p>
    <w:p w:rsidR="00434E5A" w:rsidRPr="0070747B" w:rsidP="00434E5A" w14:paraId="40B34C96" w14:textId="2F35F736">
      <w:pPr>
        <w:pStyle w:val="ListParagraph"/>
        <w:numPr>
          <w:ilvl w:val="0"/>
          <w:numId w:val="69"/>
        </w:numPr>
        <w:rPr>
          <w:rFonts w:cstheme="minorHAnsi"/>
          <w:color w:val="auto"/>
          <w:sz w:val="24"/>
        </w:rPr>
      </w:pPr>
      <w:r>
        <w:rPr>
          <w:rFonts w:cstheme="minorHAnsi"/>
          <w:color w:val="auto"/>
          <w:sz w:val="24"/>
          <w:szCs w:val="24"/>
        </w:rPr>
        <w:t>P</w:t>
      </w:r>
      <w:r w:rsidRPr="0070747B">
        <w:rPr>
          <w:rFonts w:cstheme="minorHAnsi"/>
          <w:color w:val="auto"/>
          <w:sz w:val="24"/>
          <w:szCs w:val="24"/>
        </w:rPr>
        <w:t>odporovat konkurenceschopnost, inovace a udržitelnost farmaceutického průmyslu v EU a vývoj vysoce kvalitních, bezpečných, účinných a ekologičtějších léčivých přípravků;</w:t>
      </w:r>
    </w:p>
    <w:p w:rsidR="00434E5A" w:rsidRPr="0070747B" w:rsidP="00434E5A" w14:paraId="398DFB59" w14:textId="1BE76E00">
      <w:pPr>
        <w:pStyle w:val="ListParagraph"/>
        <w:numPr>
          <w:ilvl w:val="0"/>
          <w:numId w:val="69"/>
        </w:numPr>
        <w:rPr>
          <w:rFonts w:cstheme="minorHAnsi"/>
          <w:color w:val="auto"/>
          <w:sz w:val="24"/>
        </w:rPr>
      </w:pPr>
      <w:r>
        <w:rPr>
          <w:rFonts w:cstheme="minorHAnsi"/>
          <w:color w:val="auto"/>
          <w:sz w:val="24"/>
          <w:szCs w:val="24"/>
        </w:rPr>
        <w:t>Z</w:t>
      </w:r>
      <w:r w:rsidRPr="0070747B">
        <w:rPr>
          <w:rFonts w:cstheme="minorHAnsi"/>
          <w:color w:val="auto"/>
          <w:sz w:val="24"/>
          <w:szCs w:val="24"/>
        </w:rPr>
        <w:t>dokonalovat mechanismy připravenosti a reakce na krize, diverzifikovat a</w:t>
      </w:r>
      <w:r w:rsidR="007E3FBE">
        <w:rPr>
          <w:rFonts w:cstheme="minorHAnsi"/>
          <w:color w:val="auto"/>
          <w:sz w:val="24"/>
          <w:szCs w:val="24"/>
        </w:rPr>
        <w:t> </w:t>
      </w:r>
      <w:r w:rsidRPr="0070747B">
        <w:rPr>
          <w:rFonts w:cstheme="minorHAnsi"/>
          <w:color w:val="auto"/>
          <w:sz w:val="24"/>
          <w:szCs w:val="24"/>
        </w:rPr>
        <w:t>zabezpečovat dodavatelské řetězce, řešit nedostatek léků;</w:t>
      </w:r>
    </w:p>
    <w:p w:rsidR="00434E5A" w:rsidRPr="0070747B" w:rsidP="00434E5A" w14:paraId="16F04B8B" w14:textId="1FBA5E3D">
      <w:pPr>
        <w:pStyle w:val="ListParagraph"/>
        <w:numPr>
          <w:ilvl w:val="0"/>
          <w:numId w:val="69"/>
        </w:numPr>
        <w:rPr>
          <w:rFonts w:cstheme="minorHAnsi"/>
          <w:color w:val="auto"/>
          <w:sz w:val="24"/>
          <w:szCs w:val="24"/>
        </w:rPr>
      </w:pPr>
      <w:r>
        <w:rPr>
          <w:rFonts w:cstheme="minorHAnsi"/>
          <w:color w:val="auto"/>
          <w:sz w:val="24"/>
          <w:szCs w:val="24"/>
        </w:rPr>
        <w:t>Z</w:t>
      </w:r>
      <w:r w:rsidRPr="0070747B">
        <w:rPr>
          <w:rFonts w:cstheme="minorHAnsi"/>
          <w:color w:val="auto"/>
          <w:sz w:val="24"/>
          <w:szCs w:val="24"/>
        </w:rPr>
        <w:t>ajistit silné postavení EU ve světě a prosazovat vysokou úroveň standardů kvality, účinnosti a bezpečnosti.</w:t>
      </w:r>
    </w:p>
    <w:p w:rsidR="00434E5A" w:rsidRPr="0070747B" w:rsidP="00434E5A" w14:paraId="1B8ECE8B" w14:textId="77777777">
      <w:pPr>
        <w:rPr>
          <w:rFonts w:cstheme="minorHAnsi"/>
          <w:color w:val="auto"/>
          <w:sz w:val="24"/>
        </w:rPr>
      </w:pPr>
      <w:r w:rsidRPr="0070747B">
        <w:rPr>
          <w:rFonts w:cstheme="minorHAnsi"/>
          <w:color w:val="auto"/>
          <w:sz w:val="24"/>
        </w:rPr>
        <w:t>Dosažení specifického cíle bude realizováno prostřednictvím 7 dílčích cílů:</w:t>
      </w:r>
    </w:p>
    <w:p w:rsidR="00434E5A" w:rsidRPr="007E3FBE" w:rsidP="00434E5A" w14:paraId="50966311" w14:textId="77777777">
      <w:pPr>
        <w:pStyle w:val="ListParagraph"/>
        <w:numPr>
          <w:ilvl w:val="0"/>
          <w:numId w:val="71"/>
        </w:numPr>
        <w:rPr>
          <w:color w:val="auto"/>
          <w:sz w:val="24"/>
          <w:szCs w:val="24"/>
        </w:rPr>
      </w:pPr>
      <w:r w:rsidRPr="007E3FBE">
        <w:rPr>
          <w:color w:val="auto"/>
          <w:sz w:val="24"/>
          <w:szCs w:val="24"/>
        </w:rPr>
        <w:t xml:space="preserve">1.3.1 Implementovat unijní právní předpisy a stabilizovat řízení zásob léčiv </w:t>
      </w:r>
    </w:p>
    <w:p w:rsidR="00434E5A" w:rsidRPr="007E3FBE" w:rsidP="00434E5A" w14:paraId="34636256" w14:textId="77777777">
      <w:pPr>
        <w:pStyle w:val="ListParagraph"/>
        <w:numPr>
          <w:ilvl w:val="0"/>
          <w:numId w:val="71"/>
        </w:numPr>
        <w:rPr>
          <w:color w:val="auto"/>
          <w:sz w:val="24"/>
          <w:szCs w:val="24"/>
        </w:rPr>
      </w:pPr>
      <w:r w:rsidRPr="007E3FBE">
        <w:rPr>
          <w:color w:val="auto"/>
          <w:sz w:val="24"/>
          <w:szCs w:val="24"/>
        </w:rPr>
        <w:t xml:space="preserve">1.3.2 Zavést systém monitoringu léčiv </w:t>
      </w:r>
    </w:p>
    <w:p w:rsidR="00434E5A" w:rsidRPr="007E3FBE" w:rsidP="00434E5A" w14:paraId="63C04AF1" w14:textId="77777777">
      <w:pPr>
        <w:pStyle w:val="ListParagraph"/>
        <w:numPr>
          <w:ilvl w:val="0"/>
          <w:numId w:val="71"/>
        </w:numPr>
        <w:rPr>
          <w:color w:val="auto"/>
          <w:sz w:val="24"/>
          <w:szCs w:val="24"/>
        </w:rPr>
      </w:pPr>
      <w:r w:rsidRPr="007E3FBE">
        <w:rPr>
          <w:color w:val="auto"/>
          <w:sz w:val="24"/>
          <w:szCs w:val="24"/>
        </w:rPr>
        <w:t>1.3.3 Zvýšit aktivní zapojení stakeholderů</w:t>
      </w:r>
    </w:p>
    <w:p w:rsidR="00434E5A" w:rsidRPr="007E3FBE" w:rsidP="00434E5A" w14:paraId="6307E740" w14:textId="77777777">
      <w:pPr>
        <w:pStyle w:val="ListParagraph"/>
        <w:numPr>
          <w:ilvl w:val="0"/>
          <w:numId w:val="71"/>
        </w:numPr>
        <w:rPr>
          <w:color w:val="auto"/>
          <w:sz w:val="24"/>
          <w:szCs w:val="24"/>
        </w:rPr>
      </w:pPr>
      <w:r w:rsidRPr="007E3FBE">
        <w:rPr>
          <w:color w:val="auto"/>
          <w:sz w:val="24"/>
          <w:szCs w:val="24"/>
        </w:rPr>
        <w:t xml:space="preserve">1.3.4 Modernizovat způsoby výdeje léčiv </w:t>
      </w:r>
    </w:p>
    <w:p w:rsidR="00434E5A" w:rsidRPr="007E3FBE" w:rsidP="00434E5A" w14:paraId="413F6B13" w14:textId="77777777">
      <w:pPr>
        <w:pStyle w:val="ListParagraph"/>
        <w:numPr>
          <w:ilvl w:val="0"/>
          <w:numId w:val="71"/>
        </w:numPr>
        <w:rPr>
          <w:color w:val="auto"/>
          <w:sz w:val="24"/>
          <w:szCs w:val="24"/>
        </w:rPr>
      </w:pPr>
      <w:r w:rsidRPr="007E3FBE">
        <w:rPr>
          <w:color w:val="auto"/>
          <w:sz w:val="24"/>
          <w:szCs w:val="24"/>
        </w:rPr>
        <w:t xml:space="preserve">1.3.5 Zvýšit hospodářskou podporu výroby léčiv </w:t>
      </w:r>
    </w:p>
    <w:p w:rsidR="00434E5A" w:rsidRPr="007E3FBE" w:rsidP="00434E5A" w14:paraId="38FB962A" w14:textId="77777777">
      <w:pPr>
        <w:pStyle w:val="ListParagraph"/>
        <w:numPr>
          <w:ilvl w:val="0"/>
          <w:numId w:val="71"/>
        </w:numPr>
        <w:rPr>
          <w:color w:val="auto"/>
          <w:sz w:val="24"/>
          <w:szCs w:val="24"/>
        </w:rPr>
      </w:pPr>
      <w:r w:rsidRPr="007E3FBE">
        <w:rPr>
          <w:color w:val="auto"/>
          <w:sz w:val="24"/>
          <w:szCs w:val="24"/>
        </w:rPr>
        <w:t>1.3.6 Stabilizovat finanční udržitelnost lékové politiky</w:t>
      </w:r>
    </w:p>
    <w:p w:rsidR="00434E5A" w:rsidRPr="007E3FBE" w:rsidP="007E3FBE" w14:paraId="2AEFA89B" w14:textId="3FA0A1DF">
      <w:pPr>
        <w:pStyle w:val="ListParagraph"/>
        <w:numPr>
          <w:ilvl w:val="0"/>
          <w:numId w:val="71"/>
        </w:numPr>
        <w:rPr>
          <w:color w:val="auto"/>
          <w:sz w:val="24"/>
          <w:szCs w:val="24"/>
        </w:rPr>
      </w:pPr>
      <w:r w:rsidRPr="007E3FBE">
        <w:rPr>
          <w:color w:val="auto"/>
          <w:sz w:val="24"/>
          <w:szCs w:val="24"/>
        </w:rPr>
        <w:t>1.3.7 Zajistit rozvoj kapacit správních úřadů v oblasti lékové politiky státu</w:t>
      </w:r>
    </w:p>
    <w:p w:rsidR="007E3FBE" w:rsidP="00434E5A" w14:paraId="1E8223B9" w14:textId="77777777">
      <w:pPr>
        <w:rPr>
          <w:rFonts w:cstheme="minorHAnsi"/>
          <w:color w:val="auto"/>
          <w:sz w:val="24"/>
        </w:rPr>
      </w:pPr>
    </w:p>
    <w:p w:rsidR="00434E5A" w:rsidRPr="0070747B" w:rsidP="00434E5A" w14:paraId="47240046" w14:textId="1E082091">
      <w:pPr>
        <w:rPr>
          <w:color w:val="auto"/>
        </w:rPr>
      </w:pPr>
      <w:r w:rsidRPr="0070747B">
        <w:rPr>
          <w:rFonts w:cstheme="minorHAnsi"/>
          <w:color w:val="auto"/>
          <w:sz w:val="24"/>
        </w:rPr>
        <w:t xml:space="preserve">Primárně je nezbytné </w:t>
      </w:r>
      <w:r w:rsidRPr="0070747B">
        <w:rPr>
          <w:rFonts w:cstheme="minorHAnsi"/>
          <w:b/>
          <w:bCs/>
          <w:color w:val="auto"/>
          <w:sz w:val="24"/>
        </w:rPr>
        <w:t>vycházet z unijních právních předpisů</w:t>
      </w:r>
      <w:r w:rsidRPr="0070747B">
        <w:rPr>
          <w:rFonts w:cstheme="minorHAnsi"/>
          <w:color w:val="auto"/>
          <w:sz w:val="24"/>
        </w:rPr>
        <w:t>, které budou muset být v</w:t>
      </w:r>
      <w:r w:rsidR="007E3FBE">
        <w:rPr>
          <w:rFonts w:cstheme="minorHAnsi"/>
          <w:color w:val="auto"/>
          <w:sz w:val="24"/>
        </w:rPr>
        <w:t> </w:t>
      </w:r>
      <w:r w:rsidRPr="0070747B">
        <w:rPr>
          <w:rFonts w:cstheme="minorHAnsi"/>
          <w:color w:val="auto"/>
          <w:sz w:val="24"/>
        </w:rPr>
        <w:t xml:space="preserve">následujících letech implementovány do právního řádu České republiky. To je obsahem prvního dílčího cíle. Z pohledu implementace nejen Zdraví 2035, ale i Farmaceutické strategie pro Evropu, je totiž klíčová </w:t>
      </w:r>
      <w:r w:rsidRPr="0070747B">
        <w:rPr>
          <w:rFonts w:cstheme="minorHAnsi"/>
          <w:b/>
          <w:bCs/>
          <w:color w:val="auto"/>
          <w:sz w:val="24"/>
        </w:rPr>
        <w:t>reforma právních předpisů EU týkajících se léčivých přípravků</w:t>
      </w:r>
      <w:r w:rsidRPr="0070747B">
        <w:rPr>
          <w:rFonts w:cstheme="minorHAnsi"/>
          <w:color w:val="auto"/>
          <w:sz w:val="24"/>
        </w:rPr>
        <w:t>. Česká právní úprava bude upravena v návaznosti na nové směrnice a nařízení nahrazující právní předpisy v oblasti léčivých přípravků, včetně těch týkajících se vzácných onemocnění a</w:t>
      </w:r>
      <w:r w:rsidR="007E3FBE">
        <w:rPr>
          <w:rFonts w:cstheme="minorHAnsi"/>
          <w:color w:val="auto"/>
          <w:sz w:val="24"/>
        </w:rPr>
        <w:t> </w:t>
      </w:r>
      <w:r w:rsidRPr="0070747B">
        <w:rPr>
          <w:rFonts w:cstheme="minorHAnsi"/>
          <w:color w:val="auto"/>
          <w:sz w:val="24"/>
        </w:rPr>
        <w:t>pediatrie. Česká republika se účastní i posouzení dopadů revize, dialogu o bezpečnosti dodávek léčivých přípravků či pilotního projektu uvádění centrálně registrovaných přípravků na trh. Podstatné informace budou získány díky celoevropské studii o nedostatku léčivých přípravků a studii o optimalizaci zadávání veřejných zakázek na léčivé přípravky</w:t>
      </w:r>
      <w:r w:rsidRPr="0070747B">
        <w:rPr>
          <w:color w:val="auto"/>
        </w:rPr>
        <w:t xml:space="preserve">. </w:t>
      </w:r>
    </w:p>
    <w:p w:rsidR="00434E5A" w:rsidRPr="0070747B" w:rsidP="00434E5A" w14:paraId="4B2B5F96" w14:textId="0A50C429">
      <w:pPr>
        <w:rPr>
          <w:rFonts w:cstheme="minorHAnsi"/>
          <w:color w:val="auto"/>
          <w:sz w:val="24"/>
        </w:rPr>
      </w:pPr>
      <w:r w:rsidRPr="0070747B">
        <w:rPr>
          <w:rFonts w:cstheme="minorHAnsi"/>
          <w:color w:val="auto"/>
          <w:sz w:val="24"/>
        </w:rPr>
        <w:t xml:space="preserve">Jedním z opatření bude </w:t>
      </w:r>
      <w:r w:rsidRPr="0070747B">
        <w:rPr>
          <w:rFonts w:cstheme="minorHAnsi"/>
          <w:b/>
          <w:bCs/>
          <w:color w:val="auto"/>
          <w:sz w:val="24"/>
        </w:rPr>
        <w:t>implementace metodiky pro hodnocení zranitelnosti kritických léčiv</w:t>
      </w:r>
      <w:r w:rsidRPr="0070747B">
        <w:rPr>
          <w:rFonts w:cstheme="minorHAnsi"/>
          <w:color w:val="auto"/>
          <w:sz w:val="24"/>
        </w:rPr>
        <w:t xml:space="preserve">, budou identifikována slabá místa v dodavatelských řetězcích a navržena opatření pro zajištění jejich dostupnosti. Pomocí definovaných ukazatelů bude vytvořen seznam nejzranitelnějších </w:t>
      </w:r>
      <w:r w:rsidRPr="0070747B">
        <w:rPr>
          <w:rFonts w:cstheme="minorHAnsi"/>
          <w:color w:val="auto"/>
          <w:sz w:val="24"/>
        </w:rPr>
        <w:t>léčiv, následně proběhne hlubší analýza pomocí kombinace kvalitativních a kvantitativních ukazatelů (vč. aspektů, jako globální dodavatelské řetězce, enviromentální, sociální a</w:t>
      </w:r>
      <w:r w:rsidR="007E3FBE">
        <w:rPr>
          <w:rFonts w:cstheme="minorHAnsi"/>
          <w:color w:val="auto"/>
          <w:sz w:val="24"/>
        </w:rPr>
        <w:t> </w:t>
      </w:r>
      <w:r w:rsidRPr="0070747B">
        <w:rPr>
          <w:rFonts w:cstheme="minorHAnsi"/>
          <w:color w:val="auto"/>
          <w:sz w:val="24"/>
        </w:rPr>
        <w:t>bezpečností faktory). Zakomponovány budou rovněž prediktivní modely pro předvídání budoucích výpadků v dodávkách léčiv</w:t>
      </w:r>
      <w:r>
        <w:rPr>
          <w:rStyle w:val="FootnoteReference"/>
          <w:rFonts w:cstheme="minorHAnsi"/>
          <w:color w:val="auto"/>
          <w:sz w:val="24"/>
        </w:rPr>
        <w:footnoteReference w:id="58"/>
      </w:r>
      <w:r w:rsidRPr="0070747B">
        <w:rPr>
          <w:rFonts w:cstheme="minorHAnsi"/>
          <w:color w:val="auto"/>
          <w:sz w:val="24"/>
        </w:rPr>
        <w:t>.</w:t>
      </w:r>
    </w:p>
    <w:p w:rsidR="00434E5A" w:rsidRPr="0070747B" w:rsidP="00434E5A" w14:paraId="59FED562" w14:textId="321BD5F4">
      <w:pPr>
        <w:rPr>
          <w:rFonts w:cstheme="minorHAnsi"/>
          <w:color w:val="auto"/>
          <w:sz w:val="24"/>
        </w:rPr>
      </w:pPr>
      <w:r w:rsidRPr="0070747B">
        <w:rPr>
          <w:rFonts w:cstheme="minorHAnsi"/>
          <w:color w:val="auto"/>
          <w:sz w:val="24"/>
        </w:rPr>
        <w:t xml:space="preserve">Dalším opatřením bude </w:t>
      </w:r>
      <w:r w:rsidRPr="0070747B">
        <w:rPr>
          <w:rFonts w:cstheme="minorHAnsi"/>
          <w:b/>
          <w:bCs/>
          <w:color w:val="auto"/>
          <w:sz w:val="24"/>
        </w:rPr>
        <w:t>rozšíření systému rezervací u Správy státních hmotných rezerv o</w:t>
      </w:r>
      <w:r w:rsidR="007E3FBE">
        <w:rPr>
          <w:rFonts w:cstheme="minorHAnsi"/>
          <w:b/>
          <w:bCs/>
          <w:color w:val="auto"/>
          <w:sz w:val="24"/>
        </w:rPr>
        <w:t> </w:t>
      </w:r>
      <w:r w:rsidRPr="0070747B">
        <w:rPr>
          <w:rFonts w:cstheme="minorHAnsi"/>
          <w:b/>
          <w:bCs/>
          <w:color w:val="auto"/>
          <w:sz w:val="24"/>
        </w:rPr>
        <w:t>léčivé přípravky uvedené v seznamu kritických léčiv</w:t>
      </w:r>
      <w:r w:rsidRPr="0070747B">
        <w:rPr>
          <w:rFonts w:cstheme="minorHAnsi"/>
          <w:color w:val="auto"/>
          <w:sz w:val="24"/>
        </w:rPr>
        <w:t>, a to v návaznosti na pilotní projekt započatý v roce 2024, konkrétně např. rezervace perorálních antibiotik pro účely řešení potenciálních budoucích nedostupností. Tímto opatřením bude v dodavatelském řetězci vytvořena rezerva významných léčivých přípravků, které v případě potřeby (při výpadku dodávek či za účelem řešení krizí) bude možné uvolnit do lékáren pro zajištění léčby pacientů. Doplňkově budou obdobným způsobem rezervovány i léčivé přípravky použitelné pro řešení CBRN hrozeb. Výhodou uvedeného systému je, že bude zajištěna přirozená obměna rezervovaných balení, a tudíž nebude s léčivými přípravky nakládáno nehospodárně, zejména s ohledem na stanovenou dobu použitelnosti. Očekávají se náklady ze státního rozpočtu v období let 2026 až 2031 v objemu 7 mld. Kč.</w:t>
      </w:r>
    </w:p>
    <w:p w:rsidR="00434E5A" w:rsidRPr="0070747B" w:rsidP="00434E5A" w14:paraId="204CECEA" w14:textId="1F8E2F02">
      <w:pPr>
        <w:rPr>
          <w:rFonts w:cstheme="minorHAnsi"/>
          <w:color w:val="auto"/>
          <w:sz w:val="24"/>
        </w:rPr>
      </w:pPr>
      <w:r w:rsidRPr="0070747B">
        <w:rPr>
          <w:rFonts w:cstheme="minorHAnsi"/>
          <w:color w:val="auto"/>
          <w:sz w:val="24"/>
        </w:rPr>
        <w:t xml:space="preserve">Dalším opatřením je </w:t>
      </w:r>
      <w:r w:rsidRPr="0070747B">
        <w:rPr>
          <w:rFonts w:cstheme="minorHAnsi"/>
          <w:b/>
          <w:bCs/>
          <w:color w:val="auto"/>
          <w:sz w:val="24"/>
        </w:rPr>
        <w:t>rozšíření výčtu léčiv v systému rezervních zásob</w:t>
      </w:r>
      <w:r w:rsidRPr="0070747B">
        <w:rPr>
          <w:rFonts w:cstheme="minorHAnsi"/>
          <w:color w:val="auto"/>
          <w:sz w:val="24"/>
        </w:rPr>
        <w:t>, kdy tato možnost vyplývá z novely zákona o léčivech účinné od roku 2024. Tento nástroj je podobný systému rezervací Správou státních hmotných rezerv, avšak je plně v rukou Ministerstva zdravotnictví. Ministerstvo zdravotnictví ve spolupráci se Státním ústavem pro kontrolu léčiv budou dále analyzovat situaci na trhu a predikovat potenciální nedostupnosti léčivých přípravků a</w:t>
      </w:r>
      <w:r w:rsidR="007E3FBE">
        <w:rPr>
          <w:rFonts w:cstheme="minorHAnsi"/>
          <w:color w:val="auto"/>
          <w:sz w:val="24"/>
        </w:rPr>
        <w:t> </w:t>
      </w:r>
      <w:r w:rsidRPr="0070747B">
        <w:rPr>
          <w:rFonts w:cstheme="minorHAnsi"/>
          <w:color w:val="auto"/>
          <w:sz w:val="24"/>
        </w:rPr>
        <w:t>přikazovat vytvářet měsíční zásoby léčivých přípravků na úrovni distribuce. Toto opatření povede k dalšímu zvýšení odolnosti dodavatelského řetězce a mělo by napomáhat snižovat dopady výpadků léčiv na pacienty v České republice. Očekávané náklady představují přibližně 1 mld. Kč z veřejného zdravotního pojištění v letech 2026 až 2031.</w:t>
      </w:r>
    </w:p>
    <w:p w:rsidR="00434E5A" w:rsidRPr="0070747B" w:rsidP="00434E5A" w14:paraId="42299E74" w14:textId="77777777">
      <w:pPr>
        <w:rPr>
          <w:rFonts w:cstheme="minorHAnsi"/>
          <w:color w:val="auto"/>
          <w:sz w:val="24"/>
        </w:rPr>
      </w:pPr>
      <w:r w:rsidRPr="0070747B">
        <w:rPr>
          <w:rFonts w:cstheme="minorHAnsi"/>
          <w:color w:val="auto"/>
          <w:sz w:val="24"/>
        </w:rPr>
        <w:t xml:space="preserve">Druhý dílčí cíl se skládá ze dvou opatření, která jsou vzájemně provázána a napomohou státním orgánům, lékařům i pacientům v orientaci na trhu s léčivými přípravky. </w:t>
      </w:r>
    </w:p>
    <w:p w:rsidR="00434E5A" w:rsidRPr="0070747B" w:rsidP="00434E5A" w14:paraId="51B0B2FD" w14:textId="77777777">
      <w:pPr>
        <w:rPr>
          <w:rFonts w:cstheme="minorHAnsi"/>
          <w:color w:val="auto"/>
          <w:sz w:val="24"/>
        </w:rPr>
      </w:pPr>
      <w:r w:rsidRPr="0070747B">
        <w:rPr>
          <w:rFonts w:cstheme="minorHAnsi"/>
          <w:color w:val="auto"/>
          <w:sz w:val="24"/>
        </w:rPr>
        <w:t xml:space="preserve">Prvním opatřením je </w:t>
      </w:r>
      <w:r w:rsidRPr="0070747B">
        <w:rPr>
          <w:rFonts w:cstheme="minorHAnsi"/>
          <w:b/>
          <w:bCs/>
          <w:color w:val="auto"/>
          <w:sz w:val="24"/>
        </w:rPr>
        <w:t>sběr dat o dostupnosti léčivých přípravků i v rozsahu léčivých přípravků</w:t>
      </w:r>
      <w:r w:rsidRPr="0070747B">
        <w:rPr>
          <w:rFonts w:cstheme="minorHAnsi"/>
          <w:color w:val="auto"/>
          <w:sz w:val="24"/>
        </w:rPr>
        <w:t xml:space="preserve">, které nejsou hrazeny z veřejného zdravotního pojištění nebo které nemají stanovenou maximální cenu a druhým dílčím opatřením je </w:t>
      </w:r>
      <w:r w:rsidRPr="0070747B">
        <w:rPr>
          <w:rFonts w:cstheme="minorHAnsi"/>
          <w:b/>
          <w:bCs/>
          <w:color w:val="auto"/>
          <w:sz w:val="24"/>
        </w:rPr>
        <w:t>zvýšení frekvence sběru dat z trhu</w:t>
      </w:r>
      <w:r w:rsidRPr="0070747B">
        <w:rPr>
          <w:rFonts w:cstheme="minorHAnsi"/>
          <w:color w:val="auto"/>
          <w:sz w:val="24"/>
        </w:rPr>
        <w:t xml:space="preserve">. Opatření mají za cíl poskytnout komplexní informaci o reálném okamžitém stavu zásob všech léčivých přípravků na trhu v České republice i s určením konkrétního subjektu, který danými léčivými přípravky a v jakém množství aktuálně disponuje. Toto má za cíl zlepšení plynulosti dodávek léčivých přípravků napříč dodavatelským řetězcem a současně i pacient si bude moct ověřit skladové zásoby jednotlivých lékáren a bude si tak moci vybrat konkrétní lékárnu, která daným léčivým přípravkem skutečně disponuje. Obě opatření by měla být implementována v letech 2028 až 2030 s předpokládanými náklady na rozvoj systému eRecept v celkové výši 20 milionů Kč.   </w:t>
      </w:r>
    </w:p>
    <w:p w:rsidR="00434E5A" w:rsidRPr="0070747B" w:rsidP="00434E5A" w14:paraId="02CF6E81" w14:textId="77777777">
      <w:pPr>
        <w:rPr>
          <w:rFonts w:cstheme="minorHAnsi"/>
          <w:color w:val="auto"/>
          <w:sz w:val="24"/>
        </w:rPr>
      </w:pPr>
      <w:r w:rsidRPr="0070747B">
        <w:rPr>
          <w:rFonts w:cstheme="minorHAnsi"/>
          <w:color w:val="auto"/>
          <w:sz w:val="24"/>
        </w:rPr>
        <w:t xml:space="preserve">Obsah třetího dílčího cíle reaguje na identifikaci slabých míst současné praxe, která je charakterizována nejednoznačným rozdělením odpovědností za dostupnost léčivých přípravků. Některé subjekty se odpovědnosti zříkají, zatímco jiné ji prakticky nemají. Tato situace komplikuje nalezení rychlého a efektivního řešení pro pacienty v případě nedostupnosti léčivých přípravků. Opatření tedy směřují </w:t>
      </w:r>
      <w:r w:rsidRPr="0070747B">
        <w:rPr>
          <w:rFonts w:cstheme="minorHAnsi"/>
          <w:b/>
          <w:bCs/>
          <w:color w:val="auto"/>
          <w:sz w:val="24"/>
        </w:rPr>
        <w:t xml:space="preserve">k jasnému vymezení </w:t>
      </w:r>
      <w:r w:rsidRPr="0070747B">
        <w:rPr>
          <w:rFonts w:cstheme="minorHAnsi"/>
          <w:b/>
          <w:bCs/>
          <w:color w:val="auto"/>
          <w:sz w:val="24"/>
        </w:rPr>
        <w:t>spoluzodpovědnosti všech zainteresovaných stran za dostupnost léčivých přípravků</w:t>
      </w:r>
      <w:r w:rsidRPr="0070747B">
        <w:rPr>
          <w:rFonts w:cstheme="minorHAnsi"/>
          <w:color w:val="auto"/>
          <w:sz w:val="24"/>
        </w:rPr>
        <w:t xml:space="preserve">, přičemž největší prostor pro změnu je u zdravotních pojišťoven. Tyto subjekty zajišťují zdravotní péči pro své pojištěnce, což by mělo zahrnovat i dostupnost léčivých přípravků. Od 1. ledna 2026 budou mít zdravotní pojišťovny možnost centrálně zadávat veřejné zakázky na nové i dosud nehrazené léčivé přípravky (např. genové terapie), čímž prostřednictvím dohody s distributory vzniká prostor pro snižování nákladů z veřejného zdravotního pojištění. Současně budou zdravotní pojišťovny hradit pořízení a distribuci léčivých přípravků, které pro Českou republiku zajistí Evropská unie, mezinárodní organizace nebo uskupení států, jehož je Česká republika členem. Z dosavadních zkušeností vyplývá, že </w:t>
      </w:r>
      <w:r w:rsidRPr="0070747B">
        <w:rPr>
          <w:rFonts w:cstheme="minorHAnsi"/>
          <w:b/>
          <w:bCs/>
          <w:color w:val="auto"/>
          <w:sz w:val="24"/>
        </w:rPr>
        <w:t>je zapotřebí legislativně ukotvit způsob zajištění potřeb pacientů ve vztahu k množství a časovým intervalům dodávek léčivých přípravků</w:t>
      </w:r>
      <w:r w:rsidRPr="0070747B">
        <w:rPr>
          <w:rFonts w:cstheme="minorHAnsi"/>
          <w:color w:val="auto"/>
          <w:sz w:val="24"/>
        </w:rPr>
        <w:t>, aby držitelé rozhodnutí o registraci měli postaveno na jisto, jaké množství léčivých přípravků a v jakých intervalech mají povinnost dodávat na trh v České republice.</w:t>
      </w:r>
    </w:p>
    <w:p w:rsidR="00434E5A" w:rsidRPr="0070747B" w:rsidP="00434E5A" w14:paraId="6ACEEF20" w14:textId="64A65A66">
      <w:pPr>
        <w:rPr>
          <w:rFonts w:cstheme="minorHAnsi"/>
          <w:color w:val="auto"/>
          <w:sz w:val="24"/>
          <w:highlight w:val="green"/>
        </w:rPr>
      </w:pPr>
      <w:r w:rsidRPr="0070747B">
        <w:rPr>
          <w:rFonts w:cstheme="minorHAnsi"/>
          <w:color w:val="auto"/>
          <w:sz w:val="24"/>
        </w:rPr>
        <w:t xml:space="preserve">V neposlední řadě bude do budoucna potřeba </w:t>
      </w:r>
      <w:r w:rsidRPr="0070747B">
        <w:rPr>
          <w:rFonts w:cstheme="minorHAnsi"/>
          <w:b/>
          <w:bCs/>
          <w:color w:val="auto"/>
          <w:sz w:val="24"/>
        </w:rPr>
        <w:t>rozšířit pravomoc Státního ústavu pro kontrolu léčiv označovat léčivé přípravky příznakem „omezená dostupnost“ tak, aby se nejednalo pouze o reakci na oznámení přerušení či ukončení dodávek léčivého přípravku na trh v České republice</w:t>
      </w:r>
      <w:r w:rsidRPr="0070747B">
        <w:rPr>
          <w:rFonts w:cstheme="minorHAnsi"/>
          <w:color w:val="auto"/>
          <w:sz w:val="24"/>
        </w:rPr>
        <w:t>. Existuje řada případů, ve kterých by bylo na základě vyhodnocení situace na trhu a</w:t>
      </w:r>
      <w:r w:rsidR="007E3FBE">
        <w:rPr>
          <w:rFonts w:cstheme="minorHAnsi"/>
          <w:color w:val="auto"/>
          <w:sz w:val="24"/>
        </w:rPr>
        <w:t> </w:t>
      </w:r>
      <w:r w:rsidRPr="0070747B">
        <w:rPr>
          <w:rFonts w:cstheme="minorHAnsi"/>
          <w:color w:val="auto"/>
          <w:sz w:val="24"/>
        </w:rPr>
        <w:t xml:space="preserve">dalších informací získaných z úřední činnosti potřeba označit léčivý přípravek tímto příznakem dříve, než je držitelem rozhodnutí o registraci oficiálně oznámeno přerušení či ukončení dodávek léčivého přípravku na trh. Současně </w:t>
      </w:r>
      <w:r w:rsidRPr="0070747B">
        <w:rPr>
          <w:rFonts w:cstheme="minorHAnsi"/>
          <w:b/>
          <w:bCs/>
          <w:color w:val="auto"/>
          <w:sz w:val="24"/>
        </w:rPr>
        <w:t>je vhodné rozšířit pravomoc označovat léčivé přípravky příznakem „omezená dostupnost“ i na léčivé přípravky, které nemají stanovenou maximální cenu nebo úhradu z veřejného zdravotního pojištění</w:t>
      </w:r>
      <w:r w:rsidRPr="0070747B">
        <w:rPr>
          <w:rFonts w:cstheme="minorHAnsi"/>
          <w:color w:val="auto"/>
          <w:sz w:val="24"/>
        </w:rPr>
        <w:t>, neboť ty mohou též být významné pro poskytování zdravotních služeb, a tudíž důležité pro zajištění stanovené léčby. Je však zapotřebí nastavit legislativní rámec tak, aby nebyl v rozporu s</w:t>
      </w:r>
      <w:r w:rsidR="007E3FBE">
        <w:rPr>
          <w:rFonts w:cstheme="minorHAnsi"/>
          <w:color w:val="auto"/>
          <w:sz w:val="24"/>
        </w:rPr>
        <w:t> </w:t>
      </w:r>
      <w:r w:rsidRPr="0070747B">
        <w:rPr>
          <w:rFonts w:cstheme="minorHAnsi"/>
          <w:color w:val="auto"/>
          <w:sz w:val="24"/>
        </w:rPr>
        <w:t>pravidly volného pohybu zboží Evropské unie.</w:t>
      </w:r>
    </w:p>
    <w:p w:rsidR="00434E5A" w:rsidRPr="0070747B" w:rsidP="00434E5A" w14:paraId="1FB89B89" w14:textId="77777777">
      <w:pPr>
        <w:rPr>
          <w:rFonts w:cstheme="minorHAnsi"/>
          <w:color w:val="auto"/>
          <w:sz w:val="24"/>
        </w:rPr>
      </w:pPr>
      <w:r w:rsidRPr="0070747B">
        <w:rPr>
          <w:rFonts w:cstheme="minorHAnsi"/>
          <w:color w:val="auto"/>
          <w:sz w:val="24"/>
        </w:rPr>
        <w:t xml:space="preserve">Ke zvýšení dostupnosti léčiv vzhledem k identifikovaným regionálním rozdílům, a to zejména u pacientů, kteří pravidelně a dlouhodobě užívají stejné léčivé přípravky, případně u pacientů hendikepovaných, přispěje ke zvýšení dostupnosti čtvrtý dílčí cíl, kterým je </w:t>
      </w:r>
      <w:r w:rsidRPr="0070747B">
        <w:rPr>
          <w:rFonts w:cstheme="minorHAnsi"/>
          <w:b/>
          <w:bCs/>
          <w:color w:val="auto"/>
          <w:sz w:val="24"/>
        </w:rPr>
        <w:t>zásilkový výdej léčiv, jejichž výdej je vázán na lékařský předpis a emergentní výdej</w:t>
      </w:r>
      <w:r w:rsidRPr="0070747B">
        <w:rPr>
          <w:rFonts w:cstheme="minorHAnsi"/>
          <w:color w:val="auto"/>
          <w:sz w:val="24"/>
        </w:rPr>
        <w:t xml:space="preserve">. </w:t>
      </w:r>
    </w:p>
    <w:p w:rsidR="00434E5A" w:rsidRPr="0070747B" w:rsidP="00434E5A" w14:paraId="08339962" w14:textId="1F905AB5">
      <w:pPr>
        <w:rPr>
          <w:rFonts w:cstheme="minorHAnsi"/>
          <w:color w:val="auto"/>
          <w:sz w:val="24"/>
        </w:rPr>
      </w:pPr>
      <w:r w:rsidRPr="0070747B">
        <w:rPr>
          <w:rFonts w:cstheme="minorHAnsi"/>
          <w:color w:val="auto"/>
          <w:sz w:val="24"/>
        </w:rPr>
        <w:t>Realizace obou opatření je možná pouze prostřednictvím legislativní změny v podobě novely zákona o léčivech. Obě opatření významně pozitivně ovlivní přístup pacientů k léčivým přípravkům, jejichž výdej je vázán na lékařský předpis. Zásilkový výdej receptových léčivých přípravků umožní pacientům objednat si lékařem předepsaný léčivý přípravek v libovolné lékárně, která bude poskytovat službu zásilkového výdeje receptových léčivých přípravků, a</w:t>
      </w:r>
      <w:r w:rsidR="007E3FBE">
        <w:rPr>
          <w:rFonts w:cstheme="minorHAnsi"/>
          <w:color w:val="auto"/>
          <w:sz w:val="24"/>
        </w:rPr>
        <w:t> </w:t>
      </w:r>
      <w:r w:rsidRPr="0070747B">
        <w:rPr>
          <w:rFonts w:cstheme="minorHAnsi"/>
          <w:color w:val="auto"/>
          <w:sz w:val="24"/>
        </w:rPr>
        <w:t xml:space="preserve">tudíž i v případě, že lékárny v dostupné vzdálenosti od pacienta nedisponují požadovaným léčivým přípravkem, toto opatření kromě řešení lokální nedostupnosti rovněž zvýší komfort pacienta a napomůže mu jednoduše si opatřit potřebný léčivý přípravek. Zavedení možnosti tzv. emergentního výdeje je doplňkovým opatřením, s jehož využitím bude možné pacientovi vydat za stanových podmínek léčivý přípravek, který běžně užívá (chronická terapie) i bez lékařského předpisu. Toto opatření napomůže eliminovat situace, kdy si pacient z jakéhokoli důvodu nemůže opatřit od svého ošetřujícího lékaře recept na další balení léčivého přípravku pro účely pokračování léčby. V případě splnění stanovených podmínek tak nebude docházet k situaci, kdy by pacient z důvodu dočasné nedostupnosti lékařské péče neměl k dispozici svou léčbu. Pro účely realizace obou uvedených opatření je však zapotřebí nastavit pravidla, aby nebyla ohrožena bezpečnost, účinnost a jakost léčivých přípravků a aby byly dodrženy léčebné postupy stanovené ošetřujícím lékařem a zajištěna bezpečnost pacienta. Odhadované náklady ze státního rozpočtu na realizaci uvedených opatření jsou přibližně 100 milionů Kč. </w:t>
      </w:r>
    </w:p>
    <w:p w:rsidR="00434E5A" w:rsidRPr="0070747B" w:rsidP="00434E5A" w14:paraId="3E900A6F" w14:textId="77777777">
      <w:pPr>
        <w:spacing w:before="0" w:line="264" w:lineRule="auto"/>
        <w:rPr>
          <w:rFonts w:cstheme="minorHAnsi"/>
          <w:color w:val="auto"/>
          <w:sz w:val="24"/>
        </w:rPr>
      </w:pPr>
      <w:r w:rsidRPr="0070747B">
        <w:rPr>
          <w:rFonts w:cstheme="minorHAnsi"/>
          <w:color w:val="auto"/>
          <w:sz w:val="24"/>
        </w:rPr>
        <w:t xml:space="preserve">Ve snaze </w:t>
      </w:r>
      <w:r w:rsidRPr="0070747B">
        <w:rPr>
          <w:rFonts w:cstheme="minorHAnsi"/>
          <w:b/>
          <w:bCs/>
          <w:color w:val="auto"/>
          <w:sz w:val="24"/>
        </w:rPr>
        <w:t>zmenšit závislost na dovozu léků</w:t>
      </w:r>
      <w:r w:rsidRPr="0070747B">
        <w:rPr>
          <w:rFonts w:cstheme="minorHAnsi"/>
          <w:color w:val="auto"/>
          <w:sz w:val="24"/>
        </w:rPr>
        <w:t xml:space="preserve">, často ze zemí mimo Evropskou unii, bylo v rámci </w:t>
      </w:r>
      <w:r w:rsidRPr="0070747B">
        <w:rPr>
          <w:rFonts w:cstheme="minorHAnsi"/>
          <w:i/>
          <w:iCs/>
          <w:color w:val="auto"/>
          <w:sz w:val="24"/>
        </w:rPr>
        <w:t>Hospodářské strategie České republiky: Česko do top 10</w:t>
      </w:r>
      <w:r>
        <w:rPr>
          <w:rStyle w:val="FootnoteReference"/>
          <w:rFonts w:cstheme="minorHAnsi"/>
          <w:color w:val="auto"/>
          <w:sz w:val="24"/>
        </w:rPr>
        <w:footnoteReference w:id="59"/>
      </w:r>
      <w:r w:rsidRPr="0070747B">
        <w:rPr>
          <w:rFonts w:cstheme="minorHAnsi"/>
          <w:color w:val="auto"/>
          <w:sz w:val="24"/>
        </w:rPr>
        <w:t>, do prvního implementačního plánu stejnojmenné strategie zařazeno opatření „Posílení soběstačnosti ve výrobě humánních léčiv a léčivých látek tzv. API (aktivní ingredience)“. V rámci zajištění souladu a synergie jsou aktivity součástí i aktualizace Zdraví 2035. Obsahem implementace bude:</w:t>
      </w:r>
    </w:p>
    <w:p w:rsidR="00434E5A" w:rsidRPr="0070747B" w:rsidP="00434E5A" w14:paraId="36ED2941" w14:textId="67C6BF21">
      <w:pPr>
        <w:pStyle w:val="ListParagraph"/>
        <w:numPr>
          <w:ilvl w:val="0"/>
          <w:numId w:val="70"/>
        </w:numPr>
        <w:spacing w:before="0" w:line="264" w:lineRule="auto"/>
        <w:rPr>
          <w:rFonts w:cstheme="minorHAnsi"/>
          <w:color w:val="auto"/>
          <w:sz w:val="24"/>
          <w:szCs w:val="24"/>
        </w:rPr>
      </w:pPr>
      <w:r>
        <w:rPr>
          <w:rFonts w:cstheme="minorHAnsi"/>
          <w:color w:val="auto"/>
          <w:sz w:val="24"/>
          <w:szCs w:val="24"/>
        </w:rPr>
        <w:t>Z</w:t>
      </w:r>
      <w:r w:rsidRPr="0070747B">
        <w:rPr>
          <w:rFonts w:cstheme="minorHAnsi"/>
          <w:color w:val="auto"/>
          <w:sz w:val="24"/>
          <w:szCs w:val="24"/>
        </w:rPr>
        <w:t>řízení pozice sektorových specialistů (na úrovni ministerských radů) dedikovaných pro oblasti farmacie, medicínské technologie a výroby léčivých přípravků (2026) v MZD a</w:t>
      </w:r>
      <w:r w:rsidR="007E3FBE">
        <w:rPr>
          <w:rFonts w:cstheme="minorHAnsi"/>
          <w:color w:val="auto"/>
          <w:sz w:val="24"/>
          <w:szCs w:val="24"/>
        </w:rPr>
        <w:t> </w:t>
      </w:r>
      <w:r w:rsidRPr="0070747B">
        <w:rPr>
          <w:rFonts w:cstheme="minorHAnsi"/>
          <w:color w:val="auto"/>
          <w:sz w:val="24"/>
          <w:szCs w:val="24"/>
        </w:rPr>
        <w:t>MPO;</w:t>
      </w:r>
    </w:p>
    <w:p w:rsidR="00434E5A" w:rsidRPr="0070747B" w:rsidP="00434E5A" w14:paraId="43546FCA" w14:textId="51E94563">
      <w:pPr>
        <w:pStyle w:val="ListParagraph"/>
        <w:numPr>
          <w:ilvl w:val="0"/>
          <w:numId w:val="70"/>
        </w:numPr>
        <w:spacing w:before="0" w:line="264" w:lineRule="auto"/>
        <w:rPr>
          <w:rFonts w:cstheme="minorHAnsi"/>
          <w:color w:val="auto"/>
          <w:sz w:val="24"/>
          <w:szCs w:val="24"/>
        </w:rPr>
      </w:pPr>
      <w:r>
        <w:rPr>
          <w:rFonts w:cstheme="minorHAnsi"/>
          <w:color w:val="auto"/>
          <w:sz w:val="24"/>
          <w:szCs w:val="24"/>
        </w:rPr>
        <w:t>Z</w:t>
      </w:r>
      <w:r w:rsidRPr="0070747B">
        <w:rPr>
          <w:rFonts w:cstheme="minorHAnsi"/>
          <w:color w:val="auto"/>
          <w:sz w:val="24"/>
          <w:szCs w:val="24"/>
        </w:rPr>
        <w:t>mapování stávající i chybějící kompetence pro výzkum a vývoj léčiv i diagnostik, se zvláštním zaměřením na průmyslový výzkum, experimentální vývoj, velké výzkumné infrastruktury v medicíně a centra kompetencí na výzkumných a vzdělávacích institucích realizujících mj. vědecké projekty transferovatelné do průmyslových aplikací (2026);</w:t>
      </w:r>
    </w:p>
    <w:p w:rsidR="00434E5A" w:rsidRPr="0070747B" w:rsidP="00434E5A" w14:paraId="195175AC" w14:textId="519F89F4">
      <w:pPr>
        <w:pStyle w:val="ListParagraph"/>
        <w:numPr>
          <w:ilvl w:val="0"/>
          <w:numId w:val="70"/>
        </w:numPr>
        <w:spacing w:before="0" w:line="264" w:lineRule="auto"/>
        <w:rPr>
          <w:rFonts w:cstheme="minorHAnsi"/>
          <w:color w:val="auto"/>
          <w:sz w:val="24"/>
          <w:szCs w:val="24"/>
        </w:rPr>
      </w:pPr>
      <w:r>
        <w:rPr>
          <w:rFonts w:cstheme="minorHAnsi"/>
          <w:color w:val="auto"/>
          <w:sz w:val="24"/>
          <w:szCs w:val="24"/>
        </w:rPr>
        <w:t>Z</w:t>
      </w:r>
      <w:r w:rsidRPr="0070747B">
        <w:rPr>
          <w:rFonts w:cstheme="minorHAnsi"/>
          <w:color w:val="auto"/>
          <w:sz w:val="24"/>
          <w:szCs w:val="24"/>
        </w:rPr>
        <w:t>pracování Národního plánu pro farmaceutický průmysl analyzující stav sektoru v ČR a</w:t>
      </w:r>
      <w:r w:rsidR="007E3FBE">
        <w:rPr>
          <w:rFonts w:cstheme="minorHAnsi"/>
          <w:color w:val="auto"/>
          <w:sz w:val="24"/>
          <w:szCs w:val="24"/>
        </w:rPr>
        <w:t> </w:t>
      </w:r>
      <w:r w:rsidRPr="0070747B">
        <w:rPr>
          <w:rFonts w:cstheme="minorHAnsi"/>
          <w:color w:val="auto"/>
          <w:sz w:val="24"/>
          <w:szCs w:val="24"/>
        </w:rPr>
        <w:t>jeho potřeby, a navrhující opatření pro jeho rozvoj (2027);</w:t>
      </w:r>
    </w:p>
    <w:p w:rsidR="00434E5A" w:rsidRPr="0070747B" w:rsidP="00434E5A" w14:paraId="651C006E" w14:textId="12C022F6">
      <w:pPr>
        <w:pStyle w:val="ListParagraph"/>
        <w:numPr>
          <w:ilvl w:val="0"/>
          <w:numId w:val="70"/>
        </w:numPr>
        <w:spacing w:before="0" w:line="264" w:lineRule="auto"/>
        <w:rPr>
          <w:rFonts w:cstheme="minorHAnsi"/>
          <w:color w:val="auto"/>
          <w:sz w:val="24"/>
          <w:szCs w:val="24"/>
        </w:rPr>
      </w:pPr>
      <w:r>
        <w:rPr>
          <w:rFonts w:cstheme="minorHAnsi"/>
          <w:color w:val="auto"/>
          <w:sz w:val="24"/>
          <w:szCs w:val="24"/>
        </w:rPr>
        <w:t>P</w:t>
      </w:r>
      <w:r w:rsidRPr="0070747B">
        <w:rPr>
          <w:rFonts w:cstheme="minorHAnsi"/>
          <w:color w:val="auto"/>
          <w:sz w:val="24"/>
          <w:szCs w:val="24"/>
        </w:rPr>
        <w:t xml:space="preserve">řípravu projektu v rámci výzvy Technologické platformy II, jehož primárním cílem bude zpracování akčního plánu pro implementaci směrnice Evropského parlamentu </w:t>
      </w:r>
      <w:r w:rsidRPr="0070747B" w:rsidR="007E3FBE">
        <w:rPr>
          <w:rFonts w:cstheme="minorHAnsi"/>
          <w:color w:val="auto"/>
          <w:sz w:val="24"/>
          <w:szCs w:val="24"/>
        </w:rPr>
        <w:t>a</w:t>
      </w:r>
      <w:r w:rsidR="007E3FBE">
        <w:rPr>
          <w:rFonts w:cstheme="minorHAnsi"/>
          <w:color w:val="auto"/>
          <w:sz w:val="24"/>
          <w:szCs w:val="24"/>
        </w:rPr>
        <w:t> Rady</w:t>
      </w:r>
      <w:r w:rsidRPr="0070747B">
        <w:rPr>
          <w:rFonts w:cstheme="minorHAnsi"/>
          <w:color w:val="auto"/>
          <w:sz w:val="24"/>
          <w:szCs w:val="24"/>
        </w:rPr>
        <w:t xml:space="preserve"> (EU) 2024/3019 ze dne 27. listopadu 2024 o čištění městských odpadních vod (přepracované znění) (UWWTD) v ČR. Součástí tohoto projektu dojde ke zpracování výrobní mapy farmaceutického průmyslu v ČR. Na základě výše uvedeného bude možné činit informovaná rozhodnutí o cílené podpoře výroby konkrétních léčivých přípravků, která sníží strategickou závislost a zranitelnost ČR a EU (2026);</w:t>
      </w:r>
    </w:p>
    <w:p w:rsidR="00434E5A" w:rsidRPr="0070747B" w:rsidP="00434E5A" w14:paraId="7E495798" w14:textId="5BF4EF50">
      <w:pPr>
        <w:pStyle w:val="ListParagraph"/>
        <w:numPr>
          <w:ilvl w:val="0"/>
          <w:numId w:val="70"/>
        </w:numPr>
        <w:spacing w:before="0" w:line="264" w:lineRule="auto"/>
        <w:rPr>
          <w:rFonts w:cstheme="minorHAnsi"/>
          <w:color w:val="auto"/>
          <w:sz w:val="24"/>
        </w:rPr>
      </w:pPr>
      <w:r>
        <w:rPr>
          <w:rFonts w:cstheme="minorHAnsi"/>
          <w:color w:val="auto"/>
          <w:sz w:val="24"/>
          <w:szCs w:val="24"/>
        </w:rPr>
        <w:t>P</w:t>
      </w:r>
      <w:r w:rsidRPr="0070747B">
        <w:rPr>
          <w:rFonts w:cstheme="minorHAnsi"/>
          <w:color w:val="auto"/>
          <w:sz w:val="24"/>
          <w:szCs w:val="24"/>
        </w:rPr>
        <w:t>říprav</w:t>
      </w:r>
      <w:r w:rsidRPr="0070747B">
        <w:rPr>
          <w:rFonts w:cstheme="minorHAnsi"/>
          <w:bCs w:val="0"/>
          <w:color w:val="auto"/>
          <w:sz w:val="24"/>
          <w:szCs w:val="24"/>
        </w:rPr>
        <w:t>u</w:t>
      </w:r>
      <w:r w:rsidRPr="0070747B">
        <w:rPr>
          <w:rFonts w:cstheme="minorHAnsi"/>
          <w:color w:val="auto"/>
          <w:sz w:val="24"/>
          <w:szCs w:val="24"/>
        </w:rPr>
        <w:t xml:space="preserve"> na implementaci nařízení o kriticky důležitých léčivech (Critical Medicines Act) pro posílení konkurenceschopnosti projektů tuzemských výrobců ucházet se včas o</w:t>
      </w:r>
      <w:r w:rsidR="007E3FBE">
        <w:rPr>
          <w:rFonts w:cstheme="minorHAnsi"/>
          <w:color w:val="auto"/>
          <w:sz w:val="24"/>
          <w:szCs w:val="24"/>
        </w:rPr>
        <w:t> </w:t>
      </w:r>
      <w:r w:rsidRPr="0070747B">
        <w:rPr>
          <w:rFonts w:cstheme="minorHAnsi"/>
          <w:color w:val="auto"/>
          <w:sz w:val="24"/>
          <w:szCs w:val="24"/>
        </w:rPr>
        <w:t>finanční a regulatorní podporu strategickým projektům posilujícím soběstačnost EU (2026);zavedení investiční pobídky (dotačního programu) pro podporu výroby léčivých přípravků a podpora vybraných strategických projektů odpovídajících konceptům návrhu Critical Medicines Act i za předpokladu potřebné notifikace veřejné podpory u</w:t>
      </w:r>
      <w:r w:rsidR="007E3FBE">
        <w:rPr>
          <w:rFonts w:cstheme="minorHAnsi"/>
          <w:color w:val="auto"/>
          <w:sz w:val="24"/>
          <w:szCs w:val="24"/>
        </w:rPr>
        <w:t> </w:t>
      </w:r>
      <w:r w:rsidRPr="0070747B">
        <w:rPr>
          <w:rFonts w:cstheme="minorHAnsi"/>
          <w:color w:val="auto"/>
          <w:sz w:val="24"/>
          <w:szCs w:val="24"/>
        </w:rPr>
        <w:t>Evropské komise (2027).</w:t>
      </w:r>
    </w:p>
    <w:p w:rsidR="00434E5A" w:rsidRPr="0070747B" w:rsidP="00434E5A" w14:paraId="5EB2680A" w14:textId="7B03DCDD">
      <w:pPr>
        <w:pStyle w:val="ListParagraph"/>
        <w:numPr>
          <w:ilvl w:val="0"/>
          <w:numId w:val="0"/>
        </w:numPr>
        <w:spacing w:before="0" w:line="264" w:lineRule="auto"/>
        <w:rPr>
          <w:rFonts w:cstheme="minorHAnsi"/>
          <w:color w:val="auto"/>
          <w:sz w:val="24"/>
        </w:rPr>
      </w:pPr>
      <w:r w:rsidRPr="0070747B">
        <w:rPr>
          <w:rFonts w:cstheme="minorHAnsi"/>
          <w:color w:val="auto"/>
          <w:sz w:val="24"/>
          <w:szCs w:val="24"/>
        </w:rPr>
        <w:t>Šestý cíl pokrývá oblast financování léčivých přípravků. Dostupnost jak zavedených, tak i</w:t>
      </w:r>
      <w:r w:rsidR="007E3FBE">
        <w:rPr>
          <w:rFonts w:cstheme="minorHAnsi"/>
          <w:color w:val="auto"/>
          <w:sz w:val="24"/>
          <w:szCs w:val="24"/>
        </w:rPr>
        <w:t> </w:t>
      </w:r>
      <w:r w:rsidRPr="0070747B">
        <w:rPr>
          <w:rFonts w:cstheme="minorHAnsi"/>
          <w:color w:val="auto"/>
          <w:sz w:val="24"/>
          <w:szCs w:val="24"/>
        </w:rPr>
        <w:t xml:space="preserve">inovativních léčiv úzce souvisí s jejich financováním. Podmínkou zajišťování dostupnosti léčiv pro potřeby zdravotní péče je jejich finanční a cenová udržitelnost, a to jak z pohledu systému zdravotního pojištění a pacientů, tak i hospodářských subjektů, které dodávají léčiva na český trh. V rámci tohoto cíle tak budou realizována opatření </w:t>
      </w:r>
      <w:r w:rsidRPr="0070747B">
        <w:rPr>
          <w:rFonts w:cstheme="minorHAnsi"/>
          <w:b/>
          <w:bCs w:val="0"/>
          <w:color w:val="auto"/>
          <w:sz w:val="24"/>
          <w:szCs w:val="24"/>
        </w:rPr>
        <w:t xml:space="preserve">zajišťující co nejrychlejší vstup generických přípravků na český trh za rovných podmínek, které budou generovat úspory prostředků zdravotního pojištění i pacientů. </w:t>
      </w:r>
      <w:r w:rsidRPr="0070747B">
        <w:rPr>
          <w:rFonts w:cstheme="minorHAnsi"/>
          <w:color w:val="auto"/>
          <w:sz w:val="24"/>
          <w:szCs w:val="24"/>
        </w:rPr>
        <w:t xml:space="preserve">Prostředky zdravotního pojištění tak bude </w:t>
      </w:r>
      <w:r w:rsidRPr="0070747B">
        <w:rPr>
          <w:rFonts w:cstheme="minorHAnsi"/>
          <w:color w:val="auto"/>
          <w:sz w:val="24"/>
          <w:szCs w:val="24"/>
        </w:rPr>
        <w:t>možné efektivněji využít pro úhradu nově vstupujících léčiv nebo léčbu většího počtu pacientů. Využití potenciálu vstupu generik je důležité nejen z důvodu úspor, ale i z hlediska snižování vnější závislosti, neboť v ČR jsou vyráběny pouze generické léčivé přípravky a může tak dojít k podpoře domácího farmaceutického průmyslu. Druhá část realizace cíle bude mířit na změny v oblasti cenové regulace, kde by, s ohledem na vývoj cen vstupů výroby a určité zacyklenosti systému vnějších cenových referencích používaných kromě České republiky i v řadě další členských států EU, mělo dojít k </w:t>
      </w:r>
      <w:r w:rsidRPr="0070747B">
        <w:rPr>
          <w:rFonts w:cstheme="minorHAnsi"/>
          <w:b/>
          <w:bCs w:val="0"/>
          <w:color w:val="auto"/>
          <w:sz w:val="24"/>
          <w:szCs w:val="24"/>
        </w:rPr>
        <w:t>přehodnocení stávajícího systému</w:t>
      </w:r>
      <w:r w:rsidRPr="0070747B">
        <w:rPr>
          <w:rFonts w:cstheme="minorHAnsi"/>
          <w:color w:val="auto"/>
          <w:sz w:val="24"/>
          <w:szCs w:val="24"/>
        </w:rPr>
        <w:t xml:space="preserve">. Další rozšíření způsobů cenové regulace by mělo umožnit reagovat na vývoj v oblasti výroby a dodávek léčiv tak, aby byla zachována dostupnost zavedených léčiv. Nejenom vstup inovací, ale i cenová a úhradová dostupnost zavedených léčiv, která mnohdy představují základ léčby řady onemocnění, je zásadní pro zajištění náležité zdravotní péče o pacienty v ČR. </w:t>
      </w:r>
    </w:p>
    <w:p w:rsidR="00091ACA" w:rsidP="00A458DB" w14:paraId="7F2310F5" w14:textId="56D85D5A">
      <w:pPr>
        <w:rPr>
          <w:rFonts w:cstheme="minorHAnsi"/>
          <w:color w:val="auto"/>
          <w:sz w:val="24"/>
        </w:rPr>
      </w:pPr>
      <w:r w:rsidRPr="0070747B">
        <w:rPr>
          <w:rFonts w:cstheme="minorHAnsi"/>
          <w:color w:val="auto"/>
          <w:sz w:val="24"/>
        </w:rPr>
        <w:t>Posledním dílčím cílem je zajištění modernizace a rozvoje Státního ústavu pro kontrolu léčiv</w:t>
      </w:r>
      <w:r>
        <w:rPr>
          <w:rStyle w:val="FootnoteReference"/>
          <w:rFonts w:cstheme="minorHAnsi"/>
          <w:color w:val="auto"/>
          <w:sz w:val="24"/>
        </w:rPr>
        <w:footnoteReference w:id="60"/>
      </w:r>
      <w:r w:rsidRPr="0070747B">
        <w:rPr>
          <w:rFonts w:cstheme="minorHAnsi"/>
          <w:color w:val="auto"/>
          <w:sz w:val="24"/>
        </w:rPr>
        <w:t xml:space="preserve"> a Ministerstva zdravotnictví. S ohledem na plánované legislativní změny na národní úrovni i</w:t>
      </w:r>
      <w:r w:rsidR="007E3FBE">
        <w:rPr>
          <w:rFonts w:cstheme="minorHAnsi"/>
          <w:color w:val="auto"/>
          <w:sz w:val="24"/>
        </w:rPr>
        <w:t> </w:t>
      </w:r>
      <w:r w:rsidRPr="0070747B">
        <w:rPr>
          <w:rFonts w:cstheme="minorHAnsi"/>
          <w:color w:val="auto"/>
          <w:sz w:val="24"/>
        </w:rPr>
        <w:t xml:space="preserve">na úrovni Evropské unie je zapotřebí vytvořit dostatečné podmínky v Ministerstvu zdravotnictví a Státním ústavu pro kontrolu léčiv, aby byla udržena vysoká kvalita jejich činnosti nejen v oblasti lékové politiky České republiky. Je zapotřebí vytvořit ve Státním ústavu pro kontrolu léčiv pozice odborných hodnotitelů, koordinátorů i inspektorů, aby byl i v budoucnosti schopen odborně pojmout veškerou regulaci oblasti nejen léčivých přípravků a poskytovat služby veřejnosti na náležité úrovni, v požadované kvalitě, rychle a se zachováním přístupu důrazné ochrany života a zdraví pacientů v České republice. Jedním ze střednědobých cílů by měla být </w:t>
      </w:r>
      <w:r w:rsidRPr="0070747B">
        <w:rPr>
          <w:rFonts w:cstheme="minorHAnsi"/>
          <w:b/>
          <w:bCs/>
          <w:color w:val="auto"/>
          <w:sz w:val="24"/>
        </w:rPr>
        <w:t>modernizace sídla Státního ústavu pro kontrolu léčiv, a to i s ohledem na navýšení personálních kapacit odpovídající nárůstu agend nebo rozvoj laboratorních prostor</w:t>
      </w:r>
      <w:r w:rsidRPr="0070747B">
        <w:rPr>
          <w:rFonts w:cstheme="minorHAnsi"/>
          <w:color w:val="auto"/>
          <w:sz w:val="24"/>
        </w:rPr>
        <w:t>, které lze efektivně dosáhnout stavbou nové budovy, která poskytne potřebné zázemí pro výkon činností. V neposlední řadě je, i s ohledem na očekávané rozšíření agend vykonávaných na úrovni Ministerstva zdravotnictví, potřeba posílit pozice specialistů v oblasti lékové politiky, a</w:t>
      </w:r>
      <w:r w:rsidR="007E3FBE">
        <w:rPr>
          <w:rFonts w:cstheme="minorHAnsi"/>
          <w:color w:val="auto"/>
          <w:sz w:val="24"/>
        </w:rPr>
        <w:t> </w:t>
      </w:r>
      <w:r w:rsidRPr="0070747B">
        <w:rPr>
          <w:rFonts w:cstheme="minorHAnsi"/>
          <w:color w:val="auto"/>
          <w:sz w:val="24"/>
        </w:rPr>
        <w:t xml:space="preserve">to zejména v oblasti HTA, Horizon scanning apod. Financování výše uvedených opatření lze zajistit kombinací </w:t>
      </w:r>
      <w:r w:rsidRPr="0070747B">
        <w:rPr>
          <w:rFonts w:cstheme="minorHAnsi"/>
          <w:b/>
          <w:bCs/>
          <w:color w:val="auto"/>
          <w:sz w:val="24"/>
        </w:rPr>
        <w:t>zvýšení mimorozpočtového financování Státního ústavu pro kontrolu léčiv a financováním ze státního rozpočtu</w:t>
      </w:r>
      <w:r w:rsidRPr="0070747B">
        <w:rPr>
          <w:rFonts w:cstheme="minorHAnsi"/>
          <w:color w:val="auto"/>
          <w:sz w:val="24"/>
        </w:rPr>
        <w:t xml:space="preserve">. Odhadované náklady z evropských fondů a ze státního rozpočtu na realizaci uvedeného opatření jsou pro období let 2026 až 2035 přibližně 1,5 mld. Kč. </w:t>
      </w:r>
    </w:p>
    <w:p w:rsidR="00A458DB" w:rsidRPr="00A458DB" w:rsidP="00A458DB" w14:paraId="0A4B6718" w14:textId="77777777">
      <w:pPr>
        <w:rPr>
          <w:bCs/>
          <w:color w:val="auto"/>
          <w:szCs w:val="22"/>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5D2CBB5F"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845"/>
          <w:tblHeader/>
        </w:trPr>
        <w:tc>
          <w:tcPr>
            <w:tcW w:w="215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34E5A" w:rsidRPr="008729A1" w:rsidP="00722F15" w14:paraId="14A7F187" w14:textId="77777777">
            <w:pPr>
              <w:jc w:val="left"/>
              <w:rPr>
                <w:rFonts w:cs="Times New Roman"/>
                <w:sz w:val="24"/>
              </w:rPr>
            </w:pPr>
            <w:r w:rsidRPr="008729A1">
              <w:rPr>
                <w:rFonts w:cs="Times New Roman"/>
                <w:sz w:val="24"/>
              </w:rPr>
              <w:br w:type="page"/>
            </w:r>
          </w:p>
          <w:p w:rsidR="00434E5A" w:rsidRPr="008729A1" w:rsidP="00722F15" w14:paraId="09E97AD9" w14:textId="77777777">
            <w:pPr>
              <w:jc w:val="left"/>
              <w:rPr>
                <w:rFonts w:eastAsiaTheme="minorHAnsi" w:cs="Arial"/>
                <w:b/>
                <w:color w:val="205493"/>
                <w:sz w:val="24"/>
              </w:rPr>
            </w:pPr>
            <w:r w:rsidRPr="008729A1">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CCFFCC"/>
            <w:vAlign w:val="center"/>
            <w:hideMark/>
          </w:tcPr>
          <w:p w:rsidR="00434E5A" w:rsidRPr="008729A1" w:rsidP="00722F15" w14:paraId="5D1A9027" w14:textId="77777777">
            <w:pPr>
              <w:pStyle w:val="Default"/>
              <w:numPr>
                <w:ilvl w:val="1"/>
                <w:numId w:val="11"/>
              </w:numPr>
              <w:rPr>
                <w:rFonts w:eastAsia="Times New Roman" w:asciiTheme="minorHAnsi" w:hAnsiTheme="minorHAnsi"/>
                <w:b/>
                <w:bCs/>
                <w:color w:val="205493"/>
              </w:rPr>
            </w:pPr>
            <w:r w:rsidRPr="0070747B">
              <w:rPr>
                <w:rFonts w:asciiTheme="minorHAnsi" w:hAnsiTheme="minorHAnsi"/>
                <w:b/>
                <w:bCs/>
                <w:color w:val="1F497D" w:themeColor="text2"/>
              </w:rPr>
              <w:t>Léková politika a zvýšení dostupnosti léčiv</w:t>
            </w:r>
          </w:p>
        </w:tc>
        <w:tc>
          <w:tcPr>
            <w:tcW w:w="929" w:type="dxa"/>
            <w:tcBorders>
              <w:top w:val="single" w:sz="4" w:space="0" w:color="auto"/>
              <w:left w:val="nil"/>
              <w:bottom w:val="single" w:sz="4" w:space="0" w:color="auto"/>
              <w:right w:val="single" w:sz="4" w:space="0" w:color="auto"/>
            </w:tcBorders>
            <w:shd w:val="clear" w:color="auto" w:fill="CCFFCC"/>
            <w:vAlign w:val="center"/>
          </w:tcPr>
          <w:p w:rsidR="00434E5A" w:rsidRPr="008729A1" w:rsidP="00722F15" w14:paraId="5F190048" w14:textId="77777777">
            <w:pPr>
              <w:pStyle w:val="Default"/>
              <w:jc w:val="right"/>
              <w:rPr>
                <w:rFonts w:eastAsia="Times New Roman" w:asciiTheme="minorHAnsi" w:hAnsiTheme="minorHAnsi"/>
                <w:b/>
                <w:bCs/>
                <w:color w:val="205493"/>
              </w:rPr>
            </w:pPr>
          </w:p>
        </w:tc>
      </w:tr>
      <w:tr w14:paraId="34600484" w14:textId="77777777" w:rsidTr="00722F15">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181D16F6" w14:textId="77777777">
            <w:pPr>
              <w:rPr>
                <w:rFonts w:eastAsiaTheme="minorHAnsi" w:cs="Arial"/>
                <w:b/>
                <w:sz w:val="24"/>
              </w:rPr>
            </w:pPr>
            <w:r w:rsidRPr="008729A1">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tcPr>
          <w:p w:rsidR="00434E5A" w:rsidRPr="0070747B" w:rsidP="00722F15" w14:paraId="2F06A0FA" w14:textId="77777777">
            <w:pPr>
              <w:pStyle w:val="NormalWeb"/>
              <w:spacing w:line="276" w:lineRule="auto"/>
              <w:ind w:left="490" w:hanging="490"/>
              <w:jc w:val="both"/>
              <w:rPr>
                <w:rFonts w:asciiTheme="minorHAnsi" w:hAnsiTheme="minorHAnsi" w:cstheme="minorHAnsi"/>
              </w:rPr>
            </w:pPr>
            <w:r w:rsidRPr="0070747B">
              <w:rPr>
                <w:rFonts w:asciiTheme="minorHAnsi" w:hAnsiTheme="minorHAnsi" w:cstheme="minorHAnsi"/>
              </w:rPr>
              <w:t xml:space="preserve">1.3.1 Implementovat unijní právní předpisy a stabilizovat řízení zásob léčiv </w:t>
            </w:r>
          </w:p>
          <w:p w:rsidR="00434E5A" w:rsidRPr="0070747B" w:rsidP="00722F15" w14:paraId="2C5A66D8" w14:textId="77777777">
            <w:pPr>
              <w:pStyle w:val="NormalWeb"/>
              <w:spacing w:line="276" w:lineRule="auto"/>
              <w:ind w:left="490" w:hanging="490"/>
              <w:jc w:val="both"/>
              <w:rPr>
                <w:rFonts w:asciiTheme="minorHAnsi" w:hAnsiTheme="minorHAnsi" w:cstheme="minorHAnsi"/>
              </w:rPr>
            </w:pPr>
            <w:r w:rsidRPr="0070747B">
              <w:rPr>
                <w:rFonts w:asciiTheme="minorHAnsi" w:hAnsiTheme="minorHAnsi" w:cstheme="minorHAnsi"/>
              </w:rPr>
              <w:t xml:space="preserve">1.3.2 Zavést systém monitoringu léčiv </w:t>
            </w:r>
          </w:p>
          <w:p w:rsidR="00434E5A" w:rsidRPr="0070747B" w:rsidP="00722F15" w14:paraId="23284603" w14:textId="77777777">
            <w:pPr>
              <w:pStyle w:val="NormalWeb"/>
              <w:spacing w:line="276" w:lineRule="auto"/>
              <w:ind w:left="490" w:hanging="490"/>
              <w:jc w:val="both"/>
              <w:rPr>
                <w:rFonts w:asciiTheme="minorHAnsi" w:hAnsiTheme="minorHAnsi" w:cstheme="minorHAnsi"/>
              </w:rPr>
            </w:pPr>
            <w:r w:rsidRPr="0070747B">
              <w:rPr>
                <w:rFonts w:asciiTheme="minorHAnsi" w:hAnsiTheme="minorHAnsi" w:cstheme="minorHAnsi"/>
              </w:rPr>
              <w:t>1.3.3 Zvýšit aktivní zapojení stakeholderů</w:t>
            </w:r>
          </w:p>
          <w:p w:rsidR="00434E5A" w:rsidRPr="0070747B" w:rsidP="00722F15" w14:paraId="5B1296E3" w14:textId="77777777">
            <w:pPr>
              <w:pStyle w:val="NormalWeb"/>
              <w:spacing w:line="276" w:lineRule="auto"/>
              <w:ind w:left="490" w:hanging="490"/>
              <w:jc w:val="both"/>
              <w:rPr>
                <w:rFonts w:asciiTheme="minorHAnsi" w:hAnsiTheme="minorHAnsi" w:cstheme="minorHAnsi"/>
              </w:rPr>
            </w:pPr>
            <w:r w:rsidRPr="0070747B">
              <w:rPr>
                <w:rFonts w:asciiTheme="minorHAnsi" w:hAnsiTheme="minorHAnsi" w:cstheme="minorHAnsi"/>
              </w:rPr>
              <w:t xml:space="preserve">1.3.4 Modernizovat způsoby výdeje léčiv </w:t>
            </w:r>
          </w:p>
          <w:p w:rsidR="00434E5A" w:rsidRPr="0070747B" w:rsidP="00722F15" w14:paraId="73336C56" w14:textId="77777777">
            <w:pPr>
              <w:pStyle w:val="NormalWeb"/>
              <w:spacing w:line="276" w:lineRule="auto"/>
              <w:ind w:left="490" w:hanging="490"/>
              <w:jc w:val="both"/>
              <w:rPr>
                <w:rFonts w:asciiTheme="minorHAnsi" w:hAnsiTheme="minorHAnsi" w:cstheme="minorHAnsi"/>
              </w:rPr>
            </w:pPr>
            <w:r w:rsidRPr="0070747B">
              <w:rPr>
                <w:rFonts w:asciiTheme="minorHAnsi" w:hAnsiTheme="minorHAnsi" w:cstheme="minorHAnsi"/>
              </w:rPr>
              <w:t xml:space="preserve">1.3.5 Zvýšit hospodářskou podporu výroby léčiv </w:t>
            </w:r>
          </w:p>
          <w:p w:rsidR="00434E5A" w:rsidRPr="0070747B" w:rsidP="00722F15" w14:paraId="16D01256" w14:textId="77777777">
            <w:pPr>
              <w:pStyle w:val="NormalWeb"/>
              <w:spacing w:line="276" w:lineRule="auto"/>
              <w:ind w:left="490" w:hanging="490"/>
              <w:jc w:val="both"/>
              <w:rPr>
                <w:rFonts w:asciiTheme="minorHAnsi" w:hAnsiTheme="minorHAnsi" w:cstheme="minorHAnsi"/>
              </w:rPr>
            </w:pPr>
            <w:r w:rsidRPr="0070747B">
              <w:rPr>
                <w:rFonts w:asciiTheme="minorHAnsi" w:hAnsiTheme="minorHAnsi" w:cstheme="minorHAnsi"/>
              </w:rPr>
              <w:t>1.3.6 Stabilizovat finanční udržitelnost lékové politiky</w:t>
            </w:r>
          </w:p>
          <w:p w:rsidR="00434E5A" w:rsidRPr="0070747B" w:rsidP="00722F15" w14:paraId="475C20B8" w14:textId="77777777">
            <w:pPr>
              <w:pStyle w:val="NormalWeb"/>
              <w:spacing w:line="276" w:lineRule="auto"/>
              <w:ind w:left="490" w:hanging="490"/>
              <w:jc w:val="both"/>
              <w:rPr>
                <w:rFonts w:cstheme="minorHAnsi"/>
              </w:rPr>
            </w:pPr>
            <w:r w:rsidRPr="0070747B">
              <w:rPr>
                <w:rFonts w:asciiTheme="minorHAnsi" w:hAnsiTheme="minorHAnsi" w:cstheme="minorHAnsi"/>
              </w:rPr>
              <w:t>1.3.7 Zajistit rozvoj kapacit správních úřadů v oblasti lékové politiky státu</w:t>
            </w:r>
          </w:p>
        </w:tc>
      </w:tr>
      <w:tr w14:paraId="7697A47F"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629A1557" w14:textId="77777777">
            <w:pPr>
              <w:rPr>
                <w:rFonts w:eastAsiaTheme="minorHAnsi" w:cs="Arial"/>
                <w:b/>
                <w:sz w:val="24"/>
              </w:rPr>
            </w:pPr>
            <w:r w:rsidRPr="008729A1">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34E5A" w:rsidRPr="0070747B" w:rsidP="00722F15" w14:paraId="4C319F32" w14:textId="77777777">
            <w:pPr>
              <w:pStyle w:val="ListParagraph"/>
              <w:numPr>
                <w:ilvl w:val="0"/>
                <w:numId w:val="35"/>
              </w:numPr>
              <w:autoSpaceDE/>
              <w:autoSpaceDN/>
              <w:adjustRightInd/>
              <w:spacing w:before="0" w:after="0"/>
              <w:contextualSpacing/>
              <w:rPr>
                <w:rFonts w:cstheme="minorHAnsi"/>
                <w:color w:val="auto"/>
              </w:rPr>
            </w:pPr>
            <w:r w:rsidRPr="0070747B">
              <w:rPr>
                <w:rFonts w:cstheme="minorHAnsi"/>
                <w:color w:val="auto"/>
                <w:sz w:val="24"/>
                <w:szCs w:val="24"/>
              </w:rPr>
              <w:t>Implementace farmaceutického balíčku do právního řádu ČR prostřednictvím nového zákona o léčivech.</w:t>
            </w:r>
          </w:p>
          <w:p w:rsidR="00434E5A" w:rsidRPr="0070747B" w:rsidP="00722F15" w14:paraId="26B50CEB" w14:textId="77777777">
            <w:pPr>
              <w:pStyle w:val="ListParagraph"/>
              <w:numPr>
                <w:ilvl w:val="0"/>
                <w:numId w:val="35"/>
              </w:numPr>
              <w:autoSpaceDE/>
              <w:autoSpaceDN/>
              <w:adjustRightInd/>
              <w:spacing w:before="0" w:after="0"/>
              <w:contextualSpacing/>
              <w:rPr>
                <w:rFonts w:cstheme="minorHAnsi"/>
                <w:color w:val="auto"/>
              </w:rPr>
            </w:pPr>
            <w:r w:rsidRPr="0070747B">
              <w:rPr>
                <w:rFonts w:cstheme="minorHAnsi"/>
                <w:color w:val="auto"/>
                <w:sz w:val="24"/>
                <w:szCs w:val="24"/>
              </w:rPr>
              <w:t>Analýza dodavatelského řetězce a identifikace slabých míst</w:t>
            </w:r>
          </w:p>
          <w:p w:rsidR="00434E5A" w:rsidRPr="0070747B" w:rsidP="00722F15" w14:paraId="0ABD5F5A" w14:textId="77777777">
            <w:pPr>
              <w:pStyle w:val="ListParagraph"/>
              <w:numPr>
                <w:ilvl w:val="0"/>
                <w:numId w:val="35"/>
              </w:numPr>
              <w:autoSpaceDE/>
              <w:autoSpaceDN/>
              <w:adjustRightInd/>
              <w:spacing w:before="0" w:after="0"/>
              <w:contextualSpacing/>
              <w:rPr>
                <w:rFonts w:cstheme="minorHAnsi"/>
                <w:color w:val="auto"/>
                <w:sz w:val="24"/>
                <w:szCs w:val="24"/>
              </w:rPr>
            </w:pPr>
            <w:r w:rsidRPr="0070747B">
              <w:rPr>
                <w:rFonts w:cstheme="minorHAnsi"/>
                <w:color w:val="auto"/>
                <w:sz w:val="24"/>
                <w:szCs w:val="24"/>
              </w:rPr>
              <w:t>Nastavení a legislativní ukotvení bezpečného způsobu distančního výdeje léčiv, jejichž výdej je vázán na recept.</w:t>
            </w:r>
          </w:p>
          <w:p w:rsidR="00434E5A" w:rsidRPr="0070747B" w:rsidP="00722F15" w14:paraId="1DFFBA37" w14:textId="77777777">
            <w:pPr>
              <w:pStyle w:val="ListParagraph"/>
              <w:numPr>
                <w:ilvl w:val="0"/>
                <w:numId w:val="35"/>
              </w:numPr>
              <w:autoSpaceDE/>
              <w:autoSpaceDN/>
              <w:adjustRightInd/>
              <w:spacing w:before="0" w:after="0"/>
              <w:contextualSpacing/>
              <w:rPr>
                <w:rFonts w:cstheme="minorHAnsi"/>
                <w:color w:val="auto"/>
              </w:rPr>
            </w:pPr>
            <w:r w:rsidRPr="0070747B">
              <w:rPr>
                <w:rFonts w:cstheme="minorHAnsi"/>
                <w:color w:val="auto"/>
                <w:sz w:val="24"/>
                <w:szCs w:val="24"/>
              </w:rPr>
              <w:t>Analýza možností zpřístupnění informací o všech léčivých přípravcích pacientům</w:t>
            </w:r>
          </w:p>
        </w:tc>
      </w:tr>
      <w:tr w14:paraId="7096CA27"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62641FD5" w14:textId="77777777">
            <w:pPr>
              <w:rPr>
                <w:rFonts w:eastAsiaTheme="minorHAnsi" w:cs="Arial"/>
                <w:b/>
                <w:sz w:val="24"/>
              </w:rPr>
            </w:pPr>
            <w:r w:rsidRPr="008729A1">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34E5A" w:rsidRPr="0070747B" w:rsidP="00722F15" w14:paraId="36262644" w14:textId="77777777">
            <w:pPr>
              <w:rPr>
                <w:rFonts w:eastAsiaTheme="minorHAnsi" w:cs="Arial"/>
                <w:color w:val="auto"/>
                <w:sz w:val="24"/>
              </w:rPr>
            </w:pPr>
            <w:r w:rsidRPr="0070747B">
              <w:rPr>
                <w:rFonts w:cs="Arial"/>
                <w:color w:val="auto"/>
                <w:sz w:val="24"/>
              </w:rPr>
              <w:t>MZD – náměstek ministra (NAM/1)</w:t>
            </w:r>
          </w:p>
        </w:tc>
      </w:tr>
      <w:tr w14:paraId="67A6A720"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63D636FF" w14:textId="77777777">
            <w:pPr>
              <w:rPr>
                <w:rFonts w:eastAsiaTheme="minorHAnsi" w:cs="Arial"/>
                <w:b/>
                <w:sz w:val="24"/>
              </w:rPr>
            </w:pPr>
            <w:r w:rsidRPr="008729A1">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34E5A" w:rsidRPr="0070747B" w:rsidP="00722F15" w14:paraId="2C08C628" w14:textId="77777777">
            <w:pPr>
              <w:rPr>
                <w:rFonts w:cs="Arial"/>
                <w:color w:val="auto"/>
                <w:sz w:val="24"/>
              </w:rPr>
            </w:pPr>
            <w:r w:rsidRPr="0070747B">
              <w:rPr>
                <w:rFonts w:cs="Arial"/>
                <w:color w:val="auto"/>
                <w:sz w:val="24"/>
              </w:rPr>
              <w:t xml:space="preserve">SÚKL, </w:t>
            </w:r>
            <w:r w:rsidRPr="0070747B">
              <w:rPr>
                <w:rFonts w:cstheme="minorHAnsi"/>
                <w:color w:val="auto"/>
                <w:sz w:val="24"/>
              </w:rPr>
              <w:t>Zdravotní pojišťovny, ČLnK, SSHR, distributoři, držitelé rozhodnutí o registraci, MMR, MPO, MZE</w:t>
            </w:r>
            <w:r w:rsidRPr="0070747B">
              <w:rPr>
                <w:rFonts w:cs="Arial"/>
                <w:color w:val="auto"/>
                <w:sz w:val="24"/>
              </w:rPr>
              <w:t>, pacientské organizace</w:t>
            </w:r>
          </w:p>
        </w:tc>
      </w:tr>
      <w:tr w14:paraId="12D79731" w14:textId="77777777" w:rsidTr="00722F15">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7F66521C" w14:textId="77777777">
            <w:pPr>
              <w:rPr>
                <w:rFonts w:eastAsiaTheme="minorHAnsi" w:cs="Arial"/>
                <w:b/>
                <w:sz w:val="24"/>
              </w:rPr>
            </w:pPr>
            <w:r w:rsidRPr="008729A1">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434E5A" w:rsidRPr="0070747B" w:rsidP="00722F15" w14:paraId="1368F40F" w14:textId="77777777">
            <w:pPr>
              <w:rPr>
                <w:rFonts w:eastAsiaTheme="minorHAnsi" w:cs="Arial"/>
                <w:color w:val="auto"/>
                <w:sz w:val="24"/>
              </w:rPr>
            </w:pPr>
            <w:r w:rsidRPr="0070747B">
              <w:rPr>
                <w:rFonts w:cs="Arial"/>
                <w:color w:val="auto"/>
                <w:sz w:val="24"/>
              </w:rPr>
              <w:t>2.1       Reforma primární péče</w:t>
            </w:r>
          </w:p>
          <w:p w:rsidR="00434E5A" w:rsidRPr="0070747B" w:rsidP="00722F15" w14:paraId="3C67AEE7" w14:textId="77777777">
            <w:pPr>
              <w:rPr>
                <w:rFonts w:cs="Arial"/>
                <w:color w:val="auto"/>
                <w:sz w:val="24"/>
              </w:rPr>
            </w:pPr>
            <w:r w:rsidRPr="0070747B">
              <w:rPr>
                <w:rFonts w:cs="Arial"/>
                <w:color w:val="auto"/>
                <w:sz w:val="24"/>
              </w:rPr>
              <w:t>2.3</w:t>
            </w:r>
            <w:r w:rsidRPr="0070747B">
              <w:rPr>
                <w:rFonts w:cs="Arial"/>
                <w:color w:val="auto"/>
                <w:sz w:val="24"/>
              </w:rPr>
              <w:tab/>
              <w:t>Digitalizace zdravotnictví</w:t>
            </w:r>
          </w:p>
          <w:p w:rsidR="00434E5A" w:rsidRPr="0070747B" w:rsidP="00722F15" w14:paraId="70ADAA62" w14:textId="77777777">
            <w:pPr>
              <w:rPr>
                <w:rFonts w:cs="Arial"/>
                <w:color w:val="auto"/>
                <w:sz w:val="24"/>
              </w:rPr>
            </w:pPr>
            <w:r w:rsidRPr="0070747B">
              <w:rPr>
                <w:rFonts w:cs="Arial"/>
                <w:color w:val="auto"/>
                <w:sz w:val="24"/>
              </w:rPr>
              <w:t>2.4</w:t>
            </w:r>
            <w:r w:rsidRPr="0070747B">
              <w:rPr>
                <w:rFonts w:cs="Arial"/>
                <w:color w:val="auto"/>
                <w:sz w:val="24"/>
              </w:rPr>
              <w:tab/>
              <w:t>Optimalizace systému úhrad ve zdravotnictví</w:t>
            </w:r>
          </w:p>
          <w:p w:rsidR="00434E5A" w:rsidRPr="0070747B" w:rsidP="00722F15" w14:paraId="516E62F8" w14:textId="77777777">
            <w:pPr>
              <w:ind w:left="743" w:hanging="743"/>
              <w:rPr>
                <w:rFonts w:eastAsiaTheme="minorHAnsi" w:cs="Arial"/>
                <w:color w:val="auto"/>
                <w:sz w:val="24"/>
              </w:rPr>
            </w:pPr>
            <w:r w:rsidRPr="0070747B">
              <w:rPr>
                <w:rFonts w:cs="Arial"/>
                <w:color w:val="auto"/>
                <w:sz w:val="24"/>
              </w:rPr>
              <w:t>3.1</w:t>
            </w:r>
            <w:r w:rsidRPr="0070747B">
              <w:rPr>
                <w:rFonts w:cs="Arial"/>
                <w:color w:val="auto"/>
                <w:sz w:val="24"/>
              </w:rPr>
              <w:tab/>
              <w:t>Zapojení vědy a výzkumu do řešení prioritních úkolů zdravotnictví</w:t>
            </w:r>
          </w:p>
        </w:tc>
      </w:tr>
      <w:tr w14:paraId="3F709357"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73CFF722" w14:textId="77777777">
            <w:pPr>
              <w:rPr>
                <w:rFonts w:eastAsiaTheme="minorHAnsi" w:cs="Arial"/>
                <w:b/>
                <w:sz w:val="24"/>
              </w:rPr>
            </w:pPr>
            <w:r w:rsidRPr="008729A1">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34E5A" w:rsidRPr="0070747B" w:rsidP="00722F15" w14:paraId="0C48C65F" w14:textId="77777777">
            <w:pPr>
              <w:tabs>
                <w:tab w:val="num" w:pos="585"/>
              </w:tabs>
              <w:overflowPunct w:val="0"/>
              <w:autoSpaceDE w:val="0"/>
              <w:autoSpaceDN w:val="0"/>
              <w:adjustRightInd w:val="0"/>
              <w:rPr>
                <w:rFonts w:cs="Arial"/>
                <w:color w:val="auto"/>
                <w:sz w:val="24"/>
              </w:rPr>
            </w:pPr>
            <w:r w:rsidRPr="0070747B">
              <w:rPr>
                <w:rFonts w:cs="Arial"/>
                <w:color w:val="auto"/>
                <w:sz w:val="24"/>
              </w:rPr>
              <w:t xml:space="preserve">Na úrovni dopadu: </w:t>
            </w:r>
          </w:p>
          <w:p w:rsidR="00434E5A" w:rsidRPr="0070747B" w:rsidP="00722F15" w14:paraId="5EEED718" w14:textId="77777777">
            <w:pPr>
              <w:pStyle w:val="ListParagraph"/>
              <w:numPr>
                <w:ilvl w:val="0"/>
                <w:numId w:val="30"/>
              </w:numPr>
              <w:overflowPunct w:val="0"/>
              <w:spacing w:before="0"/>
              <w:contextualSpacing/>
              <w:rPr>
                <w:rFonts w:cs="Arial"/>
                <w:color w:val="auto"/>
                <w:sz w:val="24"/>
                <w:szCs w:val="24"/>
              </w:rPr>
            </w:pPr>
            <w:r w:rsidRPr="0070747B">
              <w:rPr>
                <w:rFonts w:cs="Arial"/>
                <w:color w:val="auto"/>
                <w:sz w:val="24"/>
                <w:szCs w:val="24"/>
              </w:rPr>
              <w:t>Počet ohlášených výpadků léčiv</w:t>
            </w:r>
          </w:p>
          <w:p w:rsidR="00434E5A" w:rsidRPr="0070747B" w:rsidP="00722F15" w14:paraId="0BBE907C" w14:textId="77777777">
            <w:pPr>
              <w:pStyle w:val="ListParagraph"/>
              <w:numPr>
                <w:ilvl w:val="0"/>
                <w:numId w:val="30"/>
              </w:numPr>
              <w:overflowPunct w:val="0"/>
              <w:spacing w:before="0"/>
              <w:contextualSpacing/>
              <w:rPr>
                <w:rFonts w:cs="Arial"/>
                <w:color w:val="auto"/>
                <w:sz w:val="24"/>
                <w:szCs w:val="24"/>
              </w:rPr>
            </w:pPr>
            <w:r w:rsidRPr="0070747B">
              <w:rPr>
                <w:rFonts w:cs="Arial"/>
                <w:color w:val="auto"/>
                <w:sz w:val="24"/>
                <w:szCs w:val="24"/>
              </w:rPr>
              <w:t>Počet přijatých společných řešení/opatření</w:t>
            </w:r>
          </w:p>
          <w:p w:rsidR="00434E5A" w:rsidRPr="0070747B" w:rsidP="00722F15" w14:paraId="28B99394" w14:textId="77777777">
            <w:pPr>
              <w:tabs>
                <w:tab w:val="num" w:pos="585"/>
              </w:tabs>
              <w:overflowPunct w:val="0"/>
              <w:autoSpaceDE w:val="0"/>
              <w:autoSpaceDN w:val="0"/>
              <w:adjustRightInd w:val="0"/>
              <w:rPr>
                <w:rFonts w:cs="Arial"/>
                <w:color w:val="auto"/>
                <w:sz w:val="24"/>
              </w:rPr>
            </w:pPr>
            <w:r w:rsidRPr="0070747B">
              <w:rPr>
                <w:rFonts w:cs="Arial"/>
                <w:color w:val="auto"/>
                <w:sz w:val="24"/>
              </w:rPr>
              <w:t>Na úrovni výsledků/výstupů:</w:t>
            </w:r>
          </w:p>
          <w:p w:rsidR="00434E5A" w:rsidRPr="0070747B" w:rsidP="00722F15" w14:paraId="725F66E2" w14:textId="77777777">
            <w:pPr>
              <w:pStyle w:val="ListParagraph"/>
              <w:numPr>
                <w:ilvl w:val="0"/>
                <w:numId w:val="30"/>
              </w:numPr>
              <w:overflowPunct w:val="0"/>
              <w:spacing w:before="0"/>
              <w:contextualSpacing/>
              <w:rPr>
                <w:rFonts w:cs="Arial"/>
                <w:color w:val="auto"/>
                <w:sz w:val="24"/>
                <w:szCs w:val="24"/>
              </w:rPr>
            </w:pPr>
            <w:r w:rsidRPr="0070747B">
              <w:rPr>
                <w:rFonts w:cs="Arial"/>
                <w:color w:val="auto"/>
                <w:sz w:val="24"/>
                <w:szCs w:val="24"/>
              </w:rPr>
              <w:t>Počet implementovaných unijních právních předpisů vedoucích ke stabilizaci zásob léčiv;</w:t>
            </w:r>
          </w:p>
          <w:p w:rsidR="00434E5A" w:rsidRPr="0070747B" w:rsidP="00722F15" w14:paraId="50FAEF4D" w14:textId="77777777">
            <w:pPr>
              <w:pStyle w:val="ListParagraph"/>
              <w:numPr>
                <w:ilvl w:val="0"/>
                <w:numId w:val="30"/>
              </w:numPr>
              <w:overflowPunct w:val="0"/>
              <w:spacing w:before="0"/>
              <w:contextualSpacing/>
              <w:rPr>
                <w:rFonts w:cs="Arial"/>
                <w:color w:val="auto"/>
                <w:sz w:val="24"/>
                <w:szCs w:val="24"/>
              </w:rPr>
            </w:pPr>
            <w:r w:rsidRPr="0070747B">
              <w:rPr>
                <w:rFonts w:cs="Arial"/>
                <w:color w:val="auto"/>
                <w:sz w:val="24"/>
                <w:szCs w:val="24"/>
              </w:rPr>
              <w:t>Funkční systém monitoringu trhu léčiv akceptovaný všemi zainteresovanými stranami s udržitelným technologickým řešením</w:t>
            </w:r>
          </w:p>
          <w:p w:rsidR="00434E5A" w:rsidRPr="0070747B" w:rsidP="00722F15" w14:paraId="45BB38E9" w14:textId="77777777">
            <w:pPr>
              <w:pStyle w:val="ListParagraph"/>
              <w:numPr>
                <w:ilvl w:val="0"/>
                <w:numId w:val="30"/>
              </w:numPr>
              <w:overflowPunct w:val="0"/>
              <w:spacing w:before="0"/>
              <w:contextualSpacing/>
              <w:rPr>
                <w:rFonts w:cs="Arial"/>
                <w:color w:val="auto"/>
                <w:sz w:val="24"/>
                <w:szCs w:val="24"/>
              </w:rPr>
            </w:pPr>
            <w:r w:rsidRPr="0070747B">
              <w:rPr>
                <w:rFonts w:cstheme="minorHAnsi"/>
                <w:color w:val="auto"/>
                <w:sz w:val="24"/>
                <w:szCs w:val="24"/>
              </w:rPr>
              <w:t>Počet nových způsobů výdeje léčiv do roku 2035 schválených regulačními orgány</w:t>
            </w:r>
          </w:p>
          <w:p w:rsidR="00434E5A" w:rsidRPr="0070747B" w:rsidP="00722F15" w14:paraId="3A83179D" w14:textId="08330E1D">
            <w:pPr>
              <w:pStyle w:val="ListParagraph"/>
              <w:numPr>
                <w:ilvl w:val="0"/>
                <w:numId w:val="30"/>
              </w:numPr>
              <w:overflowPunct w:val="0"/>
              <w:spacing w:before="0"/>
              <w:contextualSpacing/>
              <w:rPr>
                <w:rFonts w:cs="Arial"/>
                <w:color w:val="auto"/>
                <w:sz w:val="24"/>
                <w:szCs w:val="24"/>
              </w:rPr>
            </w:pPr>
            <w:r w:rsidRPr="0070747B">
              <w:rPr>
                <w:rFonts w:cstheme="minorHAnsi"/>
                <w:color w:val="auto"/>
                <w:sz w:val="24"/>
                <w:szCs w:val="24"/>
              </w:rPr>
              <w:t>Vytvoření dlouhodobého finančního plánu pro udržitelné a</w:t>
            </w:r>
            <w:r w:rsidR="007E3FBE">
              <w:rPr>
                <w:rFonts w:cstheme="minorHAnsi"/>
                <w:color w:val="auto"/>
                <w:sz w:val="24"/>
                <w:szCs w:val="24"/>
              </w:rPr>
              <w:t> </w:t>
            </w:r>
            <w:r w:rsidRPr="0070747B">
              <w:rPr>
                <w:rFonts w:cstheme="minorHAnsi"/>
                <w:color w:val="auto"/>
                <w:sz w:val="24"/>
                <w:szCs w:val="24"/>
              </w:rPr>
              <w:t>stabilní financování lékové politiky s podporou všech stakeholderů</w:t>
            </w:r>
          </w:p>
          <w:p w:rsidR="00434E5A" w:rsidRPr="0070747B" w:rsidP="00722F15" w14:paraId="522DBB20" w14:textId="77777777">
            <w:pPr>
              <w:pStyle w:val="ListParagraph"/>
              <w:numPr>
                <w:ilvl w:val="0"/>
                <w:numId w:val="30"/>
              </w:numPr>
              <w:overflowPunct w:val="0"/>
              <w:spacing w:before="0"/>
              <w:contextualSpacing/>
              <w:rPr>
                <w:rFonts w:cs="Arial"/>
                <w:color w:val="auto"/>
                <w:sz w:val="24"/>
                <w:szCs w:val="24"/>
              </w:rPr>
            </w:pPr>
            <w:r w:rsidRPr="0070747B">
              <w:rPr>
                <w:rFonts w:cstheme="minorHAnsi"/>
                <w:color w:val="auto"/>
                <w:sz w:val="24"/>
                <w:szCs w:val="24"/>
              </w:rPr>
              <w:t>Počet kapacit správních úřadů a zajištění potřebných zdrojů a školení</w:t>
            </w:r>
          </w:p>
        </w:tc>
      </w:tr>
      <w:tr w14:paraId="45ECC651"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5CD14CD7" w14:textId="77777777">
            <w:pPr>
              <w:rPr>
                <w:rFonts w:eastAsiaTheme="minorHAnsi" w:cs="Arial"/>
                <w:b/>
                <w:sz w:val="24"/>
              </w:rPr>
            </w:pPr>
            <w:r w:rsidRPr="008729A1">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434E5A" w:rsidRPr="0070747B" w:rsidP="00722F15" w14:paraId="647DC4F2" w14:textId="0B8F5D79">
            <w:pPr>
              <w:rPr>
                <w:color w:val="auto"/>
                <w:sz w:val="24"/>
              </w:rPr>
            </w:pPr>
            <w:r w:rsidRPr="0070747B">
              <w:rPr>
                <w:color w:val="auto"/>
                <w:sz w:val="24"/>
              </w:rPr>
              <w:t xml:space="preserve">Situace v lékové politice v České republice je ovlivněna vysokou mírou regulace na úrovni Evropské unie a tržním nastavením vyznačujícím se silnou závislostí na dovozu surovin, zejména z Číny a Indie. Farmaceutický průmysl čelí výzvám, jako jsou včasné </w:t>
            </w:r>
            <w:r w:rsidRPr="0070747B">
              <w:rPr>
                <w:color w:val="auto"/>
                <w:sz w:val="24"/>
              </w:rPr>
              <w:t>a</w:t>
            </w:r>
            <w:r w:rsidR="007E3FBE">
              <w:rPr>
                <w:color w:val="auto"/>
                <w:sz w:val="24"/>
              </w:rPr>
              <w:t> </w:t>
            </w:r>
            <w:r w:rsidRPr="0070747B">
              <w:rPr>
                <w:color w:val="auto"/>
                <w:sz w:val="24"/>
              </w:rPr>
              <w:t xml:space="preserve">kontinuální dodávky léčiv, snížení zásob a flexibilní reakce na změny v dodávkách nebo spotřebě trhu. Nedostatek léků je globálním problémem a situaci neusnadňuje ani fakt, že je Česká republika závislá na dovozu léčivých přípravků a její vlastní výroba nedokáže kapacitně pokrýt národní spotřebu. Výdaje na zdravotní péči v ČR výrazně vzrostly (a dál budou růst), přičemž významnou část rozpočtu tvoří náklady na léky. Dostupnost moderních léčiv pro pacienty je ovlivněna regionálními rozdíly, kapacitami specializovaných center a ekonomickou atraktivitou trhu. </w:t>
            </w:r>
          </w:p>
          <w:p w:rsidR="00434E5A" w:rsidRPr="0070747B" w:rsidP="00722F15" w14:paraId="47F966E2" w14:textId="77777777">
            <w:pPr>
              <w:rPr>
                <w:color w:val="auto"/>
                <w:sz w:val="24"/>
              </w:rPr>
            </w:pPr>
            <w:r w:rsidRPr="0070747B">
              <w:rPr>
                <w:color w:val="auto"/>
                <w:sz w:val="24"/>
              </w:rPr>
              <w:t>Současná praxe ukázala též nejednoznačné rozdělení odpovědnosti za dostupnost léčivých přípravků, kdy některé subjekty se odpovědnosti zříkají, jiné nemají prakticky žádnou, což v případě nedostupnosti léčivých přípravků komplikuje nalezení rychlého a efektivního řešení.</w:t>
            </w:r>
          </w:p>
        </w:tc>
      </w:tr>
      <w:tr w14:paraId="6A0A144B"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2780DF94" w14:textId="77777777">
            <w:pPr>
              <w:rPr>
                <w:rFonts w:eastAsiaTheme="minorHAnsi" w:cs="Arial"/>
                <w:b/>
                <w:sz w:val="24"/>
              </w:rPr>
            </w:pPr>
            <w:r w:rsidRPr="008729A1">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434E5A" w:rsidRPr="0070747B" w:rsidP="00722F15" w14:paraId="160DF58D" w14:textId="77777777">
            <w:pPr>
              <w:rPr>
                <w:color w:val="auto"/>
                <w:sz w:val="24"/>
              </w:rPr>
            </w:pPr>
            <w:r w:rsidRPr="0070747B">
              <w:rPr>
                <w:rFonts w:cstheme="minorHAnsi"/>
                <w:color w:val="auto"/>
                <w:sz w:val="24"/>
              </w:rPr>
              <w:t>V </w:t>
            </w:r>
            <w:r w:rsidRPr="0070747B">
              <w:rPr>
                <w:color w:val="auto"/>
                <w:sz w:val="24"/>
              </w:rPr>
              <w:t>rámci řešení implementačního plánu dojde k implementaci opatření unijního farmaceutického balíčku a nařízení o kritických léčivech. Dále pak dojde k jasnému vymezení spoluzodpovědnosti všech stakeholderů za dostupnost léčivých přípravků, kde největší prostor pro změnu je u zdravotních pojišťoven. Dojde k vytvoření nových kapacit správních úřadů a k lepšímu vymáhání dalších opatření, která v kombinaci budou příznivě působit na dostupnost léčivých přípravků pro pacienty v České republice.</w:t>
            </w:r>
          </w:p>
          <w:p w:rsidR="00434E5A" w:rsidRPr="0070747B" w:rsidP="00722F15" w14:paraId="3091F253" w14:textId="77777777">
            <w:pPr>
              <w:rPr>
                <w:color w:val="auto"/>
              </w:rPr>
            </w:pPr>
            <w:r w:rsidRPr="0070747B">
              <w:rPr>
                <w:color w:val="auto"/>
                <w:sz w:val="24"/>
              </w:rPr>
              <w:t>Specifický cíl usiluje rovněž o zvýšení dostupnosti u pacientů, kteří pravidelně a dlouhodobě užívají stejné léčivé přípravky, případně u pacientů hendikepovaných prostřednictvím ukotvení a rozvoje zásilkového výdeje léčiv, jejichž výdej je vázán na recept.</w:t>
            </w:r>
          </w:p>
        </w:tc>
      </w:tr>
      <w:tr w14:paraId="289015FB" w14:textId="77777777" w:rsidTr="00722F1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434E5A" w:rsidRPr="008729A1" w:rsidP="00722F15" w14:paraId="1FB97FA7" w14:textId="77777777">
            <w:pPr>
              <w:rPr>
                <w:rFonts w:eastAsiaTheme="minorHAnsi" w:cs="Arial"/>
                <w:b/>
                <w:sz w:val="24"/>
              </w:rPr>
            </w:pPr>
            <w:r w:rsidRPr="008729A1">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34E5A" w:rsidRPr="0070747B" w:rsidP="00722F15" w14:paraId="2A62ED8E" w14:textId="77777777">
            <w:pPr>
              <w:rPr>
                <w:rFonts w:cs="Arial"/>
                <w:color w:val="auto"/>
                <w:sz w:val="24"/>
                <w:szCs w:val="22"/>
              </w:rPr>
            </w:pPr>
            <w:r w:rsidRPr="0070747B">
              <w:rPr>
                <w:rFonts w:cs="Arial"/>
                <w:color w:val="auto"/>
                <w:sz w:val="24"/>
                <w:szCs w:val="22"/>
              </w:rPr>
              <w:t>Státní rozpočet, fondy EU, mimorozpočtové financování</w:t>
            </w:r>
          </w:p>
          <w:p w:rsidR="00434E5A" w:rsidRPr="0070747B" w:rsidP="00722F15" w14:paraId="304029CB" w14:textId="77777777">
            <w:pPr>
              <w:spacing w:after="200"/>
              <w:rPr>
                <w:rFonts w:eastAsiaTheme="minorHAnsi" w:cs="Arial"/>
                <w:color w:val="auto"/>
                <w:sz w:val="24"/>
              </w:rPr>
            </w:pPr>
          </w:p>
        </w:tc>
      </w:tr>
    </w:tbl>
    <w:p w:rsidR="00C95A26" w14:paraId="27A3D6C6" w14:textId="77777777">
      <w:pPr>
        <w:spacing w:before="0" w:line="264" w:lineRule="auto"/>
        <w:jc w:val="left"/>
        <w:rPr>
          <w:rFonts w:ascii="Calibri" w:hAnsi="Calibri" w:eastAsiaTheme="majorEastAsia" w:cstheme="majorBidi"/>
          <w:b/>
          <w:color w:val="205493"/>
          <w:sz w:val="28"/>
          <w:szCs w:val="32"/>
        </w:rPr>
      </w:pPr>
      <w:r>
        <w:br w:type="page"/>
      </w:r>
    </w:p>
    <w:p w:rsidR="00B071ED" w:rsidRPr="00A955AF" w:rsidP="00B071ED" w14:paraId="26C281C2" w14:textId="53FDA5B8">
      <w:pPr>
        <w:pStyle w:val="NA2"/>
      </w:pPr>
      <w:bookmarkStart w:id="542" w:name="_Hlk200303922"/>
      <w:bookmarkStart w:id="543" w:name="_Toc7705141"/>
      <w:bookmarkStart w:id="544" w:name="_Toc7705612"/>
      <w:bookmarkStart w:id="545" w:name="_Toc256000053"/>
      <w:r>
        <w:t xml:space="preserve">SC 2.1 </w:t>
      </w:r>
      <w:r w:rsidRPr="00A955AF">
        <w:t>Reforma primární péče</w:t>
      </w:r>
      <w:bookmarkEnd w:id="545"/>
    </w:p>
    <w:p w:rsidR="00B071ED" w:rsidRPr="00225882" w:rsidP="00B071ED" w14:paraId="786A0471" w14:textId="232E8628">
      <w:pPr>
        <w:ind w:right="-142"/>
        <w:rPr>
          <w:rFonts w:cs="Arial"/>
          <w:sz w:val="24"/>
        </w:rPr>
      </w:pPr>
      <w:r w:rsidRPr="00225882">
        <w:rPr>
          <w:rFonts w:cs="Arial"/>
          <w:sz w:val="24"/>
        </w:rPr>
        <w:t>Primární péče je základem fungujícího zdravotnictví ve vyspělých zemích. V České republice je primární péče realizována registrujícími poskytovateli ambulantní péče v oboru všeobecné praktické lékařství, v oboru praktické lékařství pro děti a dorost nebo pediatrie, v oboru zubní lékařství nebo v oboru gynekologie a porodnictví. Má zásadní vliv na zdravotní stav celé populace a dlouhodobou ekonomickou udržitelnost celého zdravotního systému. Lékař primární péče</w:t>
      </w:r>
      <w:r>
        <w:rPr>
          <w:rFonts w:cs="Arial"/>
          <w:sz w:val="24"/>
        </w:rPr>
        <w:footnoteReference w:id="61"/>
      </w:r>
      <w:r w:rsidRPr="00225882">
        <w:rPr>
          <w:rFonts w:cs="Arial"/>
          <w:sz w:val="24"/>
        </w:rPr>
        <w:t xml:space="preserve"> je jeho základním kamenem. Je schopen velmi efektivně poskytovat kvalitní a přitom dostupnou (ve smyslu geografickém, časovém, ekonomickém i sociálním) péči. Podle OECD mají praktičtí lékaři největší potenciál ke zlepšení a udržení zdraví populace, zvyšují její zdravotní gramotnost, garantují péči o zranitelné skupiny občanů, zajišťují rovnost přístupu k péči a svým působením činí zdravotní systém udržitelnějším a efektivnějším. </w:t>
      </w:r>
    </w:p>
    <w:p w:rsidR="00B071ED" w:rsidP="00C23071" w14:paraId="303A6209" w14:textId="4ADD81E0">
      <w:pPr>
        <w:ind w:right="-142"/>
        <w:rPr>
          <w:rFonts w:cs="Arial"/>
          <w:sz w:val="24"/>
        </w:rPr>
      </w:pPr>
      <w:r w:rsidRPr="00225882">
        <w:rPr>
          <w:rFonts w:cs="Arial"/>
          <w:sz w:val="24"/>
        </w:rPr>
        <w:t>Kvůli nízkým kompetencím lékařů primární péče, ale i nedostatečnému spektru poskytovaných služeb daných nedostatečným rozvojem oboru a nedostatečnému využívání jejich koordinační a organizační role pro přístup k nákladným specializovaným službám, není potenciál primární péče v ČR, ve srovnání s vyspělými zeměmi EU, dobře využit. Za hlavní problémy lze považovat omezení kompetencí, výkonů a preskripce lékařů primární péče, neexistence jasných pravidel, definovala návaznost péče poskytované ambulantními specialisty, lůžkovými a dalšími zdravotnickými zařízeními na péči primární, způsob úhrady (z veřejného zdravotního pojištění) zdravotních služeb</w:t>
      </w:r>
      <w:r w:rsidRPr="00225882">
        <w:rPr>
          <w:rFonts w:cs="Arial"/>
          <w:sz w:val="24"/>
        </w:rPr>
        <w:t xml:space="preserve"> </w:t>
      </w:r>
      <w:r w:rsidRPr="00225882">
        <w:rPr>
          <w:rFonts w:cs="Arial"/>
          <w:sz w:val="24"/>
        </w:rPr>
        <w:t xml:space="preserve">u ambulantních specialistů (s regulací na unicitní rodné číslo), který determinuje jejich chování v systému a zvyšuje uměle četnost kontaktů pacienta se zdravotním systémem. To znamená zbytečné náklady v řádu desítek miliard korun ročně a diskomfort pro pacienta. Dalším problémem primární péče jsou obrovský nárůst administrativy a úbytek praktických lékařů v neatraktivních oblastech ohrožující dostupnost lékařské péče. Reforma primární péče vychází nejen z klíčového dokumentu Strategický rámec Zdraví 2035, ale i z dokumentů mezinárodních, které jasně deklarují nákladovou efektivitu dobře fungující primární péče ve srovnání s péčí specializovanou a nemocniční. </w:t>
      </w:r>
    </w:p>
    <w:p w:rsidR="00B071ED" w:rsidRPr="00A955AF" w:rsidP="00B071ED" w14:paraId="4ACFD32D" w14:textId="4A115864">
      <w:pPr>
        <w:rPr>
          <w:rFonts w:cs="Times New Roman"/>
          <w:sz w:val="24"/>
        </w:rPr>
      </w:pPr>
      <w:r w:rsidRPr="00A955AF">
        <w:rPr>
          <w:rFonts w:cs="Times New Roman"/>
          <w:sz w:val="24"/>
        </w:rPr>
        <w:t xml:space="preserve">Na základě výstupů </w:t>
      </w:r>
      <w:r w:rsidR="00BD5277">
        <w:rPr>
          <w:rFonts w:cs="Times New Roman"/>
          <w:sz w:val="24"/>
        </w:rPr>
        <w:t>a</w:t>
      </w:r>
      <w:r w:rsidRPr="00A955AF">
        <w:rPr>
          <w:rFonts w:cs="Times New Roman"/>
          <w:sz w:val="24"/>
        </w:rPr>
        <w:t>nalytické části byly definovány hlavní dílčí cíle tohoto specifického cíle tak, aby sledovaly zejména následující cílový stav:</w:t>
      </w:r>
    </w:p>
    <w:p w:rsidR="00B071ED" w:rsidRPr="00A955AF" w:rsidP="006C359E" w14:paraId="21E5525F" w14:textId="77777777">
      <w:pPr>
        <w:pStyle w:val="ListParagraph"/>
        <w:numPr>
          <w:ilvl w:val="0"/>
          <w:numId w:val="21"/>
        </w:numPr>
        <w:rPr>
          <w:rFonts w:cs="Times New Roman"/>
          <w:sz w:val="24"/>
          <w:szCs w:val="24"/>
        </w:rPr>
      </w:pPr>
      <w:r w:rsidRPr="00A955AF">
        <w:rPr>
          <w:rFonts w:cs="Times New Roman"/>
          <w:sz w:val="24"/>
          <w:szCs w:val="24"/>
        </w:rPr>
        <w:t>Posílení kompetencí praktických lékařů a vymezení kompetencí ve vztahu ke specialistům, zlepšení koordinace činnosti primární péče a služeb ambulantních specialistů; zajištění vyšší dostupnosti primární péče při jejím vyšším a standardizovaném výkonu.</w:t>
      </w:r>
    </w:p>
    <w:p w:rsidR="00B071ED" w:rsidRPr="00A955AF" w:rsidP="006C359E" w14:paraId="7595C500" w14:textId="77777777">
      <w:pPr>
        <w:pStyle w:val="ListParagraph"/>
        <w:numPr>
          <w:ilvl w:val="0"/>
          <w:numId w:val="21"/>
        </w:numPr>
        <w:rPr>
          <w:rFonts w:cs="Times New Roman"/>
          <w:sz w:val="24"/>
          <w:szCs w:val="24"/>
        </w:rPr>
      </w:pPr>
      <w:r w:rsidRPr="00A955AF">
        <w:rPr>
          <w:rFonts w:cs="Times New Roman"/>
          <w:sz w:val="24"/>
          <w:szCs w:val="24"/>
        </w:rPr>
        <w:t xml:space="preserve">Posílení </w:t>
      </w:r>
      <w:r w:rsidRPr="00A955AF">
        <w:rPr>
          <w:rFonts w:cs="Times New Roman"/>
          <w:sz w:val="24"/>
          <w:szCs w:val="24"/>
        </w:rPr>
        <w:t>motivačních faktorů pro zabezpečení prax</w:t>
      </w:r>
      <w:r w:rsidRPr="00A955AF">
        <w:rPr>
          <w:rFonts w:cs="Times New Roman"/>
          <w:sz w:val="24"/>
          <w:szCs w:val="24"/>
        </w:rPr>
        <w:t>í</w:t>
      </w:r>
      <w:r w:rsidRPr="00A955AF">
        <w:rPr>
          <w:rFonts w:cs="Times New Roman"/>
          <w:sz w:val="24"/>
          <w:szCs w:val="24"/>
        </w:rPr>
        <w:t xml:space="preserve"> na venkově, v méně atraktivních oblastech</w:t>
      </w:r>
      <w:r w:rsidRPr="00A955AF">
        <w:rPr>
          <w:rFonts w:cs="Times New Roman"/>
          <w:sz w:val="24"/>
          <w:szCs w:val="24"/>
        </w:rPr>
        <w:t xml:space="preserve">, zvýšení počtu ordinací praktických lékařů na venkově a v odlehlých oblastech; usnadnění lepší koordinovanosti při zakládání </w:t>
      </w:r>
      <w:r>
        <w:rPr>
          <w:rFonts w:cs="Times New Roman"/>
          <w:sz w:val="24"/>
          <w:szCs w:val="24"/>
        </w:rPr>
        <w:t>týmových</w:t>
      </w:r>
      <w:r w:rsidRPr="00A955AF">
        <w:rPr>
          <w:rFonts w:cs="Times New Roman"/>
          <w:sz w:val="24"/>
          <w:szCs w:val="24"/>
        </w:rPr>
        <w:t xml:space="preserve"> praxí a posilování výkonové složky úhrady posilující kvalitu služeb.</w:t>
      </w:r>
    </w:p>
    <w:p w:rsidR="00B071ED" w:rsidRPr="00A955AF" w:rsidP="006C359E" w14:paraId="0DB37D93" w14:textId="77777777">
      <w:pPr>
        <w:pStyle w:val="ListParagraph"/>
        <w:numPr>
          <w:ilvl w:val="0"/>
          <w:numId w:val="21"/>
        </w:numPr>
        <w:rPr>
          <w:rFonts w:cs="Times New Roman"/>
          <w:sz w:val="24"/>
          <w:szCs w:val="24"/>
        </w:rPr>
      </w:pPr>
      <w:r w:rsidRPr="00A955AF">
        <w:rPr>
          <w:rFonts w:cs="Arial"/>
          <w:sz w:val="24"/>
        </w:rPr>
        <w:t>Vytvoření nového modelu lékařské pohotovostní služby</w:t>
      </w:r>
      <w:r>
        <w:rPr>
          <w:rStyle w:val="FootnoteReference"/>
          <w:rFonts w:cs="Arial"/>
          <w:sz w:val="24"/>
        </w:rPr>
        <w:footnoteReference w:id="62"/>
      </w:r>
      <w:r w:rsidRPr="00A955AF">
        <w:rPr>
          <w:rFonts w:cs="Arial"/>
          <w:sz w:val="24"/>
        </w:rPr>
        <w:t xml:space="preserve"> jako součást urgentních příjmů na úrovni okresů. </w:t>
      </w:r>
      <w:r w:rsidRPr="00A955AF">
        <w:rPr>
          <w:rFonts w:cs="Times New Roman"/>
          <w:sz w:val="24"/>
          <w:szCs w:val="24"/>
        </w:rPr>
        <w:t xml:space="preserve"> </w:t>
      </w:r>
    </w:p>
    <w:p w:rsidR="00B071ED" w:rsidP="00B071ED" w14:paraId="39E52B85" w14:textId="77777777">
      <w:pPr>
        <w:rPr>
          <w:rFonts w:cs="Arial"/>
          <w:sz w:val="24"/>
        </w:rPr>
      </w:pPr>
      <w:r w:rsidRPr="00A955AF">
        <w:rPr>
          <w:rFonts w:cs="Arial"/>
          <w:sz w:val="24"/>
        </w:rPr>
        <w:t xml:space="preserve">Primární péče je v ČR na vysoké úrovni, avšak v poslední době dochází ke snižování dostupnosti zdravotní péče v důsledku klesajícího počtu personálu, zejména v odlehlých </w:t>
      </w:r>
      <w:r w:rsidRPr="00A955AF">
        <w:rPr>
          <w:rFonts w:cs="Arial"/>
          <w:sz w:val="24"/>
        </w:rPr>
        <w:t>lokalitách. Vzhledem k tomuto dochází ke zneužívání záchranné služby, urgentních příjmů, ale i LPS k suplování role praktických lékařů v jejich ordinacích. Spojitost s primární péčí je zcela zásadní a reforma LPS nezbytná k zabezpečení dostupnosti péče v jednotlivých regionech. Stávající právní úprava má sice zakotvenou povinnost sloužit LPS, avšak praktické vymáhání této povinnosti je téměř nemožné. Proto je nezbytné změnit celý systém legislativně tak, aby případné sankce byly účinně vymahatelné.</w:t>
      </w:r>
    </w:p>
    <w:p w:rsidR="00B071ED" w:rsidP="00B071ED" w14:paraId="27C37338" w14:textId="77777777">
      <w:pPr>
        <w:rPr>
          <w:rFonts w:cs="Arial"/>
          <w:sz w:val="24"/>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198410C4"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CCFFCC"/>
            <w:vAlign w:val="center"/>
            <w:hideMark/>
          </w:tcPr>
          <w:bookmarkEnd w:id="542"/>
          <w:p w:rsidR="00B071ED" w:rsidRPr="00A955AF" w:rsidP="00B56B1A" w14:paraId="10280663" w14:textId="77777777">
            <w:pPr>
              <w:jc w:val="left"/>
              <w:rPr>
                <w:rFonts w:eastAsiaTheme="minorHAnsi" w:cs="Arial"/>
                <w:b/>
                <w:color w:val="205493"/>
                <w:sz w:val="24"/>
              </w:rPr>
            </w:pPr>
            <w:r w:rsidRPr="00A955AF">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CCFFCC"/>
            <w:vAlign w:val="center"/>
            <w:hideMark/>
          </w:tcPr>
          <w:p w:rsidR="00B071ED" w:rsidRPr="00A955AF" w:rsidP="00B56B1A" w14:paraId="6A89ABAD" w14:textId="77777777">
            <w:pPr>
              <w:spacing w:after="200"/>
              <w:rPr>
                <w:rFonts w:eastAsiaTheme="minorHAnsi" w:cs="Arial"/>
                <w:b/>
                <w:bCs/>
                <w:color w:val="205493"/>
                <w:sz w:val="24"/>
              </w:rPr>
            </w:pPr>
            <w:r>
              <w:rPr>
                <w:rFonts w:cs="Arial"/>
                <w:b/>
                <w:bCs/>
                <w:color w:val="205493"/>
                <w:sz w:val="24"/>
              </w:rPr>
              <w:t>2</w:t>
            </w:r>
            <w:r w:rsidRPr="00A955AF">
              <w:rPr>
                <w:rFonts w:cs="Arial"/>
                <w:b/>
                <w:bCs/>
                <w:color w:val="205493"/>
                <w:sz w:val="24"/>
              </w:rPr>
              <w:t xml:space="preserve">.1 </w:t>
            </w:r>
            <w:r w:rsidRPr="00A955AF">
              <w:rPr>
                <w:rFonts w:cs="Arial"/>
                <w:b/>
                <w:color w:val="205493"/>
                <w:sz w:val="24"/>
              </w:rPr>
              <w:t xml:space="preserve">Reforma primární péče </w:t>
            </w:r>
          </w:p>
        </w:tc>
        <w:tc>
          <w:tcPr>
            <w:tcW w:w="929" w:type="dxa"/>
            <w:tcBorders>
              <w:top w:val="single" w:sz="4" w:space="0" w:color="auto"/>
              <w:left w:val="nil"/>
              <w:bottom w:val="single" w:sz="4" w:space="0" w:color="auto"/>
              <w:right w:val="single" w:sz="4" w:space="0" w:color="auto"/>
            </w:tcBorders>
            <w:shd w:val="clear" w:color="auto" w:fill="CCFFCC"/>
            <w:vAlign w:val="center"/>
          </w:tcPr>
          <w:p w:rsidR="00B071ED" w:rsidRPr="00A955AF" w:rsidP="00B56B1A" w14:paraId="3E8BF007" w14:textId="3B704979">
            <w:pPr>
              <w:spacing w:after="200"/>
              <w:jc w:val="right"/>
              <w:rPr>
                <w:rFonts w:eastAsiaTheme="minorHAnsi" w:cs="Arial"/>
                <w:b/>
                <w:bCs/>
                <w:color w:val="205493"/>
                <w:sz w:val="24"/>
              </w:rPr>
            </w:pPr>
          </w:p>
        </w:tc>
      </w:tr>
      <w:tr w14:paraId="62FEB50D" w14:textId="77777777" w:rsidTr="00B56B1A">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7A83E8F8" w14:textId="77777777">
            <w:pPr>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B071ED" w:rsidRPr="00C5569E" w:rsidP="00B56B1A" w14:paraId="318D7405" w14:textId="5D0B2639">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2.1.1</w:t>
            </w:r>
            <w:r w:rsidRPr="00C5569E">
              <w:rPr>
                <w:rFonts w:asciiTheme="minorHAnsi" w:hAnsiTheme="minorHAnsi" w:cs="Arial"/>
                <w:sz w:val="24"/>
                <w:lang w:val="cs-CZ" w:eastAsia="en-US"/>
              </w:rPr>
              <w:tab/>
              <w:t>Posílení kompetencí praktických lékařů, všeobecných sester a</w:t>
            </w:r>
            <w:r w:rsidR="00D13FED">
              <w:rPr>
                <w:rFonts w:asciiTheme="minorHAnsi" w:hAnsiTheme="minorHAnsi" w:cs="Arial"/>
                <w:sz w:val="24"/>
                <w:lang w:val="cs-CZ" w:eastAsia="en-US"/>
              </w:rPr>
              <w:t> </w:t>
            </w:r>
            <w:r w:rsidRPr="00C5569E">
              <w:rPr>
                <w:rFonts w:asciiTheme="minorHAnsi" w:hAnsiTheme="minorHAnsi" w:cs="Arial"/>
                <w:sz w:val="24"/>
                <w:lang w:val="cs-CZ" w:eastAsia="en-US"/>
              </w:rPr>
              <w:t>dětských sester a jejich koordinační role v poskytování zdravotní péče zejména o chronické pacienty a vymezení kompetencí ve vztahu ke specialistům, podpora rozvíjení multidisciplinárních týmů</w:t>
            </w:r>
          </w:p>
          <w:p w:rsidR="00B071ED" w:rsidRPr="00C5569E" w:rsidP="00B56B1A" w14:paraId="1AA8BC76"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2.1.2</w:t>
            </w:r>
            <w:r w:rsidRPr="00C5569E">
              <w:rPr>
                <w:rFonts w:asciiTheme="minorHAnsi" w:hAnsiTheme="minorHAnsi" w:cs="Arial"/>
                <w:sz w:val="24"/>
                <w:lang w:val="cs-CZ" w:eastAsia="en-US"/>
              </w:rPr>
              <w:tab/>
              <w:t xml:space="preserve">Úplné odstranění preskripčních omezení pro praktické lékaře </w:t>
            </w:r>
          </w:p>
          <w:p w:rsidR="00B071ED" w:rsidRPr="00C5569E" w:rsidP="00B56B1A" w14:paraId="5652A9C5"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2.1.3</w:t>
            </w:r>
            <w:r w:rsidRPr="00C5569E">
              <w:rPr>
                <w:rFonts w:asciiTheme="minorHAnsi" w:hAnsiTheme="minorHAnsi" w:cs="Arial"/>
                <w:sz w:val="24"/>
                <w:lang w:val="cs-CZ" w:eastAsia="en-US"/>
              </w:rPr>
              <w:tab/>
              <w:t xml:space="preserve">Zavedení standardizace vybavení ordinací </w:t>
            </w:r>
          </w:p>
          <w:p w:rsidR="00B071ED" w:rsidRPr="00C5569E" w:rsidP="00B56B1A" w14:paraId="3C47DF88"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2.1.4</w:t>
            </w:r>
            <w:r w:rsidRPr="00C5569E">
              <w:rPr>
                <w:rFonts w:asciiTheme="minorHAnsi" w:hAnsiTheme="minorHAnsi" w:cs="Arial"/>
                <w:sz w:val="24"/>
                <w:lang w:val="cs-CZ" w:eastAsia="en-US"/>
              </w:rPr>
              <w:tab/>
              <w:t>Zvýšení kvality a dostupnosti primární péče – podpora týmových praxí</w:t>
            </w:r>
          </w:p>
          <w:p w:rsidR="00B071ED" w:rsidRPr="00C5569E" w:rsidP="00B56B1A" w14:paraId="2C572CA3"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2.1.5</w:t>
            </w:r>
            <w:r w:rsidRPr="00C5569E">
              <w:rPr>
                <w:rFonts w:asciiTheme="minorHAnsi" w:hAnsiTheme="minorHAnsi" w:cs="Arial"/>
                <w:sz w:val="24"/>
                <w:lang w:val="cs-CZ" w:eastAsia="en-US"/>
              </w:rPr>
              <w:tab/>
              <w:t xml:space="preserve">Zvyšování kvality péče včetně sledování indikátorů kvality </w:t>
            </w:r>
          </w:p>
          <w:p w:rsidR="00B071ED" w:rsidRPr="00C5569E" w:rsidP="00B56B1A" w14:paraId="275846F4"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2.1.6</w:t>
            </w:r>
            <w:r w:rsidRPr="00C5569E">
              <w:rPr>
                <w:rFonts w:asciiTheme="minorHAnsi" w:hAnsiTheme="minorHAnsi" w:cs="Arial"/>
                <w:sz w:val="24"/>
                <w:lang w:val="cs-CZ" w:eastAsia="en-US"/>
              </w:rPr>
              <w:tab/>
              <w:t xml:space="preserve">Změna systému financování s důrazem na posílení výkonové složky při fixované kapitaci </w:t>
            </w:r>
          </w:p>
          <w:p w:rsidR="00B071ED" w:rsidRPr="00C5569E" w:rsidP="00B56B1A" w14:paraId="00A6BB09"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2.1.7</w:t>
            </w:r>
            <w:r w:rsidRPr="00C5569E">
              <w:rPr>
                <w:rFonts w:asciiTheme="minorHAnsi" w:hAnsiTheme="minorHAnsi" w:cs="Arial"/>
                <w:sz w:val="24"/>
                <w:lang w:val="cs-CZ" w:eastAsia="en-US"/>
              </w:rPr>
              <w:tab/>
              <w:t>Zavedení motivačních faktorů pro zabezpečení praxe na venkově, v obtížně obsaditelných a méně atraktivních oblastech</w:t>
            </w:r>
          </w:p>
          <w:p w:rsidR="00B071ED" w:rsidRPr="00C5569E" w:rsidP="00B56B1A" w14:paraId="17620B2F"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2.1.8</w:t>
            </w:r>
            <w:r w:rsidRPr="00C5569E">
              <w:rPr>
                <w:rFonts w:asciiTheme="minorHAnsi" w:hAnsiTheme="minorHAnsi" w:cs="Arial"/>
                <w:sz w:val="24"/>
                <w:lang w:val="cs-CZ" w:eastAsia="en-US"/>
              </w:rPr>
              <w:tab/>
              <w:t>Navýšení počtu lékařů primární péče, rozšíření a kultivace rezidenčních míst</w:t>
            </w:r>
          </w:p>
          <w:p w:rsidR="00B071ED" w:rsidRPr="00C5569E" w:rsidP="00B56B1A" w14:paraId="2753C56C"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2.1.9</w:t>
            </w:r>
            <w:r w:rsidRPr="00C5569E">
              <w:rPr>
                <w:rFonts w:asciiTheme="minorHAnsi" w:hAnsiTheme="minorHAnsi" w:cs="Arial"/>
                <w:sz w:val="24"/>
                <w:lang w:val="cs-CZ" w:eastAsia="en-US"/>
              </w:rPr>
              <w:tab/>
              <w:t>Nastavení efektivních postupů v managementu chronických neinfekčních onemocnění</w:t>
            </w:r>
          </w:p>
          <w:p w:rsidR="00B071ED" w:rsidRPr="00C5569E" w:rsidP="00B56B1A" w14:paraId="53C979D1"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2.1.10</w:t>
            </w:r>
            <w:r w:rsidRPr="00C5569E">
              <w:rPr>
                <w:rFonts w:asciiTheme="minorHAnsi" w:hAnsiTheme="minorHAnsi" w:cs="Arial"/>
                <w:sz w:val="24"/>
                <w:lang w:val="cs-CZ" w:eastAsia="en-US"/>
              </w:rPr>
              <w:tab/>
              <w:t xml:space="preserve">Zvýšení podílu obyvatel využívajících pravidelné preventivní prohlídky </w:t>
            </w:r>
          </w:p>
          <w:p w:rsidR="00B071ED" w:rsidRPr="00C5569E" w:rsidP="00B56B1A" w14:paraId="7353243F" w14:textId="46733E25">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2.1.11</w:t>
            </w:r>
            <w:r w:rsidRPr="00C5569E">
              <w:rPr>
                <w:rFonts w:asciiTheme="minorHAnsi" w:hAnsiTheme="minorHAnsi" w:cs="Arial"/>
                <w:sz w:val="24"/>
                <w:lang w:val="cs-CZ" w:eastAsia="en-US"/>
              </w:rPr>
              <w:tab/>
              <w:t>Vybudování rovnoměrné sítě urgentních příjmů a</w:t>
            </w:r>
            <w:r w:rsidR="00D13FED">
              <w:rPr>
                <w:rFonts w:asciiTheme="minorHAnsi" w:hAnsiTheme="minorHAnsi" w:cs="Arial"/>
                <w:sz w:val="24"/>
                <w:lang w:val="cs-CZ" w:eastAsia="en-US"/>
              </w:rPr>
              <w:t> </w:t>
            </w:r>
            <w:r w:rsidRPr="00C5569E">
              <w:rPr>
                <w:rFonts w:asciiTheme="minorHAnsi" w:hAnsiTheme="minorHAnsi" w:cs="Arial"/>
                <w:sz w:val="24"/>
                <w:lang w:val="cs-CZ" w:eastAsia="en-US"/>
              </w:rPr>
              <w:t xml:space="preserve">pohotovostní </w:t>
            </w:r>
            <w:r w:rsidRPr="00C5569E" w:rsidR="00C95A26">
              <w:rPr>
                <w:rFonts w:asciiTheme="minorHAnsi" w:hAnsiTheme="minorHAnsi" w:cs="Arial"/>
                <w:sz w:val="24"/>
                <w:lang w:val="cs-CZ" w:eastAsia="en-US"/>
              </w:rPr>
              <w:t>služby (</w:t>
            </w:r>
            <w:r w:rsidRPr="00C5569E">
              <w:rPr>
                <w:rFonts w:asciiTheme="minorHAnsi" w:hAnsiTheme="minorHAnsi" w:cs="Arial"/>
                <w:sz w:val="24"/>
                <w:lang w:val="cs-CZ" w:eastAsia="en-US"/>
              </w:rPr>
              <w:t>cca 1 pro každý okres)</w:t>
            </w:r>
          </w:p>
          <w:p w:rsidR="00B071ED" w:rsidRPr="00C5569E" w:rsidP="00B56B1A" w14:paraId="57A27AD3"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2.1.12</w:t>
            </w:r>
            <w:r w:rsidRPr="00C5569E">
              <w:rPr>
                <w:rFonts w:asciiTheme="minorHAnsi" w:hAnsiTheme="minorHAnsi" w:cs="Arial"/>
                <w:sz w:val="24"/>
                <w:lang w:val="cs-CZ" w:eastAsia="en-US"/>
              </w:rPr>
              <w:tab/>
              <w:t>Zajištění návaznosti lékařské pohotovostní služby na urgentní příjmy, u vybraných poskytovatelů na nízkoprahové urgentní příjmy</w:t>
            </w:r>
          </w:p>
          <w:p w:rsidR="00B071ED" w:rsidRPr="00C5569E" w:rsidP="00B56B1A" w14:paraId="0F4EC6E6" w14:textId="77777777">
            <w:pPr>
              <w:pStyle w:val="Bntext"/>
              <w:spacing w:before="0" w:after="0"/>
              <w:ind w:left="625" w:hanging="567"/>
              <w:rPr>
                <w:rFonts w:asciiTheme="minorHAnsi" w:hAnsiTheme="minorHAnsi" w:cs="Arial"/>
                <w:sz w:val="24"/>
                <w:lang w:val="cs-CZ" w:eastAsia="en-US"/>
              </w:rPr>
            </w:pPr>
            <w:r w:rsidRPr="00C5569E">
              <w:rPr>
                <w:rFonts w:asciiTheme="minorHAnsi" w:hAnsiTheme="minorHAnsi" w:cs="Arial"/>
                <w:sz w:val="24"/>
                <w:lang w:val="cs-CZ" w:eastAsia="en-US"/>
              </w:rPr>
              <w:t>2.1.13</w:t>
            </w:r>
            <w:r w:rsidRPr="00C5569E">
              <w:rPr>
                <w:rFonts w:asciiTheme="minorHAnsi" w:hAnsiTheme="minorHAnsi" w:cs="Arial"/>
                <w:sz w:val="24"/>
                <w:lang w:val="cs-CZ" w:eastAsia="en-US"/>
              </w:rPr>
              <w:tab/>
              <w:t>Investice do týmových praxí primární péče a jejich rozvoje</w:t>
            </w:r>
          </w:p>
          <w:p w:rsidR="00B071ED" w:rsidRPr="00A955AF" w:rsidP="00B56B1A" w14:paraId="5C311BA7" w14:textId="77777777">
            <w:pPr>
              <w:pStyle w:val="Bntext"/>
              <w:spacing w:before="0" w:after="0" w:line="240" w:lineRule="auto"/>
              <w:ind w:left="625" w:hanging="567"/>
              <w:rPr>
                <w:rFonts w:asciiTheme="minorHAnsi" w:hAnsiTheme="minorHAnsi" w:cs="Arial"/>
                <w:sz w:val="24"/>
                <w:lang w:val="cs-CZ" w:eastAsia="en-US"/>
              </w:rPr>
            </w:pPr>
            <w:r w:rsidRPr="00C5569E">
              <w:rPr>
                <w:rFonts w:asciiTheme="minorHAnsi" w:hAnsiTheme="minorHAnsi" w:cs="Arial"/>
                <w:sz w:val="24"/>
                <w:lang w:val="cs-CZ" w:eastAsia="en-US"/>
              </w:rPr>
              <w:t>2.1.14</w:t>
            </w:r>
            <w:r w:rsidRPr="00C5569E">
              <w:rPr>
                <w:rFonts w:asciiTheme="minorHAnsi" w:hAnsiTheme="minorHAnsi" w:cs="Arial"/>
                <w:sz w:val="24"/>
                <w:lang w:val="cs-CZ" w:eastAsia="en-US"/>
              </w:rPr>
              <w:tab/>
              <w:t>Rozvoj, modernizace a rozšíření přístrojového vybavení primární péče</w:t>
            </w:r>
          </w:p>
        </w:tc>
      </w:tr>
      <w:tr w14:paraId="43EA3153"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60749654" w14:textId="77777777">
            <w:pPr>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RPr="00A955AF" w:rsidP="006C359E" w14:paraId="73B7EFDA" w14:textId="77777777">
            <w:pPr>
              <w:pStyle w:val="NormalWeb"/>
              <w:numPr>
                <w:ilvl w:val="0"/>
                <w:numId w:val="34"/>
              </w:numPr>
              <w:spacing w:before="100" w:beforeAutospacing="1" w:after="100" w:afterAutospacing="1"/>
              <w:jc w:val="both"/>
              <w:rPr>
                <w:rFonts w:eastAsia="Times New Roman" w:asciiTheme="minorHAnsi" w:hAnsiTheme="minorHAnsi" w:cs="Arial"/>
              </w:rPr>
            </w:pPr>
            <w:r w:rsidRPr="00A955AF">
              <w:rPr>
                <w:rFonts w:asciiTheme="minorHAnsi" w:hAnsiTheme="minorHAnsi" w:cs="Arial"/>
              </w:rPr>
              <w:t xml:space="preserve">Nastavení legislativního rámce </w:t>
            </w:r>
            <w:r>
              <w:rPr>
                <w:rFonts w:asciiTheme="minorHAnsi" w:hAnsiTheme="minorHAnsi" w:cs="Arial"/>
              </w:rPr>
              <w:t>týmových</w:t>
            </w:r>
            <w:r w:rsidRPr="00A955AF">
              <w:rPr>
                <w:rFonts w:asciiTheme="minorHAnsi" w:hAnsiTheme="minorHAnsi" w:cs="Arial"/>
              </w:rPr>
              <w:t xml:space="preserve"> praxí</w:t>
            </w:r>
          </w:p>
          <w:p w:rsidR="00B071ED" w:rsidRPr="00A955AF" w:rsidP="006C359E" w14:paraId="72796824"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Změna úhradových mechanismů</w:t>
            </w:r>
          </w:p>
          <w:p w:rsidR="00B071ED" w:rsidRPr="00A955AF" w:rsidP="006C359E" w14:paraId="369D2749" w14:textId="77777777">
            <w:pPr>
              <w:pStyle w:val="NormalWeb"/>
              <w:numPr>
                <w:ilvl w:val="0"/>
                <w:numId w:val="34"/>
              </w:numPr>
              <w:spacing w:before="100" w:beforeAutospacing="1" w:after="100" w:afterAutospacing="1"/>
              <w:jc w:val="both"/>
              <w:rPr>
                <w:rFonts w:asciiTheme="minorHAnsi" w:hAnsiTheme="minorHAnsi" w:cs="Arial"/>
              </w:rPr>
            </w:pPr>
            <w:r>
              <w:rPr>
                <w:rFonts w:asciiTheme="minorHAnsi" w:hAnsiTheme="minorHAnsi" w:cs="Arial"/>
              </w:rPr>
              <w:t>Revize</w:t>
            </w:r>
            <w:r w:rsidRPr="00A955AF">
              <w:rPr>
                <w:rFonts w:asciiTheme="minorHAnsi" w:hAnsiTheme="minorHAnsi" w:cs="Arial"/>
              </w:rPr>
              <w:t xml:space="preserve"> modelu rezidenčních míst</w:t>
            </w:r>
          </w:p>
          <w:p w:rsidR="00B071ED" w:rsidRPr="00A955AF" w:rsidP="006C359E" w14:paraId="45F8FF40"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Rozvolnění preskripce pro praktické lékaře</w:t>
            </w:r>
          </w:p>
          <w:p w:rsidR="00B071ED" w:rsidRPr="00A955AF" w:rsidP="006C359E" w14:paraId="7C650B05"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Nastavení toků pacientů mezi ambulantními specialisty a praktickými lékaři</w:t>
            </w:r>
          </w:p>
          <w:p w:rsidR="00B071ED" w:rsidRPr="00A955AF" w:rsidP="006C359E" w14:paraId="4B64B7AD"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Příprava a vydávání metodických postupů a resortních metodik (standardů) pro poskytování primární péče</w:t>
            </w:r>
          </w:p>
          <w:p w:rsidR="00B071ED" w:rsidRPr="00A955AF" w:rsidP="006C359E" w14:paraId="71E7413C"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 xml:space="preserve">Edukační a vzdělávací programy, certifikované kurzy </w:t>
            </w:r>
          </w:p>
          <w:p w:rsidR="00B071ED" w:rsidRPr="00A955AF" w:rsidP="006C359E" w14:paraId="4FBE8F62"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 xml:space="preserve">Příprava nových legislativních norem, resortních vyhlášek a systémů upravujících personální a technickou vybavenost praxí a LPS </w:t>
            </w:r>
          </w:p>
          <w:p w:rsidR="00B071ED" w:rsidRPr="00A955AF" w:rsidP="006C359E" w14:paraId="5C8F94B7"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Vývoj systémů hodnocení kvality</w:t>
            </w:r>
          </w:p>
          <w:p w:rsidR="00B071ED" w:rsidRPr="00A955AF" w:rsidP="006C359E" w14:paraId="0B4922D3"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Založení referenčních sítí poskytovatelů v primární péči se zaměřením na podporu zdraví a zdravotní gramotnosti</w:t>
            </w:r>
          </w:p>
          <w:p w:rsidR="00B071ED" w:rsidRPr="00A955AF" w:rsidP="006C359E" w14:paraId="0FC9B32D"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Nastavení, monitoring a zvyšování kvality preventivních programů</w:t>
            </w:r>
          </w:p>
          <w:p w:rsidR="00B071ED" w:rsidRPr="00A955AF" w:rsidP="006C359E" w14:paraId="47EB7381"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 xml:space="preserve">Využití nástrojů elektronického zdravotnictví </w:t>
            </w:r>
          </w:p>
          <w:p w:rsidR="00B071ED" w:rsidRPr="00A955AF" w:rsidP="006C359E" w14:paraId="2EBAF182"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 xml:space="preserve">Investiční podpora vytváření urgentních příjmů </w:t>
            </w:r>
          </w:p>
          <w:p w:rsidR="00B071ED" w:rsidRPr="00A955AF" w:rsidP="006C359E" w14:paraId="54CFD34E" w14:textId="77777777">
            <w:pPr>
              <w:pStyle w:val="NormalWeb"/>
              <w:numPr>
                <w:ilvl w:val="0"/>
                <w:numId w:val="34"/>
              </w:numPr>
              <w:spacing w:before="100" w:beforeAutospacing="1" w:after="100" w:afterAutospacing="1"/>
              <w:jc w:val="both"/>
              <w:rPr>
                <w:rFonts w:asciiTheme="minorHAnsi" w:hAnsiTheme="minorHAnsi" w:cs="Arial"/>
              </w:rPr>
            </w:pPr>
            <w:r w:rsidRPr="00A955AF">
              <w:rPr>
                <w:rFonts w:asciiTheme="minorHAnsi" w:hAnsiTheme="minorHAnsi" w:cs="Arial"/>
              </w:rPr>
              <w:t>Zapojení uživatelů péče do přípravy a implementace řešení v oblasti primární péče</w:t>
            </w:r>
          </w:p>
        </w:tc>
      </w:tr>
      <w:tr w14:paraId="50BDB9BB"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4DB13E53" w14:textId="77777777">
            <w:pPr>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23B0CD39" w14:textId="77777777">
            <w:pPr>
              <w:rPr>
                <w:rFonts w:eastAsiaTheme="minorHAnsi" w:cs="Arial"/>
                <w:sz w:val="24"/>
              </w:rPr>
            </w:pPr>
            <w:r w:rsidRPr="00A955AF">
              <w:rPr>
                <w:rFonts w:cs="Arial"/>
                <w:sz w:val="24"/>
              </w:rPr>
              <w:t>MZ</w:t>
            </w:r>
            <w:r>
              <w:rPr>
                <w:rFonts w:cs="Arial"/>
                <w:sz w:val="24"/>
              </w:rPr>
              <w:t>D – vrchní ředitel sekce pro zdravotní péči (SZ)</w:t>
            </w:r>
          </w:p>
        </w:tc>
      </w:tr>
      <w:tr w14:paraId="40DE2E6A"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198B135A" w14:textId="77777777">
            <w:pPr>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07722410" w14:textId="77777777">
            <w:pPr>
              <w:rPr>
                <w:rFonts w:eastAsiaTheme="minorHAnsi" w:cs="Arial"/>
                <w:sz w:val="24"/>
              </w:rPr>
            </w:pPr>
            <w:bookmarkStart w:id="546" w:name="_Hlk23242526"/>
            <w:r>
              <w:rPr>
                <w:rFonts w:cs="Arial"/>
                <w:sz w:val="24"/>
              </w:rPr>
              <w:t xml:space="preserve">ÚZIS, SÚKL, IPVZ, NCO NZO, </w:t>
            </w:r>
            <w:r w:rsidRPr="00A955AF">
              <w:rPr>
                <w:rFonts w:cs="Arial"/>
                <w:sz w:val="24"/>
              </w:rPr>
              <w:t>MPSV, MŠMT, ČLS JEP,</w:t>
            </w:r>
            <w:r>
              <w:rPr>
                <w:rFonts w:cs="Arial"/>
                <w:sz w:val="24"/>
              </w:rPr>
              <w:t xml:space="preserve"> Česká asociace sester, ČLK,</w:t>
            </w:r>
            <w:r w:rsidRPr="00A955AF">
              <w:rPr>
                <w:rFonts w:cs="Arial"/>
                <w:sz w:val="24"/>
              </w:rPr>
              <w:t xml:space="preserve"> kraje – krajské úřady</w:t>
            </w:r>
            <w:r>
              <w:rPr>
                <w:rFonts w:cs="Arial"/>
                <w:sz w:val="24"/>
              </w:rPr>
              <w:t xml:space="preserve"> a další územně správní celky</w:t>
            </w:r>
            <w:r w:rsidRPr="00A955AF">
              <w:rPr>
                <w:rFonts w:cs="Arial"/>
                <w:sz w:val="24"/>
              </w:rPr>
              <w:t>, nevládní sektor, pacientské organizace, zdravotní pojišťovny, Svaz měst a obcí ČR a Sdružení místních samospráv</w:t>
            </w:r>
            <w:bookmarkEnd w:id="546"/>
            <w:r>
              <w:rPr>
                <w:rFonts w:cs="Arial"/>
                <w:sz w:val="24"/>
              </w:rPr>
              <w:t>, vysoké školy, poskytovatelé zdravotních služeb, profesní organizace, odborové organizace</w:t>
            </w:r>
          </w:p>
        </w:tc>
      </w:tr>
      <w:tr w14:paraId="0B739FDA" w14:textId="77777777" w:rsidTr="00B56B1A">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26A75F9E" w14:textId="77777777">
            <w:pPr>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RPr="00F03ADF" w:rsidP="006C359E" w14:paraId="7E0BF255" w14:textId="77777777">
            <w:pPr>
              <w:pStyle w:val="ListParagraph"/>
              <w:numPr>
                <w:ilvl w:val="1"/>
                <w:numId w:val="53"/>
              </w:numPr>
              <w:rPr>
                <w:rFonts w:cs="Arial"/>
                <w:sz w:val="24"/>
              </w:rPr>
            </w:pPr>
            <w:r w:rsidRPr="00F03ADF">
              <w:rPr>
                <w:rFonts w:cs="Arial"/>
                <w:sz w:val="24"/>
              </w:rPr>
              <w:t>Primární prevence a ochrana veřejného zdraví</w:t>
            </w:r>
          </w:p>
          <w:p w:rsidR="00B071ED" w:rsidRPr="00F03ADF" w:rsidP="006C359E" w14:paraId="2B5CA117" w14:textId="77777777">
            <w:pPr>
              <w:pStyle w:val="ListParagraph"/>
              <w:numPr>
                <w:ilvl w:val="1"/>
                <w:numId w:val="53"/>
              </w:numPr>
              <w:rPr>
                <w:rFonts w:cs="Arial"/>
                <w:sz w:val="24"/>
              </w:rPr>
            </w:pPr>
            <w:r>
              <w:rPr>
                <w:rFonts w:cs="Arial"/>
                <w:sz w:val="24"/>
              </w:rPr>
              <w:t>Sekundární prevence a screeningové programy</w:t>
            </w:r>
          </w:p>
          <w:p w:rsidR="00B071ED" w:rsidRPr="00A955AF" w:rsidP="00B56B1A" w14:paraId="1B9CACB9" w14:textId="77777777">
            <w:pPr>
              <w:ind w:left="743" w:hanging="743"/>
              <w:rPr>
                <w:rFonts w:cs="Arial"/>
                <w:sz w:val="24"/>
              </w:rPr>
            </w:pPr>
            <w:r>
              <w:rPr>
                <w:rFonts w:cs="Arial"/>
                <w:sz w:val="24"/>
              </w:rPr>
              <w:t xml:space="preserve">2.2 </w:t>
            </w:r>
            <w:r w:rsidRPr="00A955AF">
              <w:rPr>
                <w:rFonts w:cs="Arial"/>
                <w:sz w:val="24"/>
              </w:rPr>
              <w:tab/>
            </w:r>
            <w:r>
              <w:rPr>
                <w:rFonts w:cs="Arial"/>
                <w:sz w:val="24"/>
              </w:rPr>
              <w:t xml:space="preserve">Personální stabilizace resortu zdravotnictví </w:t>
            </w:r>
          </w:p>
          <w:p w:rsidR="00B071ED" w:rsidRPr="00A955AF" w:rsidP="00B56B1A" w14:paraId="649B05FA" w14:textId="77777777">
            <w:pPr>
              <w:ind w:left="743" w:hanging="743"/>
              <w:rPr>
                <w:rFonts w:eastAsiaTheme="minorHAnsi" w:cs="Arial"/>
                <w:sz w:val="24"/>
              </w:rPr>
            </w:pPr>
            <w:r w:rsidRPr="00A955AF">
              <w:rPr>
                <w:rFonts w:cs="Arial"/>
                <w:sz w:val="24"/>
              </w:rPr>
              <w:t>2.3</w:t>
            </w:r>
            <w:r w:rsidRPr="00A955AF">
              <w:rPr>
                <w:rFonts w:cs="Arial"/>
                <w:sz w:val="24"/>
              </w:rPr>
              <w:tab/>
              <w:t>Digitalizace zdravotnictví</w:t>
            </w:r>
          </w:p>
          <w:p w:rsidR="00B071ED" w:rsidP="00B56B1A" w14:paraId="2A4140AE" w14:textId="77777777">
            <w:pPr>
              <w:ind w:left="743" w:hanging="743"/>
              <w:rPr>
                <w:rFonts w:cs="Arial"/>
                <w:sz w:val="24"/>
              </w:rPr>
            </w:pPr>
            <w:r w:rsidRPr="00A955AF">
              <w:rPr>
                <w:rFonts w:cs="Arial"/>
                <w:sz w:val="24"/>
              </w:rPr>
              <w:t>2.4</w:t>
            </w:r>
            <w:r w:rsidRPr="00A955AF">
              <w:rPr>
                <w:rFonts w:cs="Arial"/>
                <w:sz w:val="24"/>
              </w:rPr>
              <w:tab/>
              <w:t>Optimalizace systému úhrad ve zdravotnictví</w:t>
            </w:r>
          </w:p>
          <w:p w:rsidR="00B071ED" w:rsidP="00B56B1A" w14:paraId="245B2C87" w14:textId="77777777">
            <w:pPr>
              <w:ind w:left="743" w:hanging="743"/>
              <w:rPr>
                <w:rFonts w:cs="Arial"/>
                <w:sz w:val="24"/>
              </w:rPr>
            </w:pPr>
            <w:r>
              <w:rPr>
                <w:rFonts w:cs="Arial"/>
                <w:sz w:val="24"/>
              </w:rPr>
              <w:t>2.5        Péče na zdravotně sociálním pomezí</w:t>
            </w:r>
          </w:p>
          <w:p w:rsidR="00B071ED" w:rsidRPr="00A955AF" w:rsidP="00B56B1A" w14:paraId="58C7FE4C" w14:textId="77777777">
            <w:pPr>
              <w:ind w:left="743" w:hanging="743"/>
              <w:rPr>
                <w:rFonts w:eastAsiaTheme="minorHAnsi" w:cs="Arial"/>
                <w:sz w:val="24"/>
              </w:rPr>
            </w:pPr>
            <w:r>
              <w:rPr>
                <w:rFonts w:cs="Arial"/>
                <w:sz w:val="24"/>
              </w:rPr>
              <w:t>2.7        Specializovaná zdravotní péče</w:t>
            </w:r>
          </w:p>
        </w:tc>
      </w:tr>
      <w:tr w14:paraId="0FE3A926"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6DC8136F" w14:textId="77777777">
            <w:pPr>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B071ED" w:rsidRPr="00A955AF" w:rsidP="00B56B1A" w14:paraId="2F9E6DBB" w14:textId="77777777">
            <w:pPr>
              <w:tabs>
                <w:tab w:val="num" w:pos="585"/>
              </w:tabs>
              <w:overflowPunct w:val="0"/>
              <w:autoSpaceDE w:val="0"/>
              <w:autoSpaceDN w:val="0"/>
              <w:adjustRightInd w:val="0"/>
              <w:rPr>
                <w:rFonts w:cs="Arial"/>
                <w:sz w:val="24"/>
              </w:rPr>
            </w:pPr>
            <w:r w:rsidRPr="00A955AF">
              <w:rPr>
                <w:rFonts w:cs="Arial"/>
                <w:sz w:val="24"/>
              </w:rPr>
              <w:t xml:space="preserve">Na úrovni dopadu: </w:t>
            </w:r>
          </w:p>
          <w:p w:rsidR="00B071ED" w:rsidRPr="00A955AF" w:rsidP="006C359E" w14:paraId="6BE461B1" w14:textId="77777777">
            <w:pPr>
              <w:pStyle w:val="ListParagraph"/>
              <w:numPr>
                <w:ilvl w:val="0"/>
                <w:numId w:val="30"/>
              </w:numPr>
              <w:tabs>
                <w:tab w:val="num" w:pos="585"/>
              </w:tabs>
              <w:overflowPunct w:val="0"/>
              <w:spacing w:before="0"/>
              <w:contextualSpacing/>
              <w:rPr>
                <w:rFonts w:cs="Arial"/>
                <w:sz w:val="24"/>
                <w:szCs w:val="24"/>
              </w:rPr>
            </w:pPr>
            <w:r w:rsidRPr="00A955AF">
              <w:rPr>
                <w:rFonts w:cs="Arial"/>
                <w:sz w:val="24"/>
                <w:szCs w:val="24"/>
              </w:rPr>
              <w:t>Průměrný věk praktických lékařů</w:t>
            </w:r>
          </w:p>
          <w:p w:rsidR="00B071ED" w:rsidRPr="00A955AF" w:rsidP="006C359E" w14:paraId="3384BD6F" w14:textId="77777777">
            <w:pPr>
              <w:pStyle w:val="ListParagraph"/>
              <w:numPr>
                <w:ilvl w:val="0"/>
                <w:numId w:val="30"/>
              </w:numPr>
              <w:tabs>
                <w:tab w:val="num" w:pos="585"/>
              </w:tabs>
              <w:overflowPunct w:val="0"/>
              <w:spacing w:before="0"/>
              <w:contextualSpacing/>
              <w:rPr>
                <w:rFonts w:cs="Arial"/>
                <w:sz w:val="24"/>
                <w:szCs w:val="24"/>
              </w:rPr>
            </w:pPr>
            <w:r w:rsidRPr="00A955AF">
              <w:rPr>
                <w:rFonts w:cs="Arial"/>
                <w:sz w:val="24"/>
                <w:szCs w:val="24"/>
              </w:rPr>
              <w:t>Poměr návštěv u ambulantních specialistů k návštěvám u praktických lékařů</w:t>
            </w:r>
          </w:p>
          <w:p w:rsidR="00B071ED" w:rsidRPr="00A955AF" w:rsidP="006C359E" w14:paraId="0664282A" w14:textId="77777777">
            <w:pPr>
              <w:pStyle w:val="ListParagraph"/>
              <w:numPr>
                <w:ilvl w:val="0"/>
                <w:numId w:val="30"/>
              </w:numPr>
              <w:tabs>
                <w:tab w:val="num" w:pos="585"/>
              </w:tabs>
              <w:overflowPunct w:val="0"/>
              <w:spacing w:before="0"/>
              <w:contextualSpacing/>
              <w:rPr>
                <w:rFonts w:cs="Arial"/>
                <w:sz w:val="24"/>
                <w:szCs w:val="24"/>
              </w:rPr>
            </w:pPr>
            <w:r w:rsidRPr="00A955AF">
              <w:rPr>
                <w:rFonts w:cs="Arial"/>
                <w:sz w:val="24"/>
                <w:szCs w:val="24"/>
              </w:rPr>
              <w:t>Podíl obyvatel, kteří v průběhu předchozích dvou let absolvovali preventivní prohlídku u praktického lékaře</w:t>
            </w:r>
          </w:p>
          <w:p w:rsidR="00B071ED" w:rsidRPr="00A955AF" w:rsidP="00B56B1A" w14:paraId="4B6588C2" w14:textId="77777777">
            <w:pPr>
              <w:tabs>
                <w:tab w:val="num" w:pos="585"/>
              </w:tabs>
              <w:overflowPunct w:val="0"/>
              <w:autoSpaceDE w:val="0"/>
              <w:autoSpaceDN w:val="0"/>
              <w:adjustRightInd w:val="0"/>
              <w:rPr>
                <w:rFonts w:cs="Arial"/>
                <w:sz w:val="24"/>
              </w:rPr>
            </w:pPr>
            <w:r w:rsidRPr="00A955AF">
              <w:rPr>
                <w:rFonts w:cs="Arial"/>
                <w:sz w:val="24"/>
              </w:rPr>
              <w:t>Na úrovni výsledků/výstupů</w:t>
            </w:r>
            <w:r>
              <w:rPr>
                <w:rStyle w:val="FootnoteReference"/>
                <w:rFonts w:cs="Arial"/>
                <w:sz w:val="24"/>
              </w:rPr>
              <w:footnoteReference w:id="63"/>
            </w:r>
            <w:r w:rsidRPr="00A955AF">
              <w:rPr>
                <w:rFonts w:cs="Arial"/>
                <w:sz w:val="24"/>
              </w:rPr>
              <w:t>:</w:t>
            </w:r>
          </w:p>
          <w:p w:rsidR="00B071ED" w:rsidRPr="00A955AF" w:rsidP="006C359E" w14:paraId="113C487B" w14:textId="77777777">
            <w:pPr>
              <w:pStyle w:val="ListParagraph"/>
              <w:numPr>
                <w:ilvl w:val="0"/>
                <w:numId w:val="31"/>
              </w:numPr>
              <w:tabs>
                <w:tab w:val="num" w:pos="585"/>
              </w:tabs>
              <w:overflowPunct w:val="0"/>
              <w:spacing w:before="0"/>
              <w:contextualSpacing/>
              <w:rPr>
                <w:rFonts w:cs="Arial"/>
                <w:sz w:val="24"/>
                <w:szCs w:val="24"/>
              </w:rPr>
            </w:pPr>
            <w:r w:rsidRPr="00A955AF">
              <w:rPr>
                <w:rFonts w:cs="Arial"/>
                <w:sz w:val="24"/>
                <w:szCs w:val="24"/>
              </w:rPr>
              <w:t>Počet ordinací naplňujících standard praxe</w:t>
            </w:r>
          </w:p>
          <w:p w:rsidR="00B071ED" w:rsidRPr="00A955AF" w:rsidP="006C359E" w14:paraId="50B54D88" w14:textId="77777777">
            <w:pPr>
              <w:pStyle w:val="ListParagraph"/>
              <w:numPr>
                <w:ilvl w:val="0"/>
                <w:numId w:val="31"/>
              </w:numPr>
              <w:tabs>
                <w:tab w:val="num" w:pos="585"/>
              </w:tabs>
              <w:overflowPunct w:val="0"/>
              <w:spacing w:before="0"/>
              <w:contextualSpacing/>
              <w:rPr>
                <w:rFonts w:cs="Arial"/>
                <w:sz w:val="24"/>
                <w:szCs w:val="24"/>
              </w:rPr>
            </w:pPr>
            <w:r w:rsidRPr="00A955AF">
              <w:rPr>
                <w:rFonts w:cs="Arial"/>
                <w:sz w:val="24"/>
                <w:szCs w:val="24"/>
              </w:rPr>
              <w:t>Počet vytvořených urgentních příjmů</w:t>
            </w:r>
          </w:p>
          <w:p w:rsidR="00B071ED" w:rsidRPr="00A955AF" w:rsidP="006C359E" w14:paraId="566C32BF" w14:textId="77777777">
            <w:pPr>
              <w:pStyle w:val="ListParagraph"/>
              <w:numPr>
                <w:ilvl w:val="0"/>
                <w:numId w:val="31"/>
              </w:numPr>
              <w:tabs>
                <w:tab w:val="num" w:pos="585"/>
              </w:tabs>
              <w:overflowPunct w:val="0"/>
              <w:spacing w:before="0"/>
              <w:contextualSpacing/>
              <w:rPr>
                <w:rFonts w:eastAsia="Times New Roman" w:cs="Arial"/>
                <w:sz w:val="24"/>
                <w:szCs w:val="24"/>
              </w:rPr>
            </w:pPr>
            <w:r w:rsidRPr="00A955AF">
              <w:rPr>
                <w:rFonts w:cs="Arial"/>
                <w:sz w:val="24"/>
                <w:szCs w:val="24"/>
              </w:rPr>
              <w:t>Počet osob podpořených rezidenčními programy pro praktiky</w:t>
            </w:r>
          </w:p>
        </w:tc>
      </w:tr>
      <w:tr w14:paraId="427F7BC0"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2BDCCF87" w14:textId="77777777">
            <w:pPr>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511234C6" w14:textId="77777777">
            <w:pPr>
              <w:spacing w:after="200"/>
              <w:rPr>
                <w:rFonts w:eastAsiaTheme="minorHAnsi" w:cs="Arial"/>
                <w:sz w:val="24"/>
              </w:rPr>
            </w:pPr>
            <w:r w:rsidRPr="00A955AF">
              <w:rPr>
                <w:rFonts w:cs="Arial"/>
                <w:sz w:val="24"/>
              </w:rPr>
              <w:t xml:space="preserve">Kvůli nízkým kompetencím praktických lékařů (VPL a PLDD), ale i nedostatečnému spektru poskytovaných služeb daných suboptimálním rozvojem oboru a nedostatečnému využívání jejich regulační a organizační role pro přístup k nákladným specializovaným službám, není potenciál primární péče v ČR, ve srovnání s vyspělými zeměmi EU, dobře využit. Za hlavní problémy lze považovat omezení kompetencí, výkonů a preskripce praktických lékařů, neexistence jasných pravidel, která by vymezovala vztahy s ambulantními specialisty a lůžkovými zařízeními, systém paušálních úhrad u ambulantních specialistů (s regulací na unicitní rodné číslo), který determinuje jejich chování v systému a zvyšuje uměle četnost kontaktů pacienta se zdravotním systémem. To znamená zbytečné náklady v řádu desítek miliard korun ročně a diskomfort pro pacienta. </w:t>
            </w:r>
            <w:r w:rsidRPr="00A955AF">
              <w:rPr>
                <w:rFonts w:cs="Arial"/>
                <w:bCs/>
                <w:sz w:val="24"/>
              </w:rPr>
              <w:t xml:space="preserve">Současný standard </w:t>
            </w:r>
            <w:r w:rsidRPr="00A955AF">
              <w:rPr>
                <w:rFonts w:cs="Arial"/>
                <w:sz w:val="24"/>
              </w:rPr>
              <w:t>ordinací</w:t>
            </w:r>
            <w:r>
              <w:rPr>
                <w:rFonts w:cs="Arial"/>
                <w:sz w:val="24"/>
              </w:rPr>
              <w:t xml:space="preserve"> podle </w:t>
            </w:r>
            <w:r w:rsidRPr="00A955AF">
              <w:rPr>
                <w:rFonts w:cs="Arial"/>
                <w:sz w:val="24"/>
              </w:rPr>
              <w:t>vyhlášky č. 92/2012 Sb. a vyhlášce č. 99/2012 Sb. se z hlediska nutnosti posílení role primární péče jeví jako zastaralý a neodpovídající současným možnostem ordinací PL. Dalším problémem primární péče je obrovský nárůst administrativy a úbytek praktických lékařů v neatraktivních oblastech ohrožující dostupnost lékařské péče.</w:t>
            </w:r>
          </w:p>
        </w:tc>
      </w:tr>
      <w:tr w14:paraId="6E3F82DA"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2FBB5D34" w14:textId="77777777">
            <w:pPr>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P="00B56B1A" w14:paraId="41F34F4F" w14:textId="77777777">
            <w:pPr>
              <w:rPr>
                <w:rFonts w:cs="Arial"/>
                <w:sz w:val="24"/>
              </w:rPr>
            </w:pPr>
            <w:r w:rsidRPr="00A955AF">
              <w:rPr>
                <w:rFonts w:cs="Arial"/>
                <w:sz w:val="24"/>
              </w:rPr>
              <w:t xml:space="preserve">Cílem reformy primární péče musí být její postupná proměna a posílení tak, aby byla schopna poskytovat v maximálním rozsahu co nejširší, a přitom kvalitní péči snadno dostupnou pacientovi. </w:t>
            </w:r>
            <w:r w:rsidRPr="00A955AF">
              <w:rPr>
                <w:rFonts w:cs="Arial"/>
                <w:bCs/>
                <w:sz w:val="24"/>
              </w:rPr>
              <w:t>Rozšíření kompetencí musí umožnit praktickému lékaři poskytovat maximum možné péče, které je odborně a technicky schopen. Většina kontaktů p</w:t>
            </w:r>
            <w:r w:rsidRPr="00A955AF">
              <w:rPr>
                <w:rFonts w:cs="Arial"/>
                <w:sz w:val="24"/>
              </w:rPr>
              <w:t>acienta se zdravotním systémem se musí uskutečnit co nejblíže jeho bydlišti v ordinaci praktického lékaře, se kterým má důvěrný vztah a dobře ho zná. Jedinými limity takové péče mají být technické a odborné možnosti praktického lékaře, ni</w:t>
            </w:r>
            <w:r>
              <w:rPr>
                <w:rFonts w:cs="Arial"/>
                <w:sz w:val="24"/>
              </w:rPr>
              <w:t>koli</w:t>
            </w:r>
            <w:r w:rsidRPr="00A955AF">
              <w:rPr>
                <w:rFonts w:cs="Arial"/>
                <w:sz w:val="24"/>
              </w:rPr>
              <w:t xml:space="preserve"> administrativní překážky. </w:t>
            </w:r>
          </w:p>
          <w:p w:rsidR="00B071ED" w:rsidP="00B56B1A" w14:paraId="2E36651D" w14:textId="77777777">
            <w:pPr>
              <w:rPr>
                <w:rFonts w:cs="Arial"/>
                <w:bCs/>
                <w:sz w:val="24"/>
              </w:rPr>
            </w:pPr>
            <w:r w:rsidRPr="00A955AF">
              <w:rPr>
                <w:rFonts w:cs="Arial"/>
                <w:sz w:val="24"/>
              </w:rPr>
              <w:t>Důležitým cílem posilování role primární péče je korigovat pohyb pacienta zdravotním systémem tak, aby prioritně vyhledával péči u praktického lékaře</w:t>
            </w:r>
            <w:r>
              <w:rPr>
                <w:rFonts w:cs="Arial"/>
                <w:sz w:val="24"/>
              </w:rPr>
              <w:t>,</w:t>
            </w:r>
            <w:r w:rsidRPr="00A955AF">
              <w:rPr>
                <w:rFonts w:cs="Arial"/>
                <w:sz w:val="24"/>
              </w:rPr>
              <w:t xml:space="preserve"> a redukovat počet kontaktů pacienta se zdravotním systémem, který je v ČR extrémní a vysoce převyšuje čísla okolních vyspělých zemí. </w:t>
            </w:r>
            <w:r w:rsidRPr="00A955AF">
              <w:rPr>
                <w:rFonts w:cs="Arial"/>
                <w:bCs/>
                <w:sz w:val="24"/>
              </w:rPr>
              <w:t xml:space="preserve">Klíčové je rovněž maximální </w:t>
            </w:r>
            <w:r w:rsidRPr="00A955AF">
              <w:rPr>
                <w:rFonts w:cs="Arial"/>
                <w:bCs/>
                <w:sz w:val="24"/>
              </w:rPr>
              <w:t xml:space="preserve">zpřístupnění kvalitní farmakoterapie v primární péči odpovídající úrovni vyspělých států EU. </w:t>
            </w:r>
          </w:p>
          <w:p w:rsidR="00B071ED" w:rsidP="00B56B1A" w14:paraId="77D1D416" w14:textId="77777777">
            <w:pPr>
              <w:rPr>
                <w:rFonts w:cs="Arial"/>
                <w:sz w:val="24"/>
              </w:rPr>
            </w:pPr>
            <w:r w:rsidRPr="00A955AF">
              <w:rPr>
                <w:rFonts w:cs="Arial"/>
                <w:bCs/>
                <w:sz w:val="24"/>
              </w:rPr>
              <w:t>Po implementaci reformy je snahou maximální zlepšení vybavenosti ordinací VPL a PLDD na úroveň odpovídající standardu primární péče vyspělých států EU.</w:t>
            </w:r>
            <w:r w:rsidRPr="00A955AF">
              <w:rPr>
                <w:rFonts w:cs="Arial"/>
                <w:sz w:val="24"/>
              </w:rPr>
              <w:t xml:space="preserve"> Trendem budoucnosti je spolupráce dvou a více lékařů v</w:t>
            </w:r>
            <w:r>
              <w:rPr>
                <w:rFonts w:cs="Arial"/>
                <w:sz w:val="24"/>
              </w:rPr>
              <w:t> </w:t>
            </w:r>
            <w:r w:rsidRPr="00A955AF">
              <w:rPr>
                <w:rFonts w:cs="Arial"/>
                <w:sz w:val="24"/>
              </w:rPr>
              <w:t>jedné praxi</w:t>
            </w:r>
            <w:r>
              <w:rPr>
                <w:rFonts w:cs="Arial"/>
                <w:sz w:val="24"/>
              </w:rPr>
              <w:t>, vč. využívání multidisciplinárního přístupu</w:t>
            </w:r>
            <w:r w:rsidRPr="00A955AF">
              <w:rPr>
                <w:rFonts w:cs="Arial"/>
                <w:sz w:val="24"/>
              </w:rPr>
              <w:t>. Umožní to zajistit lepší kvalitu a časovou dostupnost péče a vzájemnou zastupitelnost lékařů, ale také zjednodušení generační obměny a zachování kontinuity péče. Takzvané</w:t>
            </w:r>
            <w:r>
              <w:rPr>
                <w:rFonts w:cs="Arial"/>
                <w:sz w:val="24"/>
              </w:rPr>
              <w:t xml:space="preserve"> </w:t>
            </w:r>
            <w:r w:rsidRPr="002A70EA">
              <w:rPr>
                <w:rFonts w:cs="Arial"/>
                <w:bCs/>
                <w:sz w:val="24"/>
              </w:rPr>
              <w:t>týmové</w:t>
            </w:r>
            <w:r w:rsidRPr="00A955AF">
              <w:rPr>
                <w:rFonts w:cs="Arial"/>
                <w:sz w:val="24"/>
              </w:rPr>
              <w:t xml:space="preserve"> praxe</w:t>
            </w:r>
            <w:r>
              <w:rPr>
                <w:rFonts w:cs="Arial"/>
                <w:sz w:val="24"/>
              </w:rPr>
              <w:t xml:space="preserve"> však</w:t>
            </w:r>
            <w:r w:rsidRPr="00A955AF">
              <w:rPr>
                <w:rFonts w:cs="Arial"/>
                <w:sz w:val="24"/>
              </w:rPr>
              <w:t xml:space="preserve"> mus</w:t>
            </w:r>
            <w:r>
              <w:rPr>
                <w:rFonts w:cs="Arial"/>
                <w:sz w:val="24"/>
              </w:rPr>
              <w:t>ej</w:t>
            </w:r>
            <w:r w:rsidRPr="00A955AF">
              <w:rPr>
                <w:rFonts w:cs="Arial"/>
                <w:sz w:val="24"/>
              </w:rPr>
              <w:t xml:space="preserve">í být vždy založeny na spolupráci plně kvalifikovaných praktických lékařů. </w:t>
            </w:r>
          </w:p>
          <w:p w:rsidR="00B071ED" w:rsidP="00B56B1A" w14:paraId="47C245EE" w14:textId="77777777">
            <w:pPr>
              <w:rPr>
                <w:rFonts w:cs="Arial"/>
                <w:sz w:val="24"/>
              </w:rPr>
            </w:pPr>
            <w:r w:rsidRPr="00A955AF">
              <w:rPr>
                <w:rFonts w:cs="Arial"/>
                <w:sz w:val="24"/>
              </w:rPr>
              <w:t xml:space="preserve">Primární péče bude i nadále hrazena kombinovanou kapitačně výkonovou platbou, která </w:t>
            </w:r>
            <w:r w:rsidRPr="00A955AF">
              <w:rPr>
                <w:rFonts w:cs="Arial"/>
                <w:bCs/>
                <w:sz w:val="24"/>
              </w:rPr>
              <w:t>podporuje vztah lékař</w:t>
            </w:r>
            <w:r>
              <w:rPr>
                <w:rFonts w:cstheme="minorHAnsi"/>
                <w:bCs/>
                <w:sz w:val="24"/>
              </w:rPr>
              <w:t>‒</w:t>
            </w:r>
            <w:r w:rsidRPr="00A955AF">
              <w:rPr>
                <w:rFonts w:cs="Arial"/>
                <w:bCs/>
                <w:sz w:val="24"/>
              </w:rPr>
              <w:t xml:space="preserve">pacient (tím, že je vázána na registraci), brání zbytečné honbě za body, podporuje prevenci, podporuje také komunitní a sociální roli praktického lékaře a stabilizuje síť lékařů primární péče. </w:t>
            </w:r>
            <w:r w:rsidRPr="00A955AF">
              <w:rPr>
                <w:rFonts w:cs="Arial"/>
                <w:sz w:val="24"/>
              </w:rPr>
              <w:t xml:space="preserve">Je však třeba posílit výkonovou složku úhrad a nastavit úhradové mechanismy, které umožní diferenciaci mezi jednotlivými praxemi podle poskytovaného výkonu a které je budou motivovat k lepší péči tím, že umožní lepší ohodnocení praxí poskytující vyšší výkon a kvalitu. </w:t>
            </w:r>
          </w:p>
          <w:p w:rsidR="00B071ED" w:rsidRPr="00A955AF" w:rsidP="00B56B1A" w14:paraId="030191B5" w14:textId="77777777">
            <w:pPr>
              <w:rPr>
                <w:rFonts w:eastAsiaTheme="minorHAnsi" w:cs="Arial"/>
                <w:sz w:val="24"/>
              </w:rPr>
            </w:pPr>
            <w:r w:rsidRPr="00A955AF">
              <w:rPr>
                <w:rFonts w:cs="Arial"/>
                <w:sz w:val="24"/>
              </w:rPr>
              <w:t>Lékařská pohotovostní služba bude součástí urgentních příjmů vybraných okresních nemocnic. Vznikne tak státem garantovaná síť LPS. Nový systém vzdělávání přinese formou rezidenčních míst vyšší motivační prvky ke stabilizaci personálu i v periferních lokalitách. Vyšší zdravotní gramotnost povede k vyváženější konzumaci zdravotní péče.</w:t>
            </w:r>
          </w:p>
        </w:tc>
      </w:tr>
      <w:tr w14:paraId="02122A38"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158BC496" w14:textId="77777777">
            <w:pPr>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071ED" w:rsidRPr="00A955AF" w:rsidP="00B56B1A" w14:paraId="2E015B60" w14:textId="77777777">
            <w:pPr>
              <w:rPr>
                <w:rFonts w:cs="Arial"/>
                <w:sz w:val="24"/>
                <w:szCs w:val="22"/>
              </w:rPr>
            </w:pPr>
            <w:r w:rsidRPr="00A955AF">
              <w:rPr>
                <w:rFonts w:cs="Arial"/>
                <w:sz w:val="24"/>
                <w:szCs w:val="22"/>
              </w:rPr>
              <w:t>Státní rozpočet, fondy EU</w:t>
            </w:r>
            <w:r>
              <w:rPr>
                <w:rFonts w:cs="Arial"/>
                <w:sz w:val="24"/>
                <w:szCs w:val="22"/>
              </w:rPr>
              <w:t xml:space="preserve"> (OPZ+ a IROP II, EF 2028+), fondy ZP</w:t>
            </w:r>
          </w:p>
          <w:p w:rsidR="00B071ED" w:rsidRPr="00A955AF" w:rsidP="00B56B1A" w14:paraId="051B4426" w14:textId="77777777">
            <w:pPr>
              <w:spacing w:after="200"/>
              <w:rPr>
                <w:rFonts w:eastAsiaTheme="minorHAnsi" w:cs="Arial"/>
                <w:sz w:val="24"/>
              </w:rPr>
            </w:pPr>
            <w:r w:rsidRPr="00A955AF">
              <w:rPr>
                <w:rFonts w:cs="Arial"/>
                <w:sz w:val="24"/>
              </w:rPr>
              <w:t xml:space="preserve">Vedle interních rozpočtových zdrojů resortu zdravotnictví bude využívána i možnost mezinárodních projektů spolupráce v rámci EU a projektů domácích grantových agentur. Pro reformu primární péče v oblasti </w:t>
            </w:r>
            <w:r>
              <w:rPr>
                <w:rFonts w:cs="Arial"/>
                <w:sz w:val="24"/>
              </w:rPr>
              <w:t>týmovýc</w:t>
            </w:r>
            <w:r w:rsidRPr="00A955AF">
              <w:rPr>
                <w:rFonts w:cs="Arial"/>
                <w:sz w:val="24"/>
              </w:rPr>
              <w:t xml:space="preserve">h praxí a vytvoření modelu fungující Lékařské pohotovostní služby se předpokládá zapojení fondů EU i v oblasti investic.  </w:t>
            </w:r>
          </w:p>
        </w:tc>
      </w:tr>
    </w:tbl>
    <w:p w:rsidR="00B071ED" w:rsidP="00B071ED" w14:paraId="0DEA539B" w14:textId="77777777"/>
    <w:p w:rsidR="00B071ED" w14:paraId="21DDAD8C" w14:textId="34BD11A2">
      <w:pPr>
        <w:spacing w:before="0" w:line="264" w:lineRule="auto"/>
        <w:jc w:val="left"/>
        <w:rPr>
          <w:rFonts w:ascii="Calibri" w:hAnsi="Calibri" w:eastAsiaTheme="majorEastAsia" w:cstheme="majorBidi"/>
          <w:b/>
          <w:color w:val="205493"/>
          <w:sz w:val="32"/>
          <w:szCs w:val="32"/>
        </w:rPr>
      </w:pPr>
      <w:r>
        <w:br w:type="page"/>
      </w:r>
    </w:p>
    <w:p w:rsidR="00244EE3" w:rsidRPr="00A955AF" w:rsidP="0052168B" w14:paraId="4D28AEF1" w14:textId="77E45F7E">
      <w:pPr>
        <w:pStyle w:val="NA2"/>
      </w:pPr>
      <w:bookmarkStart w:id="547" w:name="_Toc256000054"/>
      <w:r>
        <w:t xml:space="preserve">SC 2.2 </w:t>
      </w:r>
      <w:r w:rsidRPr="00A955AF">
        <w:t>Personální stabilizace resortu zdravotnictví</w:t>
      </w:r>
      <w:bookmarkEnd w:id="547"/>
      <w:bookmarkEnd w:id="543"/>
      <w:bookmarkEnd w:id="544"/>
    </w:p>
    <w:p w:rsidR="007174EF" w:rsidRPr="007174EF" w:rsidP="007174EF" w14:paraId="4899274A" w14:textId="4A8650E3">
      <w:pPr>
        <w:pStyle w:val="Bntext"/>
        <w:spacing w:line="240" w:lineRule="auto"/>
        <w:ind w:firstLine="0"/>
        <w:rPr>
          <w:color w:val="222222"/>
          <w:sz w:val="24"/>
          <w:lang w:val="cs-CZ"/>
        </w:rPr>
      </w:pPr>
      <w:r w:rsidRPr="007174EF">
        <w:rPr>
          <w:color w:val="222222"/>
          <w:sz w:val="24"/>
          <w:lang w:val="cs-CZ"/>
        </w:rPr>
        <w:t>Od počátku transformačních změn uskutečňovaných po roce 1989 se nedostatečně reagovalo na nutnost řešení personální situace, a tak se v posledním desetiletí český systém začíná zabývat nedostatkem personálních kapacit (jak lékařů, tak nelékařského zdravotnického personálu), stárnutím lékařů (zejm. v segmentu primární péče – všeobecní praktičtí lékaři, PLDD, stomatologové) a nedostupností některých profesí ve venkovských oblastech. Dílčí opatření byla zavedena např. v roce 2008, např. v odměňování (přesun do vyšších platových tříd), v profesním rozvoji (podpora moderních odborných školení, vznik programů odborného rozvoje); profesní samostatnosti (legislativní změny pro rozšíření kompetencí všeobecných sester a v oblasti vyššího vzdělávání). K dalším změnám zejména v oblasti lékařských povolání došlo v roce 2017 v souvislosti s účinností rozsáhlejší novely zákona č. 95/2004 Sb., o</w:t>
      </w:r>
      <w:r>
        <w:rPr>
          <w:color w:val="222222"/>
          <w:sz w:val="24"/>
          <w:lang w:val="cs-CZ"/>
        </w:rPr>
        <w:t> </w:t>
      </w:r>
      <w:r w:rsidRPr="007174EF">
        <w:rPr>
          <w:color w:val="222222"/>
          <w:sz w:val="24"/>
          <w:lang w:val="cs-CZ"/>
        </w:rPr>
        <w:t xml:space="preserve">podmínkách získávání a uznávání odborné způsobilosti k výkonu zdravotnického povolání lékaře, zubního lékaře a farmaceuta, která měla za cíl zjednodušit a zpřehlednit systém specializačního vzdělávání lékařů, zubních lékařů a farmaceutů. Přesto tyto změny nedokázaly dostatečně reflektovat potřeby v dlouhodobé perspektivě a MZD v současné době čelí řadě problémů, jak zabezpečit dostatek kvalifikovaných profesionálů v různých segmentech zdravotní péče. Personální stabilizace ve zdravotnictví je proto prvořadou a naléhavou prioritou zdravotní politiky i řízení a poskytování zdravotních služeb a adekvátního pokrytí zdravotních potřeb občanů ČR. Definitivním cílem MZD jsou zdraví občané s přístupem k péči, </w:t>
      </w:r>
      <w:r w:rsidRPr="007174EF" w:rsidR="00E22AF8">
        <w:rPr>
          <w:color w:val="222222"/>
          <w:sz w:val="24"/>
          <w:lang w:val="cs-CZ"/>
        </w:rPr>
        <w:t>a to</w:t>
      </w:r>
      <w:r w:rsidRPr="007174EF">
        <w:rPr>
          <w:color w:val="222222"/>
          <w:sz w:val="24"/>
          <w:lang w:val="cs-CZ"/>
        </w:rPr>
        <w:t xml:space="preserve"> vždy, když ji potřebují. Jedním ze způsobů, jak tohoto cíle dosáhnout, je mít k dispozici vzdělané, zodpovědné a motivované lékaře a další zdravotnické pracovníky.</w:t>
      </w:r>
    </w:p>
    <w:p w:rsidR="007174EF" w:rsidRPr="007174EF" w:rsidP="007174EF" w14:paraId="2DA4AF13" w14:textId="3690597A">
      <w:pPr>
        <w:pStyle w:val="Bntext"/>
        <w:spacing w:line="240" w:lineRule="auto"/>
        <w:ind w:firstLine="0"/>
        <w:rPr>
          <w:color w:val="222222"/>
          <w:sz w:val="24"/>
          <w:lang w:val="cs-CZ"/>
        </w:rPr>
      </w:pPr>
      <w:r w:rsidRPr="007174EF">
        <w:rPr>
          <w:color w:val="222222"/>
          <w:sz w:val="24"/>
          <w:lang w:val="cs-CZ"/>
        </w:rPr>
        <w:t>I přes to, že v posledních letech došlo v oblasti personální stabilizace k výrazným posunům, je třeba tuto oblast i nadále aktivně podporovat, především proto, že personální stabilizace nadále zůstává významnou prioritou zdravotní politiky a je zásadní pro poskytování zdravotních služeb a adekvátního pokrytí zdravotních potřeb občanů ČR.</w:t>
      </w:r>
    </w:p>
    <w:p w:rsidR="007174EF" w:rsidRPr="007174EF" w:rsidP="007174EF" w14:paraId="3F50CCA3" w14:textId="6C5444A8">
      <w:pPr>
        <w:pStyle w:val="Bntext"/>
        <w:spacing w:line="240" w:lineRule="auto"/>
        <w:ind w:firstLine="0"/>
        <w:rPr>
          <w:color w:val="222222"/>
          <w:sz w:val="24"/>
          <w:lang w:val="cs-CZ"/>
        </w:rPr>
      </w:pPr>
      <w:r w:rsidRPr="007174EF">
        <w:rPr>
          <w:color w:val="222222"/>
          <w:sz w:val="24"/>
          <w:lang w:val="cs-CZ"/>
        </w:rPr>
        <w:t>Dostatečné personální kapacity lékařů a nelékařských zdravotnických pracovníků jsou podmínkou dostupnosti a kvality zdravotních i zdravotně sociálních služeb. V řadě segmentů není současné personální zajištění zdravotních služeb optimální, v případě všeobecných praktických lékařů a praktických lékařů pro děti a dorost je situace v některých regionech až kritická (ukončování praxí bez náhrady z důvodu postupujícího demografického stárnutí, viz specifický cíl 2.1 Reforma primární péče) Druhým nejslabším místem je dlouhodobě nedostatečná a klesající kapacita všeobecných sester a porodních asistentek v akutní lůžkové péči.</w:t>
      </w:r>
    </w:p>
    <w:p w:rsidR="007174EF" w:rsidRPr="007174EF" w:rsidP="007174EF" w14:paraId="1188FDC0" w14:textId="225DD832">
      <w:pPr>
        <w:pStyle w:val="Bntext"/>
        <w:spacing w:line="240" w:lineRule="auto"/>
        <w:ind w:firstLine="0"/>
        <w:rPr>
          <w:color w:val="222222"/>
          <w:sz w:val="24"/>
          <w:lang w:val="cs-CZ"/>
        </w:rPr>
      </w:pPr>
      <w:r w:rsidRPr="007174EF">
        <w:rPr>
          <w:color w:val="222222"/>
          <w:sz w:val="24"/>
          <w:lang w:val="cs-CZ"/>
        </w:rPr>
        <w:t>Zkušenosti získané v rámci pandemie C</w:t>
      </w:r>
      <w:r w:rsidR="00B071ED">
        <w:rPr>
          <w:color w:val="222222"/>
          <w:sz w:val="24"/>
          <w:lang w:val="cs-CZ"/>
        </w:rPr>
        <w:t>ovid</w:t>
      </w:r>
      <w:r w:rsidRPr="007174EF">
        <w:rPr>
          <w:color w:val="222222"/>
          <w:sz w:val="24"/>
          <w:lang w:val="cs-CZ"/>
        </w:rPr>
        <w:t>-19 mimo jiné poukázaly, a to zejména vzhledem k</w:t>
      </w:r>
      <w:r w:rsidR="00B071ED">
        <w:rPr>
          <w:color w:val="222222"/>
          <w:sz w:val="24"/>
          <w:lang w:val="cs-CZ"/>
        </w:rPr>
        <w:t> </w:t>
      </w:r>
      <w:r w:rsidRPr="007174EF">
        <w:rPr>
          <w:color w:val="222222"/>
          <w:sz w:val="24"/>
          <w:lang w:val="cs-CZ"/>
        </w:rPr>
        <w:t>objemu a náročnosti zajišťovaných služebních agend, nedostatečnou personální kapacitu českého systému ochrany a podpory veřejného zdraví. S časovým odstupem lze ale vyslovit fakt o nedostatečné flexibilitě a esenciálnímu přístupu orgánu ochrany veřejného zdraví ke standardním a mimořádným úkolům. Myšlen je zejména personální základ a aktivity, které jsou orgány ochrany veřejného (dále i jen „OOVZ“) zdraví vykonávány. Ty dle současného poznání by měly být podrobeny analýze jednotlivé povinnosti a úkony, které jsou OOVZ realizovány, resp. zda se jedná o prvek ochrany veřejného zdraví či již jen o historický relikt atp.</w:t>
      </w:r>
    </w:p>
    <w:p w:rsidR="007174EF" w:rsidRPr="007174EF" w:rsidP="007174EF" w14:paraId="4F3CD129" w14:textId="08204C16">
      <w:pPr>
        <w:pStyle w:val="Bntext"/>
        <w:spacing w:line="240" w:lineRule="auto"/>
        <w:ind w:firstLine="0"/>
        <w:rPr>
          <w:color w:val="222222"/>
          <w:sz w:val="24"/>
          <w:lang w:val="cs-CZ"/>
        </w:rPr>
      </w:pPr>
      <w:r w:rsidRPr="007174EF">
        <w:rPr>
          <w:color w:val="222222"/>
          <w:sz w:val="24"/>
          <w:lang w:val="cs-CZ"/>
        </w:rPr>
        <w:t xml:space="preserve">Orgány ochrany veřejného zdraví (MZD </w:t>
      </w:r>
      <w:r w:rsidR="006F3901">
        <w:rPr>
          <w:color w:val="222222"/>
          <w:sz w:val="24"/>
          <w:lang w:val="cs-CZ"/>
        </w:rPr>
        <w:t>sekce ochrany veřejného zdraví</w:t>
      </w:r>
      <w:r w:rsidRPr="007174EF">
        <w:rPr>
          <w:color w:val="222222"/>
          <w:sz w:val="24"/>
          <w:lang w:val="cs-CZ"/>
        </w:rPr>
        <w:t xml:space="preserve"> </w:t>
      </w:r>
      <w:r w:rsidR="004F646E">
        <w:rPr>
          <w:color w:val="222222"/>
          <w:sz w:val="24"/>
          <w:lang w:val="cs-CZ"/>
        </w:rPr>
        <w:t xml:space="preserve">vedená hlavním hygienikem s postavením vrchního ředitele sekce </w:t>
      </w:r>
      <w:r w:rsidRPr="007174EF">
        <w:rPr>
          <w:color w:val="222222"/>
          <w:sz w:val="24"/>
          <w:lang w:val="cs-CZ"/>
        </w:rPr>
        <w:t>a 14 krajských hygienických stanic) zajišťují kromě dalších agend vyplývajících z národní legislativy i komunitárního právního řádu, také činnost zajištění připravenosti a řešení zdravotních hrozeb v oblasti ochrany veřejného zdraví pro území Č</w:t>
      </w:r>
      <w:r w:rsidR="007E3FBE">
        <w:rPr>
          <w:color w:val="222222"/>
          <w:sz w:val="24"/>
          <w:lang w:val="cs-CZ"/>
        </w:rPr>
        <w:t xml:space="preserve">R </w:t>
      </w:r>
      <w:r w:rsidRPr="007174EF" w:rsidR="004F646E">
        <w:rPr>
          <w:color w:val="222222"/>
          <w:sz w:val="24"/>
          <w:lang w:val="cs-CZ"/>
        </w:rPr>
        <w:t>s</w:t>
      </w:r>
      <w:r w:rsidR="004F646E">
        <w:rPr>
          <w:color w:val="222222"/>
          <w:sz w:val="24"/>
          <w:lang w:val="cs-CZ"/>
        </w:rPr>
        <w:t> </w:t>
      </w:r>
      <w:r w:rsidRPr="007174EF">
        <w:rPr>
          <w:color w:val="222222"/>
          <w:sz w:val="24"/>
          <w:lang w:val="cs-CZ"/>
        </w:rPr>
        <w:t xml:space="preserve">mezinárodním přesahem. V průběhu řešení mimořádné situace spojené </w:t>
      </w:r>
      <w:r w:rsidRPr="007174EF">
        <w:rPr>
          <w:color w:val="222222"/>
          <w:sz w:val="24"/>
          <w:lang w:val="cs-CZ"/>
        </w:rPr>
        <w:t>s</w:t>
      </w:r>
      <w:r w:rsidR="007E3FBE">
        <w:rPr>
          <w:color w:val="222222"/>
          <w:sz w:val="24"/>
          <w:lang w:val="cs-CZ"/>
        </w:rPr>
        <w:t> </w:t>
      </w:r>
      <w:r>
        <w:rPr>
          <w:color w:val="222222"/>
          <w:sz w:val="24"/>
          <w:lang w:val="cs-CZ"/>
        </w:rPr>
        <w:t>C</w:t>
      </w:r>
      <w:r w:rsidRPr="007174EF">
        <w:rPr>
          <w:color w:val="222222"/>
          <w:sz w:val="24"/>
          <w:lang w:val="cs-CZ"/>
        </w:rPr>
        <w:t xml:space="preserve">ovid-19 se ukázalo, že OOVZ nejsou dostatečně flexibilní k řešení mimořádné události, a to jak nedostatečného personálního zázemí v některých regionech či nedostatečných právních nástrojů, jak přerozdělovat lidské zdroje či pracovníky OOVZ přesouvat v rámci jednotlivých regiónů.  Cílem by mělo být vytvoření efektivních pracovních týmů určených pro jednotlivé mimořádné události a krize, a též připravit systém flexibilní a operativně velmi rychlé zálohy pracovníků uvnitř systému OOVZ. V současné době se předpokládá, že cíle bude naplněno prostřednictvím konsolidace systému veřejného zdraví a orgánů ochrany veřejného zdraví prostřednictvím zákona č. 258/2000 Sb., o ochraně veřejného zdraví a o změně některých souvisejících zákonů, ve znění pozdějších předpisů. </w:t>
      </w:r>
    </w:p>
    <w:p w:rsidR="009F13CC" w:rsidP="007174EF" w14:paraId="593EC2C1" w14:textId="2E3F67EE">
      <w:pPr>
        <w:pStyle w:val="Bntext"/>
        <w:spacing w:line="240" w:lineRule="auto"/>
        <w:ind w:firstLine="0"/>
        <w:rPr>
          <w:color w:val="222222"/>
          <w:sz w:val="24"/>
          <w:lang w:val="cs-CZ"/>
        </w:rPr>
      </w:pPr>
      <w:r w:rsidRPr="007174EF">
        <w:rPr>
          <w:color w:val="222222"/>
          <w:sz w:val="24"/>
          <w:lang w:val="cs-CZ"/>
        </w:rPr>
        <w:t>Tato situace a její koncepční řešení má zásadní vliv na naplnění cílů Strategického rámce Zdraví 2035, zejména na oblasti zlepšení zdravotního stavu populace, dostupnost zdravotní péče a</w:t>
      </w:r>
      <w:r>
        <w:rPr>
          <w:color w:val="222222"/>
          <w:sz w:val="24"/>
          <w:lang w:val="cs-CZ"/>
        </w:rPr>
        <w:t> </w:t>
      </w:r>
      <w:r w:rsidRPr="007174EF">
        <w:rPr>
          <w:color w:val="222222"/>
          <w:sz w:val="24"/>
          <w:lang w:val="cs-CZ"/>
        </w:rPr>
        <w:t>optimalizaci zdravotnického systému jako celku včetně péče o veřejné zdraví.</w:t>
      </w:r>
    </w:p>
    <w:p w:rsidR="00B071ED" w:rsidRPr="007174EF" w:rsidP="007174EF" w14:paraId="6145F7F1" w14:textId="77777777">
      <w:pPr>
        <w:pStyle w:val="Bntext"/>
        <w:spacing w:line="240" w:lineRule="auto"/>
        <w:ind w:firstLine="0"/>
        <w:rPr>
          <w:rFonts w:asciiTheme="minorHAnsi" w:hAnsiTheme="minorHAnsi" w:cs="Arial"/>
          <w:sz w:val="24"/>
          <w:lang w:val="cs-CZ"/>
        </w:rPr>
      </w:pPr>
    </w:p>
    <w:tbl>
      <w:tblPr>
        <w:tblW w:w="893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81"/>
        <w:gridCol w:w="5982"/>
        <w:gridCol w:w="567"/>
        <w:gridCol w:w="7"/>
      </w:tblGrid>
      <w:tr w14:paraId="632E1E6E" w14:textId="77777777" w:rsidTr="0070747B">
        <w:tblPrEx>
          <w:tblW w:w="893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gridAfter w:val="1"/>
          <w:wAfter w:w="7" w:type="dxa"/>
          <w:tblHeader/>
        </w:trPr>
        <w:tc>
          <w:tcPr>
            <w:tcW w:w="2381"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CA103C" w:rsidRPr="00A955AF" w:rsidP="004F7B30" w14:paraId="52E105E4"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982" w:type="dxa"/>
            <w:tcBorders>
              <w:top w:val="single" w:sz="4" w:space="0" w:color="auto"/>
              <w:left w:val="single" w:sz="4" w:space="0" w:color="auto"/>
              <w:bottom w:val="single" w:sz="4" w:space="0" w:color="auto"/>
              <w:right w:val="nil"/>
            </w:tcBorders>
            <w:shd w:val="clear" w:color="auto" w:fill="FFFFCC"/>
            <w:vAlign w:val="center"/>
            <w:hideMark/>
          </w:tcPr>
          <w:p w:rsidR="00CA103C" w:rsidRPr="00A955AF" w14:paraId="6CDC1949" w14:textId="15F036BA">
            <w:pPr>
              <w:spacing w:line="276" w:lineRule="auto"/>
              <w:rPr>
                <w:rFonts w:eastAsiaTheme="minorHAnsi" w:cs="Arial"/>
                <w:b/>
                <w:color w:val="205493"/>
                <w:sz w:val="24"/>
              </w:rPr>
            </w:pPr>
            <w:r w:rsidRPr="00A955AF">
              <w:rPr>
                <w:rFonts w:cs="Arial"/>
                <w:b/>
                <w:color w:val="205493"/>
                <w:sz w:val="24"/>
              </w:rPr>
              <w:t>2.2 Personální stabilizace resortu zdravotnictví</w:t>
            </w:r>
          </w:p>
        </w:tc>
        <w:tc>
          <w:tcPr>
            <w:tcW w:w="567" w:type="dxa"/>
            <w:tcBorders>
              <w:top w:val="single" w:sz="4" w:space="0" w:color="auto"/>
              <w:left w:val="nil"/>
              <w:bottom w:val="single" w:sz="4" w:space="0" w:color="auto"/>
              <w:right w:val="single" w:sz="4" w:space="0" w:color="auto"/>
            </w:tcBorders>
            <w:shd w:val="clear" w:color="auto" w:fill="FFFFCC"/>
            <w:vAlign w:val="center"/>
          </w:tcPr>
          <w:p w:rsidR="00CA103C" w:rsidRPr="00A955AF" w:rsidP="00AA3223" w14:paraId="1DABCEED" w14:textId="37BE0830">
            <w:pPr>
              <w:spacing w:line="276" w:lineRule="auto"/>
              <w:ind w:left="-400" w:firstLine="400"/>
              <w:jc w:val="right"/>
              <w:rPr>
                <w:rFonts w:eastAsiaTheme="minorHAnsi" w:cs="Arial"/>
                <w:b/>
                <w:color w:val="205493"/>
                <w:sz w:val="24"/>
              </w:rPr>
            </w:pPr>
          </w:p>
        </w:tc>
      </w:tr>
      <w:tr w14:paraId="17875AFF" w14:textId="77777777" w:rsidTr="00AA3223">
        <w:tblPrEx>
          <w:tblW w:w="8937" w:type="dxa"/>
          <w:tblInd w:w="137" w:type="dxa"/>
          <w:tblLayout w:type="fixed"/>
          <w:tblLook w:val="04A0"/>
        </w:tblPrEx>
        <w:trPr>
          <w:trHeight w:val="716"/>
        </w:trPr>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7B5254F9" w14:textId="77777777">
            <w:pPr>
              <w:spacing w:line="276" w:lineRule="auto"/>
              <w:rPr>
                <w:rFonts w:eastAsiaTheme="minorHAnsi" w:cs="Arial"/>
                <w:b/>
                <w:sz w:val="24"/>
              </w:rPr>
            </w:pPr>
            <w:r w:rsidRPr="00A955AF">
              <w:rPr>
                <w:rFonts w:cs="Arial"/>
                <w:b/>
                <w:sz w:val="24"/>
              </w:rPr>
              <w:t>Dílčí cíle</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7174EF" w:rsidRPr="007174EF" w:rsidP="00941CC1" w14:paraId="4F1C9F9A" w14:textId="77777777">
            <w:pPr>
              <w:pStyle w:val="ListParagraph"/>
              <w:numPr>
                <w:ilvl w:val="0"/>
                <w:numId w:val="12"/>
              </w:numPr>
              <w:autoSpaceDE/>
              <w:autoSpaceDN/>
              <w:adjustRightInd/>
              <w:spacing w:before="0" w:after="0" w:line="276" w:lineRule="auto"/>
              <w:rPr>
                <w:rFonts w:eastAsia="Times New Roman" w:cs="Times New Roman"/>
                <w:bCs w:val="0"/>
                <w:vanish/>
                <w:color w:val="222222"/>
                <w:sz w:val="24"/>
                <w:szCs w:val="24"/>
              </w:rPr>
            </w:pPr>
          </w:p>
          <w:p w:rsidR="007174EF" w:rsidRPr="007174EF" w:rsidP="00941CC1" w14:paraId="2E024C85" w14:textId="77777777">
            <w:pPr>
              <w:pStyle w:val="ListParagraph"/>
              <w:numPr>
                <w:ilvl w:val="1"/>
                <w:numId w:val="12"/>
              </w:numPr>
              <w:autoSpaceDE/>
              <w:autoSpaceDN/>
              <w:adjustRightInd/>
              <w:spacing w:before="0" w:after="0" w:line="276" w:lineRule="auto"/>
              <w:rPr>
                <w:rFonts w:eastAsia="Times New Roman" w:cs="Times New Roman"/>
                <w:bCs w:val="0"/>
                <w:vanish/>
                <w:color w:val="222222"/>
                <w:sz w:val="24"/>
                <w:szCs w:val="24"/>
              </w:rPr>
            </w:pPr>
          </w:p>
          <w:p w:rsidR="007174EF" w:rsidRPr="007174EF" w:rsidP="00941CC1" w14:paraId="55289728" w14:textId="77777777">
            <w:pPr>
              <w:pStyle w:val="ListParagraph"/>
              <w:numPr>
                <w:ilvl w:val="1"/>
                <w:numId w:val="12"/>
              </w:numPr>
              <w:autoSpaceDE/>
              <w:autoSpaceDN/>
              <w:adjustRightInd/>
              <w:spacing w:before="0" w:after="0" w:line="276" w:lineRule="auto"/>
              <w:rPr>
                <w:rFonts w:eastAsia="Times New Roman" w:cs="Times New Roman"/>
                <w:bCs w:val="0"/>
                <w:vanish/>
                <w:color w:val="222222"/>
                <w:sz w:val="24"/>
                <w:szCs w:val="24"/>
              </w:rPr>
            </w:pPr>
          </w:p>
          <w:p w:rsidR="007174EF" w:rsidRPr="007174EF" w:rsidP="00941CC1" w14:paraId="349B0EAE" w14:textId="113BBF5D">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Vytvoření dlouhodobé strategie stabilizace a rozvoje personálních zdrojů ve zdravotnictví do roku 2035</w:t>
            </w:r>
          </w:p>
          <w:p w:rsidR="007174EF" w:rsidRPr="007174EF" w:rsidP="00941CC1" w14:paraId="3B8F0440" w14:textId="3C29007E">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Vytvoření procesu a institucionální struktury pro strategické řízení a plánování personálních kapacit</w:t>
            </w:r>
          </w:p>
          <w:p w:rsidR="007174EF" w:rsidRPr="007174EF" w:rsidP="00941CC1" w14:paraId="78A2D952" w14:textId="4E2C4B16">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Zlepšení organizace a průchodnosti postgraduálního </w:t>
            </w:r>
            <w:r w:rsidRPr="00C50D3D" w:rsidR="001F43E5">
              <w:rPr>
                <w:rFonts w:asciiTheme="minorHAnsi" w:hAnsiTheme="minorHAnsi" w:cstheme="minorHAnsi"/>
                <w:bCs/>
                <w:szCs w:val="22"/>
              </w:rPr>
              <w:t>vzdělávání zdravotnických pracovníků</w:t>
            </w:r>
          </w:p>
          <w:p w:rsidR="007174EF" w:rsidRPr="007174EF" w:rsidP="00941CC1" w14:paraId="1A782956" w14:textId="2B7914E6">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Podpora koordinovaných přístupů v oblasti celoživotního vzdělávání zdravotnických pracovníků</w:t>
            </w:r>
          </w:p>
          <w:p w:rsidR="007174EF" w:rsidRPr="007174EF" w:rsidP="00941CC1" w14:paraId="0ED6762D" w14:textId="5F23934B">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Definování návaznosti prohlubování a zvyšování kvalifikace zdravotnických pracovníků na systém finančního ohodnocení  </w:t>
            </w:r>
          </w:p>
          <w:p w:rsidR="007174EF" w:rsidRPr="007174EF" w:rsidP="00941CC1" w14:paraId="54805D16" w14:textId="72D698FB">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Vybudování národní informační základny pro monitoring stávajících a plánování potřebných personálních kapacit ve zdravotnictví na celostátní, regionální i místní úrovni </w:t>
            </w:r>
          </w:p>
          <w:p w:rsidR="007174EF" w:rsidRPr="007174EF" w:rsidP="00941CC1" w14:paraId="5B7FEC6F" w14:textId="2DB7D53D">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Posílení postavení nelékařských zdravotnických pracovníků v systému zdravotní péče, podpora jejich vzdělávání a zvyšování kompetencí v jejich samostatných rolích </w:t>
            </w:r>
          </w:p>
          <w:p w:rsidR="007174EF" w:rsidRPr="007174EF" w:rsidP="00941CC1" w14:paraId="559E3730" w14:textId="53E630BD">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Zlepšení prevence negativních dopadů psychické a</w:t>
            </w:r>
            <w:r w:rsidR="00D13FED">
              <w:rPr>
                <w:rFonts w:asciiTheme="minorHAnsi" w:hAnsiTheme="minorHAnsi"/>
                <w:color w:val="222222"/>
                <w:sz w:val="24"/>
                <w:lang w:val="cs-CZ" w:eastAsia="en-US"/>
              </w:rPr>
              <w:t> </w:t>
            </w:r>
            <w:r w:rsidRPr="007174EF">
              <w:rPr>
                <w:rFonts w:asciiTheme="minorHAnsi" w:hAnsiTheme="minorHAnsi"/>
                <w:color w:val="222222"/>
                <w:sz w:val="24"/>
                <w:lang w:val="cs-CZ" w:eastAsia="en-US"/>
              </w:rPr>
              <w:t xml:space="preserve">fyzické zátěže pro pracovníky ve zdravotnictví, např. Prostřednictvím psychosociální podpory a supervize  </w:t>
            </w:r>
          </w:p>
          <w:p w:rsidR="007174EF" w:rsidRPr="007174EF" w:rsidP="00941CC1" w14:paraId="31B8169D" w14:textId="3B083AB2">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Personální posílení nedostatečně obsazených oborů </w:t>
            </w:r>
          </w:p>
          <w:p w:rsidR="007174EF" w:rsidRPr="007174EF" w:rsidP="00941CC1" w14:paraId="7E484745" w14:textId="45C08805">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Personální posílení orgánů ochrany veřejného zdraví </w:t>
            </w:r>
          </w:p>
          <w:p w:rsidR="007174EF" w:rsidRPr="007174EF" w:rsidP="00941CC1" w14:paraId="35E311C9" w14:textId="062F0674">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Zavedení motivačních faktorů pro zabezpečení praxe na venkově, v obtížně obsaditelných a méně atraktivních oblastech </w:t>
            </w:r>
          </w:p>
          <w:p w:rsidR="007174EF" w:rsidRPr="007174EF" w:rsidP="00941CC1" w14:paraId="632E1F43" w14:textId="5517536D">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 xml:space="preserve">Zvýšení podílu doporučených postupů a příprava národních standardizovaných ošetřovatelských protokolů </w:t>
            </w:r>
          </w:p>
          <w:p w:rsidR="00A633B7" w:rsidRPr="00A955AF" w:rsidP="00941CC1" w14:paraId="70416332" w14:textId="7AE85AC7">
            <w:pPr>
              <w:pStyle w:val="Bntext"/>
              <w:numPr>
                <w:ilvl w:val="2"/>
                <w:numId w:val="12"/>
              </w:numPr>
              <w:spacing w:before="0" w:after="0"/>
              <w:rPr>
                <w:rFonts w:asciiTheme="minorHAnsi" w:hAnsiTheme="minorHAnsi"/>
                <w:color w:val="222222"/>
                <w:sz w:val="24"/>
                <w:lang w:val="cs-CZ" w:eastAsia="en-US"/>
              </w:rPr>
            </w:pPr>
            <w:r w:rsidRPr="007174EF">
              <w:rPr>
                <w:rFonts w:asciiTheme="minorHAnsi" w:hAnsiTheme="minorHAnsi"/>
                <w:color w:val="222222"/>
                <w:sz w:val="24"/>
                <w:lang w:val="cs-CZ" w:eastAsia="en-US"/>
              </w:rPr>
              <w:t>Podpora slaďování osobního a pracovního života pracovníků ve zdravotnictví</w:t>
            </w:r>
          </w:p>
        </w:tc>
      </w:tr>
      <w:tr w14:paraId="2C70183B"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3EBA966B" w14:textId="2C8ADDC2">
            <w:pPr>
              <w:spacing w:line="276" w:lineRule="auto"/>
              <w:rPr>
                <w:rFonts w:eastAsiaTheme="minorHAnsi" w:cs="Arial"/>
                <w:b/>
                <w:sz w:val="24"/>
              </w:rPr>
            </w:pPr>
            <w:r w:rsidRPr="00A955AF">
              <w:rPr>
                <w:rFonts w:cs="Arial"/>
                <w:b/>
                <w:sz w:val="24"/>
              </w:rPr>
              <w:t>Příklady hlavních opatření</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887597" w:rsidRPr="00A955AF" w:rsidP="006C359E" w14:paraId="751DEAF6" w14:textId="77777777">
            <w:pPr>
              <w:pStyle w:val="NormalWeb"/>
              <w:numPr>
                <w:ilvl w:val="0"/>
                <w:numId w:val="37"/>
              </w:numPr>
              <w:spacing w:before="100" w:beforeAutospacing="1" w:after="100" w:afterAutospacing="1"/>
              <w:jc w:val="both"/>
              <w:rPr>
                <w:rFonts w:asciiTheme="minorHAnsi" w:hAnsiTheme="minorHAnsi" w:cstheme="minorBidi"/>
                <w:color w:val="222222"/>
                <w:lang w:eastAsia="en-US"/>
              </w:rPr>
            </w:pPr>
            <w:r w:rsidRPr="00A955AF">
              <w:rPr>
                <w:rFonts w:asciiTheme="minorHAnsi" w:hAnsiTheme="minorHAnsi" w:cstheme="minorBidi"/>
                <w:color w:val="222222"/>
                <w:lang w:eastAsia="en-US"/>
              </w:rPr>
              <w:t>Příprava metodik, obsahu a evaluace motivačních programů pro</w:t>
            </w:r>
            <w:r w:rsidRPr="00A955AF" w:rsidR="00B6608A">
              <w:rPr>
                <w:rFonts w:asciiTheme="minorHAnsi" w:hAnsiTheme="minorHAnsi" w:cstheme="minorBidi"/>
                <w:color w:val="222222"/>
                <w:lang w:eastAsia="en-US"/>
              </w:rPr>
              <w:t> </w:t>
            </w:r>
            <w:r w:rsidRPr="00A955AF">
              <w:rPr>
                <w:rFonts w:asciiTheme="minorHAnsi" w:hAnsiTheme="minorHAnsi" w:cstheme="minorBidi"/>
                <w:color w:val="222222"/>
                <w:lang w:eastAsia="en-US"/>
              </w:rPr>
              <w:t>podporu otevírání praxí v primární péči v rizikových oblastech ČR</w:t>
            </w:r>
          </w:p>
          <w:p w:rsidR="00887597" w:rsidRPr="00832E7E" w:rsidP="006C359E" w14:paraId="004498B5" w14:textId="36EA41D5">
            <w:pPr>
              <w:pStyle w:val="NormalWeb"/>
              <w:numPr>
                <w:ilvl w:val="0"/>
                <w:numId w:val="37"/>
              </w:numPr>
              <w:spacing w:before="100" w:beforeAutospacing="1" w:after="100" w:afterAutospacing="1"/>
              <w:jc w:val="both"/>
              <w:rPr>
                <w:rFonts w:asciiTheme="minorHAnsi" w:hAnsiTheme="minorHAnsi" w:cstheme="minorBidi"/>
                <w:color w:val="222222"/>
                <w:lang w:eastAsia="en-US"/>
              </w:rPr>
            </w:pPr>
            <w:r w:rsidRPr="00A955AF">
              <w:rPr>
                <w:rFonts w:asciiTheme="minorHAnsi" w:hAnsiTheme="minorHAnsi" w:cstheme="minorBidi"/>
                <w:color w:val="222222"/>
                <w:lang w:eastAsia="en-US"/>
              </w:rPr>
              <w:t>Vývoj nového informačního systému umožňujícího plánování opatření pro posílení personální stabilizace zdravotních a</w:t>
            </w:r>
            <w:r w:rsidRPr="00A955AF" w:rsidR="00B6608A">
              <w:rPr>
                <w:rFonts w:asciiTheme="minorHAnsi" w:hAnsiTheme="minorHAnsi" w:cstheme="minorBidi"/>
                <w:color w:val="222222"/>
                <w:lang w:eastAsia="en-US"/>
              </w:rPr>
              <w:t> </w:t>
            </w:r>
            <w:r w:rsidRPr="00A955AF">
              <w:rPr>
                <w:rFonts w:asciiTheme="minorHAnsi" w:hAnsiTheme="minorHAnsi" w:cstheme="minorBidi"/>
                <w:color w:val="222222"/>
                <w:lang w:eastAsia="en-US"/>
              </w:rPr>
              <w:t>zdravotně</w:t>
            </w:r>
            <w:r w:rsidR="00871905">
              <w:rPr>
                <w:rFonts w:asciiTheme="minorHAnsi" w:hAnsiTheme="minorHAnsi" w:cstheme="minorBidi"/>
                <w:color w:val="222222"/>
                <w:lang w:eastAsia="en-US"/>
              </w:rPr>
              <w:t xml:space="preserve"> </w:t>
            </w:r>
            <w:r w:rsidRPr="00A955AF">
              <w:rPr>
                <w:rFonts w:asciiTheme="minorHAnsi" w:hAnsiTheme="minorHAnsi" w:cstheme="minorBidi"/>
                <w:color w:val="222222"/>
                <w:lang w:eastAsia="en-US"/>
              </w:rPr>
              <w:t xml:space="preserve">sociálních služeb </w:t>
            </w:r>
          </w:p>
          <w:p w:rsidR="00887597" w:rsidRPr="00A955AF" w:rsidP="006C359E" w14:paraId="62A311E5" w14:textId="6AC52633">
            <w:pPr>
              <w:pStyle w:val="NormalWeb"/>
              <w:numPr>
                <w:ilvl w:val="0"/>
                <w:numId w:val="37"/>
              </w:numPr>
              <w:spacing w:before="100" w:beforeAutospacing="1" w:after="100" w:afterAutospacing="1"/>
              <w:jc w:val="both"/>
              <w:rPr>
                <w:rFonts w:asciiTheme="minorHAnsi" w:hAnsiTheme="minorHAnsi" w:cstheme="minorBidi"/>
                <w:color w:val="222222"/>
                <w:lang w:eastAsia="en-US"/>
              </w:rPr>
            </w:pPr>
            <w:r w:rsidRPr="00A955AF">
              <w:rPr>
                <w:rFonts w:asciiTheme="minorHAnsi" w:hAnsiTheme="minorHAnsi" w:cstheme="minorBidi"/>
                <w:color w:val="222222"/>
                <w:lang w:eastAsia="en-US"/>
              </w:rPr>
              <w:t>Metodická</w:t>
            </w:r>
            <w:r w:rsidR="00656642">
              <w:rPr>
                <w:rFonts w:asciiTheme="minorHAnsi" w:hAnsiTheme="minorHAnsi" w:cstheme="minorBidi"/>
                <w:color w:val="222222"/>
                <w:lang w:eastAsia="en-US"/>
              </w:rPr>
              <w:t xml:space="preserve"> doporučení</w:t>
            </w:r>
            <w:r w:rsidRPr="00A955AF">
              <w:rPr>
                <w:rFonts w:asciiTheme="minorHAnsi" w:hAnsiTheme="minorHAnsi" w:cstheme="minorBidi"/>
                <w:color w:val="222222"/>
                <w:lang w:eastAsia="en-US"/>
              </w:rPr>
              <w:t xml:space="preserve"> a normativní programy snižující administrativní zátěž </w:t>
            </w:r>
            <w:r w:rsidRPr="00A955AF" w:rsidR="00FE6DF4">
              <w:rPr>
                <w:rFonts w:asciiTheme="minorHAnsi" w:hAnsiTheme="minorHAnsi" w:cstheme="minorBidi"/>
                <w:color w:val="222222"/>
                <w:lang w:eastAsia="en-US"/>
              </w:rPr>
              <w:t>pracovníků ve zdravotnictví</w:t>
            </w:r>
          </w:p>
          <w:p w:rsidR="00946864" w:rsidRPr="00A955AF" w:rsidP="006C359E" w14:paraId="24F27C99" w14:textId="77777777">
            <w:pPr>
              <w:pStyle w:val="NormalWeb"/>
              <w:numPr>
                <w:ilvl w:val="0"/>
                <w:numId w:val="37"/>
              </w:numPr>
              <w:spacing w:before="100" w:beforeAutospacing="1" w:after="100" w:afterAutospacing="1"/>
              <w:jc w:val="both"/>
              <w:rPr>
                <w:rFonts w:asciiTheme="minorHAnsi" w:hAnsiTheme="minorHAnsi" w:cstheme="minorBidi"/>
                <w:color w:val="222222"/>
                <w:lang w:eastAsia="en-US"/>
              </w:rPr>
            </w:pPr>
            <w:r w:rsidRPr="00A955AF">
              <w:rPr>
                <w:rFonts w:asciiTheme="minorHAnsi" w:hAnsiTheme="minorHAnsi" w:cstheme="minorBidi"/>
                <w:color w:val="222222"/>
                <w:lang w:eastAsia="en-US"/>
              </w:rPr>
              <w:t>Tvorba nástrojů pro řízení systému vzdělávání</w:t>
            </w:r>
          </w:p>
          <w:p w:rsidR="00D73821" w:rsidRPr="00A955AF" w:rsidP="006C359E" w14:paraId="05A2CBDB" w14:textId="125184EF">
            <w:pPr>
              <w:pStyle w:val="NormalWeb"/>
              <w:numPr>
                <w:ilvl w:val="0"/>
                <w:numId w:val="37"/>
              </w:numPr>
              <w:spacing w:before="100" w:beforeAutospacing="1" w:after="100" w:afterAutospacing="1"/>
              <w:rPr>
                <w:rFonts w:asciiTheme="minorHAnsi" w:hAnsiTheme="minorHAnsi" w:cstheme="minorBidi"/>
                <w:color w:val="222222"/>
                <w:lang w:eastAsia="en-US"/>
              </w:rPr>
            </w:pPr>
            <w:r w:rsidRPr="00A955AF">
              <w:rPr>
                <w:rFonts w:asciiTheme="minorHAnsi" w:hAnsiTheme="minorHAnsi" w:cstheme="minorBidi"/>
                <w:color w:val="222222"/>
                <w:lang w:eastAsia="en-US"/>
              </w:rPr>
              <w:t xml:space="preserve">Vytváření doporučených klinických postupů, kompetencí </w:t>
            </w:r>
            <w:r w:rsidRPr="00A955AF" w:rsidR="00473535">
              <w:rPr>
                <w:rFonts w:asciiTheme="minorHAnsi" w:hAnsiTheme="minorHAnsi" w:cstheme="minorBidi"/>
                <w:color w:val="222222"/>
                <w:lang w:eastAsia="en-US"/>
              </w:rPr>
              <w:t>a </w:t>
            </w:r>
            <w:r w:rsidRPr="00A955AF">
              <w:rPr>
                <w:rFonts w:asciiTheme="minorHAnsi" w:hAnsiTheme="minorHAnsi" w:cstheme="minorBidi"/>
                <w:color w:val="222222"/>
                <w:lang w:eastAsia="en-US"/>
              </w:rPr>
              <w:t>vzdělávacích plánů přizpůsobených aktuálním podmínkám a</w:t>
            </w:r>
            <w:r w:rsidR="00C16542">
              <w:rPr>
                <w:rFonts w:asciiTheme="minorHAnsi" w:hAnsiTheme="minorHAnsi" w:cstheme="minorBidi"/>
                <w:color w:val="222222"/>
                <w:lang w:eastAsia="en-US"/>
              </w:rPr>
              <w:t> </w:t>
            </w:r>
            <w:r w:rsidRPr="00A955AF">
              <w:rPr>
                <w:rFonts w:asciiTheme="minorHAnsi" w:hAnsiTheme="minorHAnsi" w:cstheme="minorBidi"/>
                <w:color w:val="222222"/>
                <w:lang w:eastAsia="en-US"/>
              </w:rPr>
              <w:t>rozvoji oboru</w:t>
            </w:r>
          </w:p>
          <w:p w:rsidR="00D73821" w:rsidRPr="00A955AF" w:rsidP="006C359E" w14:paraId="517354F8" w14:textId="77777777">
            <w:pPr>
              <w:pStyle w:val="NormalWeb"/>
              <w:numPr>
                <w:ilvl w:val="0"/>
                <w:numId w:val="37"/>
              </w:numPr>
              <w:spacing w:before="100" w:beforeAutospacing="1" w:after="100" w:afterAutospacing="1"/>
              <w:rPr>
                <w:rFonts w:asciiTheme="minorHAnsi" w:hAnsiTheme="minorHAnsi" w:cstheme="minorBidi"/>
                <w:color w:val="222222"/>
                <w:lang w:eastAsia="en-US"/>
              </w:rPr>
            </w:pPr>
            <w:r w:rsidRPr="00A955AF">
              <w:rPr>
                <w:rFonts w:asciiTheme="minorHAnsi" w:hAnsiTheme="minorHAnsi" w:cstheme="minorBidi"/>
                <w:color w:val="222222"/>
                <w:lang w:eastAsia="en-US"/>
              </w:rPr>
              <w:t xml:space="preserve">Opatření v oblasti organizace postgraduálního vzdělávání </w:t>
            </w:r>
          </w:p>
          <w:p w:rsidR="00D73821" w:rsidRPr="00A955AF" w:rsidP="006C359E" w14:paraId="508F81B7" w14:textId="77777777">
            <w:pPr>
              <w:pStyle w:val="NormalWeb"/>
              <w:numPr>
                <w:ilvl w:val="0"/>
                <w:numId w:val="37"/>
              </w:numPr>
              <w:spacing w:before="100" w:beforeAutospacing="1" w:after="100" w:afterAutospacing="1"/>
              <w:jc w:val="both"/>
              <w:rPr>
                <w:rFonts w:asciiTheme="minorHAnsi" w:hAnsiTheme="minorHAnsi" w:cstheme="minorBidi"/>
                <w:color w:val="222222"/>
                <w:lang w:eastAsia="en-US"/>
              </w:rPr>
            </w:pPr>
            <w:r w:rsidRPr="00A955AF">
              <w:rPr>
                <w:rFonts w:asciiTheme="minorHAnsi" w:hAnsiTheme="minorHAnsi" w:cstheme="minorBidi"/>
                <w:color w:val="222222"/>
                <w:lang w:eastAsia="en-US"/>
              </w:rPr>
              <w:t>Vytvoření informačního systému pro organizaci postgraduálního vzdělávání zdravotnických pracovníků</w:t>
            </w:r>
          </w:p>
        </w:tc>
      </w:tr>
      <w:tr w14:paraId="2914048C"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745AA007" w14:textId="77777777">
            <w:pPr>
              <w:spacing w:line="276" w:lineRule="auto"/>
              <w:rPr>
                <w:rFonts w:eastAsiaTheme="minorHAnsi" w:cs="Arial"/>
                <w:b/>
                <w:sz w:val="24"/>
              </w:rPr>
            </w:pPr>
            <w:r w:rsidRPr="00A955AF">
              <w:rPr>
                <w:rFonts w:cs="Arial"/>
                <w:b/>
                <w:sz w:val="24"/>
              </w:rPr>
              <w:t>Garant</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887597" w:rsidRPr="00A955AF" w:rsidP="00B6608A" w14:paraId="53BA31C4" w14:textId="34888048">
            <w:pPr>
              <w:spacing w:line="276" w:lineRule="auto"/>
              <w:rPr>
                <w:rFonts w:eastAsiaTheme="minorHAnsi"/>
                <w:color w:val="222222"/>
                <w:sz w:val="24"/>
              </w:rPr>
            </w:pPr>
            <w:r w:rsidRPr="00A955AF">
              <w:rPr>
                <w:rFonts w:cs="Arial"/>
                <w:sz w:val="24"/>
              </w:rPr>
              <w:t>MZ</w:t>
            </w:r>
            <w:r w:rsidR="00A33981">
              <w:rPr>
                <w:rFonts w:cs="Arial"/>
                <w:sz w:val="24"/>
              </w:rPr>
              <w:t>D – náměstek ministra</w:t>
            </w:r>
          </w:p>
        </w:tc>
      </w:tr>
      <w:tr w14:paraId="2F5B4654"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026DB740" w14:textId="77777777">
            <w:pPr>
              <w:spacing w:line="276" w:lineRule="auto"/>
              <w:rPr>
                <w:rFonts w:eastAsiaTheme="minorHAnsi" w:cs="Arial"/>
                <w:b/>
                <w:sz w:val="24"/>
              </w:rPr>
            </w:pPr>
            <w:r w:rsidRPr="00A955AF">
              <w:rPr>
                <w:rFonts w:cs="Arial"/>
                <w:b/>
                <w:sz w:val="24"/>
              </w:rPr>
              <w:t>Spolupracující instituce</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887597" w:rsidRPr="00A955AF" w:rsidP="00FD0DDC" w14:paraId="461BB0D2" w14:textId="3EEDC038">
            <w:pPr>
              <w:spacing w:line="276" w:lineRule="auto"/>
              <w:rPr>
                <w:rFonts w:eastAsiaTheme="minorHAnsi"/>
                <w:color w:val="222222"/>
                <w:sz w:val="24"/>
              </w:rPr>
            </w:pPr>
            <w:r w:rsidRPr="001F43E5">
              <w:rPr>
                <w:color w:val="222222"/>
                <w:sz w:val="24"/>
              </w:rPr>
              <w:t xml:space="preserve">MŠMT, MPSV, MMR, MV, MZV, Asociace krajů ČR, IPVZ, NCO NZO, ÚZIS, SZÚ, zdravotní ústavy, KHS, ČLS JEP, lékařské fakulty, </w:t>
            </w:r>
            <w:r w:rsidRPr="00D32466" w:rsidR="00D32466">
              <w:rPr>
                <w:color w:val="222222"/>
                <w:sz w:val="24"/>
              </w:rPr>
              <w:t>vzdělavatelé (SZŠ, VOŠ, VŠ, akreditovaná zařízení podle zákona č. 96/2004 Sb. a zákona č. 95/2004 Sb.)</w:t>
            </w:r>
            <w:r w:rsidR="00D32466">
              <w:rPr>
                <w:color w:val="222222"/>
                <w:sz w:val="24"/>
              </w:rPr>
              <w:t>,</w:t>
            </w:r>
            <w:r w:rsidRPr="001F43E5">
              <w:rPr>
                <w:color w:val="222222"/>
                <w:sz w:val="24"/>
              </w:rPr>
              <w:t xml:space="preserve"> profesní komory, odborné společnosti, ČAS, poskytovatelé zdravotních služeb, zdravotní pojišťovny, Mladí lékaři z.s., sdružení poskytovatelů, odborové svazy, zdravotnické asociace nemocnic, Svaz zdravotních pojišťoven, vzdělavatelé včetně akreditovaných zařízení</w:t>
            </w:r>
          </w:p>
        </w:tc>
      </w:tr>
      <w:tr w14:paraId="5617699A" w14:textId="77777777" w:rsidTr="00AA3223">
        <w:tblPrEx>
          <w:tblW w:w="8937" w:type="dxa"/>
          <w:tblInd w:w="137" w:type="dxa"/>
          <w:tblLayout w:type="fixed"/>
          <w:tblLook w:val="04A0"/>
        </w:tblPrEx>
        <w:trPr>
          <w:trHeight w:val="710"/>
        </w:trPr>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5BA5CD6B" w14:textId="77777777">
            <w:pPr>
              <w:spacing w:line="276" w:lineRule="auto"/>
              <w:rPr>
                <w:rFonts w:eastAsiaTheme="minorHAnsi" w:cs="Arial"/>
                <w:b/>
                <w:sz w:val="24"/>
              </w:rPr>
            </w:pPr>
            <w:r w:rsidRPr="00A955AF">
              <w:rPr>
                <w:rFonts w:cs="Arial"/>
                <w:b/>
                <w:sz w:val="24"/>
              </w:rPr>
              <w:t>Vazba na další specifické cíle</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A33981" w:rsidRPr="00A33981" w:rsidP="006C359E" w14:paraId="12F4D609" w14:textId="50A11601">
            <w:pPr>
              <w:pStyle w:val="ListParagraph"/>
              <w:numPr>
                <w:ilvl w:val="1"/>
                <w:numId w:val="54"/>
              </w:numPr>
              <w:rPr>
                <w:rFonts w:cs="Arial"/>
                <w:sz w:val="24"/>
              </w:rPr>
            </w:pPr>
            <w:r w:rsidRPr="00A33981">
              <w:rPr>
                <w:rFonts w:cs="Arial"/>
                <w:sz w:val="24"/>
              </w:rPr>
              <w:t>Primární prevence a ochrana veřejného zdraví</w:t>
            </w:r>
          </w:p>
          <w:p w:rsidR="00A33981" w:rsidRPr="00CE7078" w:rsidP="00A33981" w14:paraId="78187F48" w14:textId="530618AF">
            <w:pPr>
              <w:rPr>
                <w:rFonts w:cs="Arial"/>
                <w:sz w:val="24"/>
              </w:rPr>
            </w:pPr>
            <w:r>
              <w:rPr>
                <w:rFonts w:cs="Arial"/>
                <w:sz w:val="24"/>
              </w:rPr>
              <w:t>2</w:t>
            </w:r>
            <w:r w:rsidRPr="00CE7078">
              <w:rPr>
                <w:rFonts w:cs="Arial"/>
                <w:sz w:val="24"/>
              </w:rPr>
              <w:t>.1 Reforma primární péče</w:t>
            </w:r>
          </w:p>
          <w:p w:rsidR="00A33981" w:rsidP="00A33981" w14:paraId="4BD1F497" w14:textId="6E7E046D">
            <w:pPr>
              <w:rPr>
                <w:rFonts w:cs="Arial"/>
                <w:sz w:val="24"/>
              </w:rPr>
            </w:pPr>
            <w:r>
              <w:rPr>
                <w:rFonts w:cs="Arial"/>
                <w:sz w:val="24"/>
              </w:rPr>
              <w:t>2.3 Digitalizace zdravotnictví</w:t>
            </w:r>
          </w:p>
          <w:p w:rsidR="00941CC1" w:rsidP="00A33981" w14:paraId="10EFC1EB" w14:textId="69983A7F">
            <w:pPr>
              <w:rPr>
                <w:rFonts w:cs="Arial"/>
                <w:sz w:val="24"/>
              </w:rPr>
            </w:pPr>
            <w:r>
              <w:rPr>
                <w:rFonts w:cs="Arial"/>
                <w:sz w:val="24"/>
              </w:rPr>
              <w:t>2.4 Optimalizace systému úhrad ve zdravotnictví</w:t>
            </w:r>
          </w:p>
          <w:p w:rsidR="00887597" w:rsidRPr="00941CC1" w:rsidP="00941CC1" w14:paraId="55C3DD8E" w14:textId="171A65DB">
            <w:pPr>
              <w:rPr>
                <w:rFonts w:cs="Arial"/>
                <w:sz w:val="24"/>
              </w:rPr>
            </w:pPr>
            <w:r>
              <w:rPr>
                <w:rFonts w:cs="Arial"/>
                <w:sz w:val="24"/>
              </w:rPr>
              <w:t xml:space="preserve">2.5 Péče na sociálně zdravotním pomezí </w:t>
            </w:r>
          </w:p>
        </w:tc>
      </w:tr>
      <w:tr w14:paraId="09CE26FB"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rsidP="008E265E" w14:paraId="5B3B0AB1" w14:textId="77777777">
            <w:pPr>
              <w:spacing w:line="276" w:lineRule="auto"/>
              <w:rPr>
                <w:rFonts w:eastAsiaTheme="minorHAnsi" w:cs="Arial"/>
                <w:b/>
                <w:sz w:val="24"/>
              </w:rPr>
            </w:pPr>
            <w:r w:rsidRPr="00A955AF">
              <w:rPr>
                <w:rFonts w:cs="Arial"/>
                <w:b/>
                <w:sz w:val="24"/>
              </w:rPr>
              <w:t xml:space="preserve">Indikátory </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3E71AB" w:rsidRPr="00A955AF" w:rsidP="003E71AB" w14:paraId="7F57057F" w14:textId="77777777">
            <w:pPr>
              <w:tabs>
                <w:tab w:val="num" w:pos="585"/>
              </w:tabs>
              <w:overflowPunct w:val="0"/>
              <w:autoSpaceDE w:val="0"/>
              <w:autoSpaceDN w:val="0"/>
              <w:adjustRightInd w:val="0"/>
              <w:rPr>
                <w:rFonts w:cs="Arial"/>
                <w:color w:val="auto"/>
                <w:sz w:val="24"/>
              </w:rPr>
            </w:pPr>
            <w:r w:rsidRPr="00A955AF">
              <w:rPr>
                <w:rFonts w:cs="Arial"/>
                <w:color w:val="auto"/>
                <w:sz w:val="24"/>
              </w:rPr>
              <w:t xml:space="preserve">Na úrovni dopadu: </w:t>
            </w:r>
          </w:p>
          <w:p w:rsidR="003E71AB" w:rsidRPr="00A955AF" w:rsidP="006C359E" w14:paraId="487ACBA1" w14:textId="77777777">
            <w:pPr>
              <w:pStyle w:val="ListParagraph"/>
              <w:numPr>
                <w:ilvl w:val="0"/>
                <w:numId w:val="32"/>
              </w:numPr>
              <w:overflowPunct w:val="0"/>
              <w:spacing w:before="0"/>
              <w:contextualSpacing/>
              <w:rPr>
                <w:rFonts w:cs="Arial"/>
                <w:color w:val="auto"/>
                <w:sz w:val="24"/>
                <w:szCs w:val="24"/>
              </w:rPr>
            </w:pPr>
            <w:r w:rsidRPr="00A955AF">
              <w:rPr>
                <w:rFonts w:cs="Arial"/>
                <w:color w:val="auto"/>
                <w:sz w:val="24"/>
                <w:szCs w:val="24"/>
              </w:rPr>
              <w:t xml:space="preserve">Průměrný věk praktických lékařů </w:t>
            </w:r>
          </w:p>
          <w:p w:rsidR="001D1C59" w:rsidRPr="00A955AF" w:rsidP="006C359E" w14:paraId="29E2BF06" w14:textId="2AC3B65B">
            <w:pPr>
              <w:pStyle w:val="ListParagraph"/>
              <w:numPr>
                <w:ilvl w:val="0"/>
                <w:numId w:val="32"/>
              </w:numPr>
              <w:overflowPunct w:val="0"/>
              <w:spacing w:before="0"/>
              <w:contextualSpacing/>
              <w:rPr>
                <w:rFonts w:cs="Arial"/>
                <w:color w:val="auto"/>
                <w:sz w:val="24"/>
                <w:szCs w:val="24"/>
              </w:rPr>
            </w:pPr>
            <w:r w:rsidRPr="00A955AF">
              <w:rPr>
                <w:rFonts w:cs="Arial"/>
                <w:color w:val="auto"/>
                <w:sz w:val="24"/>
                <w:szCs w:val="24"/>
              </w:rPr>
              <w:t>Počet lé</w:t>
            </w:r>
            <w:r w:rsidRPr="00A955AF" w:rsidR="00CA12E0">
              <w:rPr>
                <w:rFonts w:cs="Arial"/>
                <w:color w:val="auto"/>
                <w:sz w:val="24"/>
                <w:szCs w:val="24"/>
              </w:rPr>
              <w:t xml:space="preserve">kařů/zdravotnických pracovníků </w:t>
            </w:r>
            <w:r w:rsidRPr="00A955AF">
              <w:rPr>
                <w:rFonts w:cs="Arial"/>
                <w:color w:val="auto"/>
                <w:sz w:val="24"/>
                <w:szCs w:val="24"/>
              </w:rPr>
              <w:t>(</w:t>
            </w:r>
            <w:r w:rsidR="00C71222">
              <w:rPr>
                <w:rFonts w:cs="Arial"/>
                <w:color w:val="auto"/>
                <w:sz w:val="24"/>
                <w:szCs w:val="24"/>
              </w:rPr>
              <w:t>všeobecných sester,</w:t>
            </w:r>
            <w:r w:rsidR="00520F1D">
              <w:rPr>
                <w:rFonts w:cs="Arial"/>
                <w:color w:val="auto"/>
                <w:sz w:val="24"/>
                <w:szCs w:val="24"/>
              </w:rPr>
              <w:t xml:space="preserve"> </w:t>
            </w:r>
            <w:r w:rsidRPr="00A955AF">
              <w:rPr>
                <w:rFonts w:cs="Arial"/>
                <w:color w:val="auto"/>
                <w:sz w:val="24"/>
                <w:szCs w:val="24"/>
              </w:rPr>
              <w:t>nelékařů</w:t>
            </w:r>
            <w:r w:rsidR="00C71222">
              <w:rPr>
                <w:rFonts w:cs="Arial"/>
                <w:color w:val="auto"/>
                <w:sz w:val="24"/>
                <w:szCs w:val="24"/>
              </w:rPr>
              <w:t xml:space="preserve"> atp</w:t>
            </w:r>
            <w:r w:rsidR="00B81EC5">
              <w:rPr>
                <w:rFonts w:cs="Arial"/>
                <w:color w:val="auto"/>
                <w:sz w:val="24"/>
                <w:szCs w:val="24"/>
              </w:rPr>
              <w:t>.</w:t>
            </w:r>
            <w:r w:rsidRPr="00A955AF">
              <w:rPr>
                <w:rFonts w:cs="Arial"/>
                <w:color w:val="auto"/>
                <w:sz w:val="24"/>
                <w:szCs w:val="24"/>
              </w:rPr>
              <w:t>) na</w:t>
            </w:r>
            <w:r w:rsidRPr="00A955AF" w:rsidR="00473535">
              <w:rPr>
                <w:rFonts w:cs="Arial"/>
                <w:color w:val="auto"/>
                <w:sz w:val="24"/>
                <w:szCs w:val="24"/>
              </w:rPr>
              <w:t> </w:t>
            </w:r>
            <w:r w:rsidRPr="00A955AF">
              <w:rPr>
                <w:rFonts w:cs="Arial"/>
                <w:color w:val="auto"/>
                <w:sz w:val="24"/>
                <w:szCs w:val="24"/>
              </w:rPr>
              <w:t>1</w:t>
            </w:r>
            <w:r w:rsidRPr="00A955AF" w:rsidR="00473535">
              <w:rPr>
                <w:rFonts w:cs="Arial"/>
                <w:color w:val="auto"/>
                <w:sz w:val="24"/>
                <w:szCs w:val="24"/>
              </w:rPr>
              <w:t> </w:t>
            </w:r>
            <w:r w:rsidRPr="00A955AF">
              <w:rPr>
                <w:rFonts w:cs="Arial"/>
                <w:color w:val="auto"/>
                <w:sz w:val="24"/>
                <w:szCs w:val="24"/>
              </w:rPr>
              <w:t xml:space="preserve">000 000 obyvatel </w:t>
            </w:r>
            <w:r w:rsidR="004D1606">
              <w:rPr>
                <w:rFonts w:cs="Arial"/>
                <w:color w:val="auto"/>
                <w:sz w:val="24"/>
                <w:szCs w:val="24"/>
              </w:rPr>
              <w:t>na</w:t>
            </w:r>
            <w:r w:rsidRPr="00A955AF" w:rsidR="004D1606">
              <w:rPr>
                <w:rFonts w:cs="Arial"/>
                <w:color w:val="auto"/>
                <w:sz w:val="24"/>
                <w:szCs w:val="24"/>
              </w:rPr>
              <w:t xml:space="preserve"> </w:t>
            </w:r>
            <w:r w:rsidRPr="00A955AF">
              <w:rPr>
                <w:rFonts w:cs="Arial"/>
                <w:color w:val="auto"/>
                <w:sz w:val="24"/>
                <w:szCs w:val="24"/>
              </w:rPr>
              <w:t xml:space="preserve">územně samosprávný celek </w:t>
            </w:r>
          </w:p>
          <w:p w:rsidR="003E71AB" w:rsidRPr="00A955AF" w:rsidP="003E71AB" w14:paraId="37413831" w14:textId="77777777">
            <w:pPr>
              <w:tabs>
                <w:tab w:val="num" w:pos="585"/>
              </w:tabs>
              <w:overflowPunct w:val="0"/>
              <w:autoSpaceDE w:val="0"/>
              <w:autoSpaceDN w:val="0"/>
              <w:adjustRightInd w:val="0"/>
              <w:rPr>
                <w:rFonts w:cs="Arial"/>
                <w:color w:val="auto"/>
                <w:sz w:val="24"/>
              </w:rPr>
            </w:pPr>
            <w:r w:rsidRPr="00A955AF">
              <w:rPr>
                <w:rFonts w:cs="Arial"/>
                <w:color w:val="auto"/>
                <w:sz w:val="24"/>
              </w:rPr>
              <w:t>Na úrovni výsledků/výstupů:</w:t>
            </w:r>
          </w:p>
          <w:p w:rsidR="003E71AB" w:rsidRPr="00A955AF" w:rsidP="006C359E" w14:paraId="5C157E8D" w14:textId="77777777">
            <w:pPr>
              <w:pStyle w:val="ListParagraph"/>
              <w:numPr>
                <w:ilvl w:val="0"/>
                <w:numId w:val="32"/>
              </w:numPr>
              <w:overflowPunct w:val="0"/>
              <w:spacing w:before="0"/>
              <w:contextualSpacing/>
              <w:rPr>
                <w:rFonts w:cs="Arial"/>
                <w:color w:val="auto"/>
                <w:sz w:val="24"/>
                <w:szCs w:val="24"/>
              </w:rPr>
            </w:pPr>
            <w:r w:rsidRPr="00A955AF">
              <w:rPr>
                <w:rFonts w:cs="Arial"/>
                <w:color w:val="auto"/>
                <w:sz w:val="24"/>
                <w:szCs w:val="24"/>
              </w:rPr>
              <w:t xml:space="preserve">Počet absolventů specializačního vzdělávání (počet atestovaných) za rok   </w:t>
            </w:r>
          </w:p>
          <w:p w:rsidR="00887597" w:rsidRPr="00A955AF" w:rsidP="006C359E" w14:paraId="2E027AD3" w14:textId="3DFF8A74">
            <w:pPr>
              <w:pStyle w:val="ListParagraph"/>
              <w:numPr>
                <w:ilvl w:val="0"/>
                <w:numId w:val="32"/>
              </w:numPr>
              <w:overflowPunct w:val="0"/>
              <w:spacing w:before="0"/>
              <w:contextualSpacing/>
              <w:rPr>
                <w:rFonts w:cs="Arial"/>
                <w:color w:val="auto"/>
                <w:sz w:val="24"/>
                <w:szCs w:val="24"/>
              </w:rPr>
            </w:pPr>
            <w:r w:rsidRPr="00A955AF">
              <w:rPr>
                <w:rFonts w:cs="Arial"/>
                <w:color w:val="auto"/>
                <w:sz w:val="24"/>
                <w:szCs w:val="24"/>
              </w:rPr>
              <w:t>Saldo odchodu a příchodu různých skupin pracovníků do</w:t>
            </w:r>
            <w:r w:rsidRPr="00A955AF" w:rsidR="00473535">
              <w:rPr>
                <w:rFonts w:cs="Arial"/>
                <w:color w:val="auto"/>
                <w:sz w:val="24"/>
                <w:szCs w:val="24"/>
              </w:rPr>
              <w:t> </w:t>
            </w:r>
            <w:r w:rsidRPr="00A955AF">
              <w:rPr>
                <w:rFonts w:cs="Arial"/>
                <w:color w:val="auto"/>
                <w:sz w:val="24"/>
                <w:szCs w:val="24"/>
              </w:rPr>
              <w:t>zdravotnictví.</w:t>
            </w:r>
            <w:r w:rsidRPr="00A955AF" w:rsidR="009F13CC">
              <w:rPr>
                <w:rFonts w:cs="Arial"/>
                <w:color w:val="auto"/>
                <w:sz w:val="24"/>
                <w:szCs w:val="24"/>
              </w:rPr>
              <w:t xml:space="preserve"> </w:t>
            </w:r>
            <w:r w:rsidRPr="00A955AF" w:rsidR="003E71AB">
              <w:rPr>
                <w:rFonts w:cs="Arial"/>
                <w:color w:val="auto"/>
                <w:sz w:val="24"/>
                <w:szCs w:val="24"/>
              </w:rPr>
              <w:t>Počet vytvořených klinických postupů, kompetencí a</w:t>
            </w:r>
            <w:r w:rsidRPr="00A955AF" w:rsidR="00EA3FFC">
              <w:rPr>
                <w:rFonts w:cs="Arial"/>
                <w:color w:val="auto"/>
                <w:sz w:val="24"/>
                <w:szCs w:val="24"/>
              </w:rPr>
              <w:t> </w:t>
            </w:r>
            <w:r w:rsidRPr="00A955AF" w:rsidR="003E71AB">
              <w:rPr>
                <w:rFonts w:cs="Arial"/>
                <w:color w:val="auto"/>
                <w:sz w:val="24"/>
                <w:szCs w:val="24"/>
              </w:rPr>
              <w:t>vzdělávacích plánů přizpůsobených aktuálním podmínkám a rozvoji oboru</w:t>
            </w:r>
          </w:p>
          <w:p w:rsidR="001D1C59" w:rsidRPr="00A955AF" w:rsidP="006C359E" w14:paraId="302EADCC" w14:textId="45984455">
            <w:pPr>
              <w:pStyle w:val="ListParagraph"/>
              <w:numPr>
                <w:ilvl w:val="0"/>
                <w:numId w:val="32"/>
              </w:numPr>
              <w:overflowPunct w:val="0"/>
              <w:spacing w:before="0"/>
              <w:contextualSpacing/>
              <w:rPr>
                <w:rFonts w:cs="Arial"/>
                <w:color w:val="auto"/>
                <w:sz w:val="24"/>
                <w:szCs w:val="24"/>
              </w:rPr>
            </w:pPr>
            <w:r w:rsidRPr="00A955AF">
              <w:rPr>
                <w:rFonts w:cs="Arial"/>
                <w:color w:val="auto"/>
                <w:sz w:val="24"/>
                <w:szCs w:val="24"/>
              </w:rPr>
              <w:t>P</w:t>
            </w:r>
            <w:r w:rsidRPr="00A955AF" w:rsidR="00FE7224">
              <w:rPr>
                <w:rFonts w:cs="Arial"/>
                <w:color w:val="auto"/>
                <w:sz w:val="24"/>
                <w:szCs w:val="24"/>
              </w:rPr>
              <w:t>očet absolventů lékařských fakult a zdravotnických středních škol, kteří směřují po absolutoriu do praxe v</w:t>
            </w:r>
            <w:r w:rsidR="00FC4F1F">
              <w:rPr>
                <w:rFonts w:cs="Arial"/>
                <w:color w:val="auto"/>
                <w:sz w:val="24"/>
                <w:szCs w:val="24"/>
              </w:rPr>
              <w:t> </w:t>
            </w:r>
            <w:r w:rsidRPr="00A955AF" w:rsidR="00FE7224">
              <w:rPr>
                <w:rFonts w:cs="Arial"/>
                <w:color w:val="auto"/>
                <w:sz w:val="24"/>
                <w:szCs w:val="24"/>
              </w:rPr>
              <w:t>ČR</w:t>
            </w:r>
          </w:p>
        </w:tc>
      </w:tr>
      <w:tr w14:paraId="6B24A119"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44BA23AE" w14:textId="77777777">
            <w:pPr>
              <w:spacing w:line="276" w:lineRule="auto"/>
              <w:rPr>
                <w:rFonts w:eastAsiaTheme="minorHAnsi" w:cs="Arial"/>
                <w:b/>
                <w:sz w:val="24"/>
              </w:rPr>
            </w:pPr>
            <w:r w:rsidRPr="00A955AF">
              <w:rPr>
                <w:rFonts w:cs="Arial"/>
                <w:b/>
                <w:sz w:val="24"/>
              </w:rPr>
              <w:t>Výchozí stav</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FA01E2" w:rsidRPr="00A955AF" w:rsidP="00FA01E2" w14:paraId="33F7A267" w14:textId="62EE9444">
            <w:pPr>
              <w:rPr>
                <w:color w:val="222222"/>
                <w:sz w:val="24"/>
                <w:szCs w:val="22"/>
              </w:rPr>
            </w:pPr>
            <w:r w:rsidRPr="00A955AF">
              <w:rPr>
                <w:color w:val="222222"/>
                <w:sz w:val="24"/>
                <w:szCs w:val="22"/>
              </w:rPr>
              <w:t>Personální zajištění zdravotních služeb je jedním ze slabých míst veřejného zdravotního systému. Vyznačuje se především nedostatečnou kapacitou praktických lékařů</w:t>
            </w:r>
            <w:r w:rsidR="00656642">
              <w:rPr>
                <w:color w:val="222222"/>
                <w:sz w:val="24"/>
                <w:szCs w:val="22"/>
              </w:rPr>
              <w:t xml:space="preserve"> (včetně praktických lékařů pro děti a dorost)</w:t>
            </w:r>
            <w:r w:rsidRPr="00A955AF">
              <w:rPr>
                <w:color w:val="222222"/>
                <w:sz w:val="24"/>
                <w:szCs w:val="22"/>
              </w:rPr>
              <w:t xml:space="preserve"> a značně omezenou dostupností primární a stomatologické péče zejména v odlehlých oblastech země, což nadále přispívá k regionálním rozdílům ve kvalitě života obyvatel.</w:t>
            </w:r>
          </w:p>
          <w:p w:rsidR="00FA01E2" w:rsidRPr="00A955AF" w:rsidP="00FA01E2" w14:paraId="3E1E1B3D" w14:textId="35644007">
            <w:pPr>
              <w:rPr>
                <w:color w:val="222222"/>
                <w:sz w:val="24"/>
                <w:szCs w:val="22"/>
              </w:rPr>
            </w:pPr>
            <w:r w:rsidRPr="00A955AF">
              <w:rPr>
                <w:color w:val="222222"/>
                <w:sz w:val="24"/>
                <w:szCs w:val="22"/>
              </w:rPr>
              <w:t xml:space="preserve">V ČR je dlouhodobě vysoce nevyrovnaný podíl počtu ambulantních specialistů a praktických lékařů. Počty ambulancí specialistů jsou </w:t>
            </w:r>
            <w:r w:rsidRPr="00A955AF" w:rsidR="00473535">
              <w:rPr>
                <w:color w:val="222222"/>
                <w:sz w:val="24"/>
                <w:szCs w:val="22"/>
              </w:rPr>
              <w:t>až </w:t>
            </w:r>
            <w:r w:rsidRPr="00A955AF">
              <w:rPr>
                <w:color w:val="222222"/>
                <w:sz w:val="24"/>
                <w:szCs w:val="22"/>
              </w:rPr>
              <w:t>2,5</w:t>
            </w:r>
            <w:r w:rsidR="004D1606">
              <w:rPr>
                <w:rFonts w:cstheme="minorHAnsi"/>
                <w:color w:val="222222"/>
                <w:sz w:val="24"/>
                <w:szCs w:val="22"/>
              </w:rPr>
              <w:t>×</w:t>
            </w:r>
            <w:r w:rsidRPr="00A955AF">
              <w:rPr>
                <w:color w:val="222222"/>
                <w:sz w:val="24"/>
                <w:szCs w:val="22"/>
              </w:rPr>
              <w:t xml:space="preserve"> četnější (v relaci k počtu praktických lékařů)</w:t>
            </w:r>
            <w:r w:rsidR="007C7E89">
              <w:rPr>
                <w:color w:val="222222"/>
                <w:sz w:val="24"/>
                <w:szCs w:val="22"/>
              </w:rPr>
              <w:t>,</w:t>
            </w:r>
            <w:r w:rsidRPr="00A955AF">
              <w:rPr>
                <w:color w:val="222222"/>
                <w:sz w:val="24"/>
                <w:szCs w:val="22"/>
              </w:rPr>
              <w:t xml:space="preserve"> než je tomu </w:t>
            </w:r>
            <w:r w:rsidRPr="00A955AF" w:rsidR="00473535">
              <w:rPr>
                <w:color w:val="222222"/>
                <w:sz w:val="24"/>
                <w:szCs w:val="22"/>
              </w:rPr>
              <w:t>ve </w:t>
            </w:r>
            <w:r w:rsidRPr="00A955AF">
              <w:rPr>
                <w:color w:val="222222"/>
                <w:sz w:val="24"/>
                <w:szCs w:val="22"/>
              </w:rPr>
              <w:t>vyspělých zemích OECD. Rozdíly v</w:t>
            </w:r>
            <w:r w:rsidR="00832E7E">
              <w:rPr>
                <w:color w:val="222222"/>
                <w:sz w:val="24"/>
                <w:szCs w:val="22"/>
              </w:rPr>
              <w:t> </w:t>
            </w:r>
            <w:r w:rsidRPr="00A955AF">
              <w:rPr>
                <w:color w:val="222222"/>
                <w:sz w:val="24"/>
                <w:szCs w:val="22"/>
              </w:rPr>
              <w:t xml:space="preserve">dostupné kapacitě ambulantních specialistů vs. praktických lékařů se významně liší mezi regiony ČR – velmi vysoký podíl ambulantních specialistů je patrný ve velkých městech, zejména pak v Praze. U praktických lékařů je nadto velkým problémem jejich demografické stárnutí, které zvyšuje riziko uzavírání ordinací z důvodu odchodu </w:t>
            </w:r>
            <w:r w:rsidRPr="00A955AF" w:rsidR="00473535">
              <w:rPr>
                <w:color w:val="222222"/>
                <w:sz w:val="24"/>
                <w:szCs w:val="22"/>
              </w:rPr>
              <w:t>do </w:t>
            </w:r>
            <w:r w:rsidRPr="00A955AF">
              <w:rPr>
                <w:color w:val="222222"/>
                <w:sz w:val="24"/>
                <w:szCs w:val="22"/>
              </w:rPr>
              <w:t xml:space="preserve">důchodu. </w:t>
            </w:r>
          </w:p>
          <w:p w:rsidR="00FA01E2" w:rsidRPr="00A955AF" w:rsidP="00FA01E2" w14:paraId="2407DA7D" w14:textId="773FD8B7">
            <w:pPr>
              <w:rPr>
                <w:color w:val="222222"/>
                <w:sz w:val="24"/>
                <w:szCs w:val="22"/>
              </w:rPr>
            </w:pPr>
            <w:r w:rsidRPr="00A955AF">
              <w:rPr>
                <w:color w:val="222222"/>
                <w:sz w:val="24"/>
                <w:szCs w:val="22"/>
              </w:rPr>
              <w:t>Stejným problémem nedostatečné kapacity v určitých oblastech trpí i</w:t>
            </w:r>
            <w:r w:rsidR="00C16542">
              <w:rPr>
                <w:color w:val="222222"/>
                <w:sz w:val="24"/>
                <w:szCs w:val="22"/>
              </w:rPr>
              <w:t> </w:t>
            </w:r>
            <w:r w:rsidRPr="00A955AF">
              <w:rPr>
                <w:color w:val="222222"/>
                <w:sz w:val="24"/>
                <w:szCs w:val="22"/>
              </w:rPr>
              <w:t xml:space="preserve">stomatologická péče, která je charakterizována nerovnoměrným geografickým rozložením stomatologů. Velké aglomerace vykazují více než dostatek stomatologů, zatímco </w:t>
            </w:r>
            <w:r w:rsidRPr="00A955AF" w:rsidR="00473535">
              <w:rPr>
                <w:color w:val="222222"/>
                <w:sz w:val="24"/>
                <w:szCs w:val="22"/>
              </w:rPr>
              <w:t>v </w:t>
            </w:r>
            <w:r w:rsidRPr="00A955AF">
              <w:rPr>
                <w:color w:val="222222"/>
                <w:sz w:val="24"/>
                <w:szCs w:val="22"/>
              </w:rPr>
              <w:t>okrajových regionech není stomatologická péče dostatečně zabezpečena, na což upozorňují regionální samosprávy i sami pojištěnci, kteří mají problém nalézt „svého zubaře“.</w:t>
            </w:r>
          </w:p>
          <w:p w:rsidR="00FA01E2" w:rsidRPr="00A955AF" w:rsidP="00FA01E2" w14:paraId="5C55B364" w14:textId="77777777">
            <w:pPr>
              <w:rPr>
                <w:color w:val="222222"/>
                <w:sz w:val="24"/>
              </w:rPr>
            </w:pPr>
            <w:r w:rsidRPr="00A955AF">
              <w:rPr>
                <w:color w:val="222222"/>
                <w:sz w:val="24"/>
                <w:szCs w:val="22"/>
              </w:rPr>
              <w:t>Dalším personálně kapacitním problémem českého zdravotnictví je nedostatek všeobecných sester. Nejvíce rizikovým trendem je pokles úvazků všeobecných sester v akutní péči. Odchodem všeobecných sester trpí směnné provozy nemocnic, akutní lůžková péče a obecně lze konstatovat nedostatek v</w:t>
            </w:r>
            <w:r w:rsidRPr="00A955AF">
              <w:rPr>
                <w:color w:val="222222"/>
                <w:sz w:val="24"/>
              </w:rPr>
              <w:t>šeobecných sester v nemocniční péči.</w:t>
            </w:r>
          </w:p>
          <w:p w:rsidR="00887597" w:rsidRPr="00A955AF" w:rsidP="00FA01E2" w14:paraId="5ECFF631" w14:textId="76C079C6">
            <w:pPr>
              <w:spacing w:line="276" w:lineRule="auto"/>
              <w:rPr>
                <w:rFonts w:eastAsiaTheme="minorHAnsi"/>
                <w:color w:val="auto"/>
                <w:sz w:val="24"/>
              </w:rPr>
            </w:pPr>
            <w:r w:rsidRPr="00A955AF">
              <w:rPr>
                <w:color w:val="222222"/>
                <w:sz w:val="24"/>
              </w:rPr>
              <w:t>Oblast zdravotnictví je vysoce náročná na odbornou lidskou práci. Proto se personální nestabilita resortu zdravotnictví může stát jedním z limitujících faktorů veřejné všeobecně dostupné zdravotní péče.</w:t>
            </w:r>
            <w:r w:rsidR="00832E7E">
              <w:rPr>
                <w:color w:val="222222"/>
                <w:sz w:val="24"/>
              </w:rPr>
              <w:t xml:space="preserve"> </w:t>
            </w:r>
          </w:p>
        </w:tc>
      </w:tr>
      <w:tr w14:paraId="538E0E69"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77451A1D" w14:textId="77777777">
            <w:pPr>
              <w:spacing w:line="276" w:lineRule="auto"/>
              <w:rPr>
                <w:rFonts w:eastAsiaTheme="minorHAnsi" w:cs="Arial"/>
                <w:b/>
                <w:sz w:val="24"/>
              </w:rPr>
            </w:pPr>
            <w:r w:rsidRPr="00A955AF">
              <w:rPr>
                <w:rFonts w:cs="Arial"/>
                <w:b/>
                <w:sz w:val="24"/>
              </w:rPr>
              <w:t>Cílový stav</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416119" w:rsidRPr="00A955AF" w:rsidP="00416119" w14:paraId="3107C93D" w14:textId="626BB6DB">
            <w:pPr>
              <w:spacing w:line="276" w:lineRule="auto"/>
              <w:rPr>
                <w:color w:val="222222"/>
                <w:sz w:val="24"/>
              </w:rPr>
            </w:pPr>
            <w:bookmarkStart w:id="548" w:name="_Hlk40857053"/>
            <w:r w:rsidRPr="00A955AF">
              <w:rPr>
                <w:color w:val="222222"/>
                <w:sz w:val="24"/>
              </w:rPr>
              <w:t>Cílem personální stabilizace resortu zdravotnictví je zabezpečení dostatečných kapacit veškerého personálu, jak lékařského, tak i v ostatních nelékařských zdravotnických profesích. Nejde pouze o</w:t>
            </w:r>
            <w:r w:rsidR="00C16542">
              <w:rPr>
                <w:color w:val="222222"/>
                <w:sz w:val="24"/>
              </w:rPr>
              <w:t> </w:t>
            </w:r>
            <w:r w:rsidRPr="00A955AF">
              <w:rPr>
                <w:color w:val="222222"/>
                <w:sz w:val="24"/>
              </w:rPr>
              <w:t xml:space="preserve">zabezpečení odpovídajícího početního stavu, ale také </w:t>
            </w:r>
            <w:r w:rsidRPr="00A955AF" w:rsidR="00473535">
              <w:rPr>
                <w:color w:val="222222"/>
                <w:sz w:val="24"/>
              </w:rPr>
              <w:t>o </w:t>
            </w:r>
            <w:r w:rsidRPr="00A955AF">
              <w:rPr>
                <w:color w:val="222222"/>
                <w:sz w:val="24"/>
              </w:rPr>
              <w:t>jeho strukturu, rozložení v profesích i celoplošné pokrytí z hlediska regionů. K tomu patří i dlouhodobě udržitelný rozvoj personálních kapacit českého zdravotnictví.</w:t>
            </w:r>
          </w:p>
          <w:p w:rsidR="00416119" w:rsidRPr="00A955AF" w:rsidP="00416119" w14:paraId="12C008FF" w14:textId="3CAC2C6B">
            <w:pPr>
              <w:spacing w:line="276" w:lineRule="auto"/>
              <w:rPr>
                <w:color w:val="222222"/>
                <w:sz w:val="24"/>
              </w:rPr>
            </w:pPr>
            <w:r w:rsidRPr="00A955AF">
              <w:rPr>
                <w:color w:val="222222"/>
                <w:sz w:val="24"/>
              </w:rPr>
              <w:t xml:space="preserve">Výsledkem aktivit uskutečněných v tomto specifickém cíli je nastavení změn v personálním řízení a koordinaci zdravotní péče spočívající ve vytvoření a implementaci dlouhodobé strategie stabilizace a rozvoje personálních zdrojů ve zdravotnictví. To znamená z hlediska snižování regionálních rozdílů nastavení opatření, která povedou ke snížení rozdílů v této oblasti (podpora motivačních aktivit lékařů a dalšího personálu pro výkon praxe v odlehlých </w:t>
            </w:r>
            <w:r w:rsidRPr="00A955AF" w:rsidR="009F13CC">
              <w:rPr>
                <w:color w:val="222222"/>
                <w:sz w:val="24"/>
              </w:rPr>
              <w:t>oblastech</w:t>
            </w:r>
            <w:r w:rsidRPr="00A955AF">
              <w:rPr>
                <w:color w:val="222222"/>
                <w:sz w:val="24"/>
              </w:rPr>
              <w:t xml:space="preserve"> apod.). Zcela zásadní je v tomto ohledu také nastavení systému vzdělávání a následného odměňování, které zabezpečí udržení zdravotní péče.</w:t>
            </w:r>
          </w:p>
          <w:p w:rsidR="00416119" w:rsidRPr="00A955AF" w:rsidP="00416119" w14:paraId="6C25DE53" w14:textId="1E1C62E2">
            <w:pPr>
              <w:spacing w:line="276" w:lineRule="auto"/>
              <w:rPr>
                <w:color w:val="222222"/>
                <w:sz w:val="24"/>
              </w:rPr>
            </w:pPr>
            <w:r w:rsidRPr="00A955AF">
              <w:rPr>
                <w:color w:val="222222"/>
                <w:sz w:val="24"/>
              </w:rPr>
              <w:t xml:space="preserve">Z hlediska odměňování je cílovým stavem model odměňování (růstu platů a mezd) se správně nastavenými motivačními složkami, </w:t>
            </w:r>
            <w:r w:rsidRPr="00A955AF" w:rsidR="00096CA1">
              <w:rPr>
                <w:color w:val="222222"/>
                <w:sz w:val="24"/>
              </w:rPr>
              <w:t>a to </w:t>
            </w:r>
            <w:r w:rsidRPr="00A955AF">
              <w:rPr>
                <w:color w:val="222222"/>
                <w:sz w:val="24"/>
              </w:rPr>
              <w:t>i</w:t>
            </w:r>
            <w:r w:rsidRPr="00A955AF" w:rsidR="00DA5575">
              <w:rPr>
                <w:color w:val="222222"/>
                <w:sz w:val="24"/>
              </w:rPr>
              <w:t> </w:t>
            </w:r>
            <w:r w:rsidRPr="00A955AF">
              <w:rPr>
                <w:color w:val="222222"/>
                <w:sz w:val="24"/>
              </w:rPr>
              <w:t>s</w:t>
            </w:r>
            <w:r w:rsidRPr="00832E7E" w:rsidR="00DA5575">
              <w:rPr>
                <w:color w:val="222222"/>
                <w:sz w:val="24"/>
              </w:rPr>
              <w:t> </w:t>
            </w:r>
            <w:r w:rsidRPr="00A955AF">
              <w:rPr>
                <w:color w:val="222222"/>
                <w:sz w:val="24"/>
              </w:rPr>
              <w:t>ohledem na optimalizaci úhradových mechanismů (viz také specifický cíl 2.4).</w:t>
            </w:r>
          </w:p>
          <w:p w:rsidR="00416119" w:rsidRPr="00832E7E" w:rsidP="00832E7E" w14:paraId="03CEFF22" w14:textId="662B6B6B">
            <w:pPr>
              <w:spacing w:line="276" w:lineRule="auto"/>
              <w:rPr>
                <w:color w:val="222222"/>
                <w:sz w:val="24"/>
              </w:rPr>
            </w:pPr>
            <w:r w:rsidRPr="00832E7E">
              <w:rPr>
                <w:color w:val="222222"/>
                <w:sz w:val="24"/>
              </w:rPr>
              <w:t>V oblasti vzdělávání zdravotnických pracovníků je cílem nastavení dlouhodobého systému vzdělávání a posílení systémových a vzdělávacích nástrojů pro udržitelný rozvoj zdravotní péče při</w:t>
            </w:r>
            <w:r w:rsidRPr="00832E7E" w:rsidR="00832E7E">
              <w:rPr>
                <w:color w:val="222222"/>
                <w:sz w:val="24"/>
              </w:rPr>
              <w:t> </w:t>
            </w:r>
            <w:r w:rsidRPr="00832E7E">
              <w:rPr>
                <w:color w:val="222222"/>
                <w:sz w:val="24"/>
              </w:rPr>
              <w:t>zohlednění očekáváného rozvoje civilizačních chorob a</w:t>
            </w:r>
            <w:r w:rsidRPr="00832E7E" w:rsidR="00832E7E">
              <w:rPr>
                <w:color w:val="222222"/>
                <w:sz w:val="24"/>
              </w:rPr>
              <w:t> </w:t>
            </w:r>
            <w:r w:rsidRPr="00832E7E">
              <w:rPr>
                <w:color w:val="222222"/>
                <w:sz w:val="24"/>
              </w:rPr>
              <w:t xml:space="preserve">stárnutí populace. </w:t>
            </w:r>
          </w:p>
          <w:p w:rsidR="00416119" w:rsidRPr="00A955AF" w:rsidP="00416119" w14:paraId="371E5AE6" w14:textId="2EF8A70B">
            <w:pPr>
              <w:spacing w:line="276" w:lineRule="auto"/>
              <w:rPr>
                <w:color w:val="222222"/>
                <w:sz w:val="24"/>
              </w:rPr>
            </w:pPr>
            <w:r w:rsidRPr="00A955AF">
              <w:rPr>
                <w:color w:val="222222"/>
                <w:sz w:val="24"/>
              </w:rPr>
              <w:t>K personální stabilizaci resortu zdravotnictví přispěje</w:t>
            </w:r>
            <w:r w:rsidR="00941CC1">
              <w:rPr>
                <w:color w:val="222222"/>
                <w:sz w:val="24"/>
              </w:rPr>
              <w:t xml:space="preserve"> i sladění osobního a pracovního života pracovníků ve zdravotnictví </w:t>
            </w:r>
            <w:r w:rsidR="00C95A26">
              <w:rPr>
                <w:color w:val="222222"/>
                <w:sz w:val="24"/>
              </w:rPr>
              <w:t xml:space="preserve">nebo </w:t>
            </w:r>
            <w:r w:rsidRPr="00A955AF" w:rsidR="00C95A26">
              <w:rPr>
                <w:color w:val="222222"/>
                <w:sz w:val="24"/>
              </w:rPr>
              <w:t>zvýšení</w:t>
            </w:r>
            <w:r w:rsidRPr="00A955AF">
              <w:rPr>
                <w:color w:val="222222"/>
                <w:sz w:val="24"/>
              </w:rPr>
              <w:t xml:space="preserve"> prestiže zdravotnických profesí</w:t>
            </w:r>
            <w:r w:rsidRPr="00A955AF" w:rsidR="00ED1C45">
              <w:rPr>
                <w:color w:val="222222"/>
                <w:sz w:val="24"/>
              </w:rPr>
              <w:t>,</w:t>
            </w:r>
            <w:r w:rsidRPr="00A955AF">
              <w:rPr>
                <w:color w:val="222222"/>
                <w:sz w:val="24"/>
              </w:rPr>
              <w:t xml:space="preserve"> a to včetně posilování kompetencí všeobecných sester. Toto by také společně se</w:t>
            </w:r>
            <w:r w:rsidR="00832E7E">
              <w:rPr>
                <w:color w:val="222222"/>
                <w:sz w:val="24"/>
              </w:rPr>
              <w:t> </w:t>
            </w:r>
            <w:r w:rsidRPr="00A955AF">
              <w:rPr>
                <w:color w:val="222222"/>
                <w:sz w:val="24"/>
              </w:rPr>
              <w:t xml:space="preserve">systémem odměňování </w:t>
            </w:r>
            <w:r w:rsidRPr="00A955AF" w:rsidR="00092D99">
              <w:rPr>
                <w:color w:val="222222"/>
                <w:sz w:val="24"/>
              </w:rPr>
              <w:t xml:space="preserve">a dalších motivačních faktorů </w:t>
            </w:r>
            <w:r w:rsidRPr="00A955AF">
              <w:rPr>
                <w:color w:val="222222"/>
                <w:sz w:val="24"/>
              </w:rPr>
              <w:t xml:space="preserve">mělo vést </w:t>
            </w:r>
            <w:r w:rsidRPr="00A955AF" w:rsidR="00473535">
              <w:rPr>
                <w:color w:val="222222"/>
                <w:sz w:val="24"/>
              </w:rPr>
              <w:t>ke </w:t>
            </w:r>
            <w:r w:rsidRPr="00A955AF">
              <w:rPr>
                <w:color w:val="222222"/>
                <w:sz w:val="24"/>
              </w:rPr>
              <w:t>zvýšenému zájmu o</w:t>
            </w:r>
            <w:r w:rsidR="00C16542">
              <w:rPr>
                <w:color w:val="222222"/>
                <w:sz w:val="24"/>
              </w:rPr>
              <w:t> </w:t>
            </w:r>
            <w:r w:rsidRPr="00A955AF">
              <w:rPr>
                <w:color w:val="222222"/>
                <w:sz w:val="24"/>
              </w:rPr>
              <w:t>zdravotnická povolání. Realizace tohoto specifického cíle povede k</w:t>
            </w:r>
            <w:r w:rsidR="00C16542">
              <w:rPr>
                <w:color w:val="222222"/>
                <w:sz w:val="24"/>
              </w:rPr>
              <w:t> </w:t>
            </w:r>
            <w:r w:rsidRPr="00A955AF">
              <w:rPr>
                <w:color w:val="222222"/>
                <w:sz w:val="24"/>
              </w:rPr>
              <w:t xml:space="preserve">větší podpoře zdravotnických profesí </w:t>
            </w:r>
            <w:r w:rsidRPr="00A955AF" w:rsidR="00473535">
              <w:rPr>
                <w:color w:val="222222"/>
                <w:sz w:val="24"/>
              </w:rPr>
              <w:t>z </w:t>
            </w:r>
            <w:r w:rsidRPr="00A955AF">
              <w:rPr>
                <w:color w:val="222222"/>
                <w:sz w:val="24"/>
              </w:rPr>
              <w:t xml:space="preserve">hlediska starostlivosti o jejich dlouhodobý profesní růst, </w:t>
            </w:r>
            <w:r w:rsidRPr="00A955AF" w:rsidR="00473535">
              <w:rPr>
                <w:color w:val="222222"/>
                <w:sz w:val="24"/>
              </w:rPr>
              <w:t>ale i </w:t>
            </w:r>
            <w:r w:rsidRPr="00A955AF">
              <w:rPr>
                <w:color w:val="222222"/>
                <w:sz w:val="24"/>
              </w:rPr>
              <w:t>nastavení prvků prevence negativní</w:t>
            </w:r>
            <w:r w:rsidR="004D1606">
              <w:rPr>
                <w:color w:val="222222"/>
                <w:sz w:val="24"/>
              </w:rPr>
              <w:t>ch</w:t>
            </w:r>
            <w:r w:rsidRPr="00A955AF">
              <w:rPr>
                <w:color w:val="222222"/>
                <w:sz w:val="24"/>
              </w:rPr>
              <w:t xml:space="preserve"> dopadů psychické a</w:t>
            </w:r>
            <w:r w:rsidR="00832E7E">
              <w:rPr>
                <w:color w:val="222222"/>
                <w:sz w:val="24"/>
              </w:rPr>
              <w:t> </w:t>
            </w:r>
            <w:r w:rsidRPr="00A955AF">
              <w:rPr>
                <w:color w:val="222222"/>
                <w:sz w:val="24"/>
              </w:rPr>
              <w:t>fyzické zátěže pro</w:t>
            </w:r>
            <w:r w:rsidRPr="00A955AF" w:rsidR="00DA5575">
              <w:rPr>
                <w:color w:val="222222"/>
                <w:sz w:val="24"/>
              </w:rPr>
              <w:t> </w:t>
            </w:r>
            <w:r w:rsidRPr="00A955AF">
              <w:rPr>
                <w:color w:val="222222"/>
                <w:sz w:val="24"/>
              </w:rPr>
              <w:t>pracovníky ve zdravotnictví.</w:t>
            </w:r>
          </w:p>
          <w:p w:rsidR="00887597" w:rsidRPr="00A955AF" w:rsidP="00416119" w14:paraId="2291EF17" w14:textId="1B2AA7EA">
            <w:pPr>
              <w:spacing w:line="276" w:lineRule="auto"/>
              <w:rPr>
                <w:rFonts w:eastAsiaTheme="minorHAnsi"/>
                <w:color w:val="222222"/>
                <w:sz w:val="24"/>
              </w:rPr>
            </w:pPr>
            <w:r w:rsidRPr="00A955AF">
              <w:rPr>
                <w:color w:val="222222"/>
                <w:sz w:val="24"/>
              </w:rPr>
              <w:t xml:space="preserve">Cílovým stavem jsou dostatečné personální kapacity lékařů a nelékařských zdravotnických profesí jako podmínka dostupnosti </w:t>
            </w:r>
            <w:r w:rsidRPr="00A955AF" w:rsidR="00096CA1">
              <w:rPr>
                <w:color w:val="222222"/>
                <w:sz w:val="24"/>
              </w:rPr>
              <w:t>a </w:t>
            </w:r>
            <w:r w:rsidRPr="00A955AF">
              <w:rPr>
                <w:color w:val="222222"/>
                <w:sz w:val="24"/>
              </w:rPr>
              <w:t>kvality zdravotní i zdravotně sociálních služeb.</w:t>
            </w:r>
            <w:bookmarkEnd w:id="548"/>
          </w:p>
        </w:tc>
      </w:tr>
      <w:tr w14:paraId="686C71DC" w14:textId="77777777" w:rsidTr="00AA3223">
        <w:tblPrEx>
          <w:tblW w:w="8937" w:type="dxa"/>
          <w:tblInd w:w="137" w:type="dxa"/>
          <w:tblLayout w:type="fixed"/>
          <w:tblLook w:val="04A0"/>
        </w:tblPrEx>
        <w:tc>
          <w:tcPr>
            <w:tcW w:w="2381" w:type="dxa"/>
            <w:tcBorders>
              <w:top w:val="single" w:sz="4" w:space="0" w:color="auto"/>
              <w:left w:val="single" w:sz="4" w:space="0" w:color="auto"/>
              <w:bottom w:val="single" w:sz="4" w:space="0" w:color="auto"/>
              <w:right w:val="single" w:sz="4" w:space="0" w:color="auto"/>
            </w:tcBorders>
            <w:vAlign w:val="center"/>
            <w:hideMark/>
          </w:tcPr>
          <w:p w:rsidR="00887597" w:rsidRPr="00A955AF" w14:paraId="0BCBAFCF" w14:textId="77777777">
            <w:pPr>
              <w:spacing w:line="276" w:lineRule="auto"/>
              <w:rPr>
                <w:rFonts w:eastAsiaTheme="minorHAnsi" w:cs="Arial"/>
                <w:b/>
                <w:sz w:val="24"/>
              </w:rPr>
            </w:pPr>
            <w:r w:rsidRPr="00A955AF">
              <w:rPr>
                <w:rFonts w:cs="Arial"/>
                <w:b/>
                <w:sz w:val="24"/>
              </w:rPr>
              <w:t>Zdroje financování</w:t>
            </w:r>
          </w:p>
        </w:tc>
        <w:tc>
          <w:tcPr>
            <w:tcW w:w="6556" w:type="dxa"/>
            <w:gridSpan w:val="3"/>
            <w:tcBorders>
              <w:top w:val="single" w:sz="4" w:space="0" w:color="auto"/>
              <w:left w:val="single" w:sz="4" w:space="0" w:color="auto"/>
              <w:bottom w:val="single" w:sz="4" w:space="0" w:color="auto"/>
              <w:right w:val="single" w:sz="4" w:space="0" w:color="auto"/>
            </w:tcBorders>
            <w:vAlign w:val="center"/>
            <w:hideMark/>
          </w:tcPr>
          <w:p w:rsidR="00887597" w:rsidRPr="00A955AF" w:rsidP="00F614DD" w14:paraId="2BC2BA29" w14:textId="49AECE7B">
            <w:pPr>
              <w:rPr>
                <w:rFonts w:eastAsiaTheme="minorHAnsi"/>
                <w:color w:val="222222"/>
                <w:sz w:val="24"/>
              </w:rPr>
            </w:pPr>
            <w:r>
              <w:rPr>
                <w:color w:val="222222"/>
                <w:sz w:val="24"/>
              </w:rPr>
              <w:t xml:space="preserve">státní rozpočet, </w:t>
            </w:r>
            <w:r w:rsidRPr="00A955AF">
              <w:rPr>
                <w:color w:val="222222"/>
                <w:sz w:val="24"/>
              </w:rPr>
              <w:t>fondy zdravotního pojištění</w:t>
            </w:r>
            <w:r w:rsidR="00F614DD">
              <w:rPr>
                <w:color w:val="222222"/>
                <w:sz w:val="24"/>
              </w:rPr>
              <w:t xml:space="preserve">, </w:t>
            </w:r>
            <w:r w:rsidRPr="00A955AF" w:rsidR="00AE2BBA">
              <w:rPr>
                <w:color w:val="222222"/>
                <w:sz w:val="24"/>
              </w:rPr>
              <w:t>fondy EU</w:t>
            </w:r>
          </w:p>
        </w:tc>
      </w:tr>
    </w:tbl>
    <w:p w:rsidR="00A458DB" w14:paraId="3C16C2C4" w14:textId="01303B13">
      <w:pPr>
        <w:spacing w:before="0" w:line="264" w:lineRule="auto"/>
        <w:jc w:val="left"/>
        <w:rPr>
          <w:rFonts w:ascii="Calibri" w:hAnsi="Calibri" w:eastAsiaTheme="majorEastAsia" w:cs="Arial"/>
          <w:b/>
          <w:color w:val="205493"/>
          <w:sz w:val="24"/>
          <w:szCs w:val="32"/>
        </w:rPr>
      </w:pPr>
      <w:bookmarkStart w:id="549" w:name="_Toc7705142"/>
      <w:bookmarkStart w:id="550" w:name="_Toc7705613"/>
    </w:p>
    <w:p w:rsidR="00A458DB" w14:paraId="3256E98C" w14:textId="77777777">
      <w:pPr>
        <w:spacing w:before="0" w:line="264" w:lineRule="auto"/>
        <w:jc w:val="left"/>
        <w:rPr>
          <w:rFonts w:ascii="Calibri" w:hAnsi="Calibri" w:eastAsiaTheme="majorEastAsia" w:cs="Arial"/>
          <w:b/>
          <w:color w:val="205493"/>
          <w:sz w:val="24"/>
          <w:szCs w:val="32"/>
        </w:rPr>
      </w:pPr>
      <w:r>
        <w:rPr>
          <w:rFonts w:ascii="Calibri" w:hAnsi="Calibri" w:eastAsiaTheme="majorEastAsia" w:cs="Arial"/>
          <w:b/>
          <w:color w:val="205493"/>
          <w:sz w:val="24"/>
          <w:szCs w:val="32"/>
        </w:rPr>
        <w:br w:type="page"/>
      </w:r>
    </w:p>
    <w:p w:rsidR="00CE7078" w14:paraId="2884940B" w14:textId="77777777">
      <w:pPr>
        <w:spacing w:before="0" w:line="264" w:lineRule="auto"/>
        <w:jc w:val="left"/>
        <w:rPr>
          <w:rFonts w:ascii="Calibri" w:hAnsi="Calibri" w:eastAsiaTheme="majorEastAsia" w:cs="Arial"/>
          <w:b/>
          <w:color w:val="205493"/>
          <w:sz w:val="24"/>
          <w:szCs w:val="32"/>
        </w:rPr>
      </w:pPr>
    </w:p>
    <w:p w:rsidR="003E6B0D" w:rsidRPr="00F614DD" w:rsidP="00F614DD" w14:paraId="7D81DBBB" w14:textId="69F98E28">
      <w:pPr>
        <w:pStyle w:val="NA2"/>
      </w:pPr>
      <w:bookmarkStart w:id="551" w:name="_Toc256000055"/>
      <w:r>
        <w:t xml:space="preserve">SC 2.3 </w:t>
      </w:r>
      <w:r w:rsidRPr="00A955AF" w:rsidR="00244EE3">
        <w:t>Digitalizace zdravotnictví</w:t>
      </w:r>
      <w:bookmarkEnd w:id="551"/>
      <w:bookmarkEnd w:id="549"/>
      <w:bookmarkEnd w:id="550"/>
    </w:p>
    <w:p w:rsidR="00890B44" w:rsidRPr="00A955AF" w:rsidP="00F05C27" w14:paraId="79D78027" w14:textId="7F7E977D">
      <w:pPr>
        <w:spacing w:after="0"/>
        <w:rPr>
          <w:rFonts w:eastAsiaTheme="minorHAnsi" w:cs="Arial"/>
          <w:sz w:val="24"/>
        </w:rPr>
      </w:pPr>
      <w:r w:rsidRPr="00A955AF">
        <w:rPr>
          <w:rFonts w:cs="Arial"/>
          <w:sz w:val="24"/>
        </w:rPr>
        <w:t>Mezi prioritní oblasti, které mají v současné době nejvyšší potenciál pro zlepšení zdraví obyvatel Č</w:t>
      </w:r>
      <w:r w:rsidRPr="00A955AF" w:rsidR="00014082">
        <w:rPr>
          <w:rFonts w:cs="Arial"/>
          <w:sz w:val="24"/>
        </w:rPr>
        <w:t>R</w:t>
      </w:r>
      <w:r w:rsidRPr="00A955AF">
        <w:rPr>
          <w:rFonts w:cs="Arial"/>
          <w:sz w:val="24"/>
        </w:rPr>
        <w:t xml:space="preserve"> a zároveň jsou klíčové pro vyrovnání se s aktuálními trendy socioekonomického rozvoje</w:t>
      </w:r>
      <w:r w:rsidR="00406E04">
        <w:rPr>
          <w:rFonts w:cs="Arial"/>
          <w:sz w:val="24"/>
        </w:rPr>
        <w:t>,</w:t>
      </w:r>
      <w:r w:rsidRPr="00A955AF">
        <w:rPr>
          <w:rFonts w:cs="Arial"/>
          <w:sz w:val="24"/>
        </w:rPr>
        <w:t xml:space="preserve"> tj. demografickými změnami a rychlým technickým a</w:t>
      </w:r>
      <w:r w:rsidRPr="00A955AF" w:rsidR="00FD3B9D">
        <w:rPr>
          <w:rFonts w:cs="Arial"/>
          <w:sz w:val="24"/>
        </w:rPr>
        <w:t> </w:t>
      </w:r>
      <w:r w:rsidRPr="00A955AF">
        <w:rPr>
          <w:rFonts w:cs="Arial"/>
          <w:sz w:val="24"/>
        </w:rPr>
        <w:t>technologickým pokrokem, patří digitalizace zdravotnictví. Digitalizace zdravotnictví bude</w:t>
      </w:r>
      <w:r w:rsidR="00290224">
        <w:rPr>
          <w:rFonts w:cs="Arial"/>
          <w:sz w:val="24"/>
        </w:rPr>
        <w:t xml:space="preserve"> mimo jiné</w:t>
      </w:r>
      <w:r w:rsidRPr="00A955AF">
        <w:rPr>
          <w:rFonts w:cs="Arial"/>
          <w:sz w:val="24"/>
        </w:rPr>
        <w:t xml:space="preserve"> sloužit k podpoře reformy zdravotních služeb a přístupu k nim, digitální technologie posílí možnosti jednotlivců pečovat o vlastní zdraví a zároveň podpoří celkovou efektivnost zdravotního systému. Účelná digitalizace napomůže přechodu na integrované, na jednotlivce zaměřené modely péče a</w:t>
      </w:r>
      <w:r w:rsidRPr="00A955AF" w:rsidR="00334F29">
        <w:rPr>
          <w:rFonts w:cs="Arial"/>
          <w:sz w:val="24"/>
        </w:rPr>
        <w:t> </w:t>
      </w:r>
      <w:r w:rsidRPr="00A955AF">
        <w:rPr>
          <w:rFonts w:cs="Arial"/>
          <w:sz w:val="24"/>
        </w:rPr>
        <w:t>usnadní přesun od léčby k prevenci. Digitální technologie a inovace usnadní dosažení strategických záměrů v oblasti veřejného zdraví. Inovativní digitální řešení napomůžou podpoře zdraví a kvality života občanů a umožní účinnější způsoby organizace a</w:t>
      </w:r>
      <w:r w:rsidRPr="00A955AF" w:rsidR="00FD3B9D">
        <w:rPr>
          <w:rFonts w:cs="Arial"/>
          <w:sz w:val="24"/>
        </w:rPr>
        <w:t> </w:t>
      </w:r>
      <w:r w:rsidRPr="00A955AF">
        <w:rPr>
          <w:rFonts w:cs="Arial"/>
          <w:sz w:val="24"/>
        </w:rPr>
        <w:t>poskytování zdravotních a sociálních služeb.</w:t>
      </w:r>
      <w:r w:rsidRPr="00A955AF" w:rsidR="003E6B0D">
        <w:rPr>
          <w:rFonts w:cs="Arial"/>
          <w:sz w:val="24"/>
        </w:rPr>
        <w:t xml:space="preserve"> </w:t>
      </w:r>
    </w:p>
    <w:p w:rsidR="00890B44" w:rsidRPr="00A955AF" w:rsidP="00471D51" w14:paraId="5B5C55AC" w14:textId="523B54E9">
      <w:pPr>
        <w:spacing w:before="60" w:after="60"/>
        <w:rPr>
          <w:rFonts w:cs="Arial"/>
          <w:sz w:val="24"/>
        </w:rPr>
      </w:pPr>
      <w:r w:rsidRPr="00A955AF">
        <w:rPr>
          <w:rFonts w:cs="Arial"/>
          <w:sz w:val="24"/>
        </w:rPr>
        <w:t>Digitální řešení v oblasti zdravotnictví a péče napomohou zvýšit kvalitu života milionů občanů a radikálně změnit způsob poskytování zdravotnických a pečovatelských služeb pacientům, pokud budou vhodně navržena a prováděna nákladově efektivním způsobem. Digitalizace může podpořit kontinuitu přeshraniční péče. Může podpořit reformu systémů zdravotní péče a jejich přechod na nové modely péče, které jsou zaměřeny na potřeby lidí a</w:t>
      </w:r>
      <w:r w:rsidRPr="00A955AF" w:rsidR="00FD3B9D">
        <w:rPr>
          <w:rFonts w:cs="Arial"/>
          <w:sz w:val="24"/>
        </w:rPr>
        <w:t> </w:t>
      </w:r>
      <w:r w:rsidRPr="00A955AF">
        <w:rPr>
          <w:rFonts w:cs="Arial"/>
          <w:sz w:val="24"/>
        </w:rPr>
        <w:t>umožňují přechod od systémů opírajících se o nemocnice k více komunitním a</w:t>
      </w:r>
      <w:r w:rsidRPr="00A955AF" w:rsidR="00FD3B9D">
        <w:rPr>
          <w:rFonts w:cs="Arial"/>
          <w:sz w:val="24"/>
        </w:rPr>
        <w:t> </w:t>
      </w:r>
      <w:r w:rsidRPr="00A955AF">
        <w:rPr>
          <w:rFonts w:cs="Arial"/>
          <w:sz w:val="24"/>
        </w:rPr>
        <w:t xml:space="preserve">integrovanějším strukturám péče. Digitální technologie by měly být vnímány jako nedílná součást zdraví a péče a měly by být zaměřeny na širší cíle zdravotních systémů. Digitální nástroje mohou využít vědecké poznatky a pomoci občanům udržovat se v dobrém zdravotním stavu, čímž pomohou zajistit, </w:t>
      </w:r>
      <w:r w:rsidRPr="00A955AF" w:rsidR="00F920A2">
        <w:rPr>
          <w:rFonts w:cs="Arial"/>
          <w:sz w:val="24"/>
        </w:rPr>
        <w:t>aby</w:t>
      </w:r>
      <w:r w:rsidR="00832E7E">
        <w:rPr>
          <w:rFonts w:cs="Arial"/>
          <w:sz w:val="24"/>
        </w:rPr>
        <w:t> </w:t>
      </w:r>
      <w:r w:rsidRPr="00A955AF" w:rsidR="00F920A2">
        <w:rPr>
          <w:rFonts w:cs="Arial"/>
          <w:sz w:val="24"/>
        </w:rPr>
        <w:t>se</w:t>
      </w:r>
      <w:r w:rsidR="00832E7E">
        <w:rPr>
          <w:rFonts w:cs="Arial"/>
          <w:sz w:val="24"/>
        </w:rPr>
        <w:t> </w:t>
      </w:r>
      <w:r w:rsidRPr="00A955AF" w:rsidR="00F920A2">
        <w:rPr>
          <w:rFonts w:cs="Arial"/>
          <w:sz w:val="24"/>
        </w:rPr>
        <w:t>nestali</w:t>
      </w:r>
      <w:r w:rsidRPr="00A955AF">
        <w:rPr>
          <w:rFonts w:cs="Arial"/>
          <w:sz w:val="24"/>
        </w:rPr>
        <w:t xml:space="preserve"> pacienty. Mají rovněž potenciál umožnit lepší využívání zdravotních údajů ve</w:t>
      </w:r>
      <w:r w:rsidR="00832E7E">
        <w:rPr>
          <w:rFonts w:cs="Arial"/>
          <w:sz w:val="24"/>
        </w:rPr>
        <w:t> </w:t>
      </w:r>
      <w:r w:rsidRPr="00A955AF">
        <w:rPr>
          <w:rFonts w:cs="Arial"/>
          <w:sz w:val="24"/>
        </w:rPr>
        <w:t xml:space="preserve">výzkumu a inovacích za účelem podpory individualizované zdravotní péče. </w:t>
      </w:r>
    </w:p>
    <w:p w:rsidR="00890B44" w:rsidRPr="00A955AF" w:rsidP="00471D51" w14:paraId="004F8AEB" w14:textId="0AF4DFD5">
      <w:pPr>
        <w:spacing w:before="60" w:after="60"/>
        <w:rPr>
          <w:rFonts w:cs="Arial"/>
          <w:sz w:val="24"/>
        </w:rPr>
      </w:pPr>
      <w:r w:rsidRPr="00A955AF">
        <w:rPr>
          <w:rFonts w:cs="Arial"/>
          <w:sz w:val="24"/>
        </w:rPr>
        <w:t>Zdravotní záznamy u poskytovatelů zdravotních služeb budou vznikat, budou uchovávány a</w:t>
      </w:r>
      <w:r w:rsidRPr="00A955AF" w:rsidR="00FD3B9D">
        <w:rPr>
          <w:rFonts w:cs="Arial"/>
          <w:sz w:val="24"/>
        </w:rPr>
        <w:t> </w:t>
      </w:r>
      <w:r w:rsidRPr="00A955AF">
        <w:rPr>
          <w:rFonts w:cs="Arial"/>
          <w:sz w:val="24"/>
        </w:rPr>
        <w:t>sdíleny elektronicky prostřednictví</w:t>
      </w:r>
      <w:r w:rsidRPr="00A955AF" w:rsidR="00E9651F">
        <w:rPr>
          <w:rFonts w:cs="Arial"/>
          <w:sz w:val="24"/>
        </w:rPr>
        <w:t>m</w:t>
      </w:r>
      <w:r w:rsidRPr="00A955AF">
        <w:rPr>
          <w:rFonts w:cs="Arial"/>
          <w:sz w:val="24"/>
        </w:rPr>
        <w:t xml:space="preserve"> robustní IT infrastruktury s vysokou úrovní kybernetické bezpečnosti</w:t>
      </w:r>
      <w:r w:rsidRPr="00A955AF" w:rsidR="00D466F5">
        <w:rPr>
          <w:rFonts w:cs="Arial"/>
          <w:sz w:val="24"/>
        </w:rPr>
        <w:t>,</w:t>
      </w:r>
      <w:r w:rsidRPr="00A955AF">
        <w:rPr>
          <w:rFonts w:cs="Arial"/>
          <w:sz w:val="24"/>
        </w:rPr>
        <w:t xml:space="preserve"> </w:t>
      </w:r>
      <w:r w:rsidRPr="00A955AF" w:rsidR="00D466F5">
        <w:rPr>
          <w:rFonts w:cs="Arial"/>
          <w:sz w:val="24"/>
        </w:rPr>
        <w:t>zavedení elektronických zdravotních záznamů a jejich výměna bude vyžadovat nejvyšší možné standardy bezpečnosti informací a ochrany osobních údajů. Údaje o pacientech mus</w:t>
      </w:r>
      <w:r w:rsidR="00406E04">
        <w:rPr>
          <w:rFonts w:cs="Arial"/>
          <w:sz w:val="24"/>
        </w:rPr>
        <w:t>ej</w:t>
      </w:r>
      <w:r w:rsidRPr="00A955AF" w:rsidR="00D466F5">
        <w:rPr>
          <w:rFonts w:cs="Arial"/>
          <w:sz w:val="24"/>
        </w:rPr>
        <w:t>í být chráněny a zabezpečeny, v neposlední řadě</w:t>
      </w:r>
      <w:r w:rsidR="00A955AF">
        <w:rPr>
          <w:rFonts w:cs="Arial"/>
          <w:sz w:val="24"/>
        </w:rPr>
        <w:t xml:space="preserve"> </w:t>
      </w:r>
      <w:r w:rsidRPr="00A955AF">
        <w:rPr>
          <w:rFonts w:cs="Arial"/>
          <w:sz w:val="24"/>
        </w:rPr>
        <w:t xml:space="preserve">s důrazem </w:t>
      </w:r>
      <w:r w:rsidRPr="00A955AF" w:rsidR="00BE5BC9">
        <w:rPr>
          <w:rFonts w:cs="Arial"/>
          <w:sz w:val="24"/>
        </w:rPr>
        <w:t>na</w:t>
      </w:r>
      <w:r w:rsidRPr="00A955AF" w:rsidR="002C7C80">
        <w:t> </w:t>
      </w:r>
      <w:r w:rsidRPr="00A955AF" w:rsidR="00D466F5">
        <w:rPr>
          <w:rFonts w:cs="Arial"/>
          <w:sz w:val="24"/>
        </w:rPr>
        <w:t>ochranu soukromí občanů, ale i</w:t>
      </w:r>
      <w:r w:rsidRPr="00A955AF" w:rsidR="00BE5BC9">
        <w:rPr>
          <w:rFonts w:cs="Arial"/>
          <w:sz w:val="24"/>
        </w:rPr>
        <w:t xml:space="preserve"> ochranu lidských práv a principy etiky</w:t>
      </w:r>
      <w:r w:rsidRPr="00A955AF">
        <w:rPr>
          <w:rFonts w:cs="Arial"/>
          <w:sz w:val="24"/>
        </w:rPr>
        <w:t>. Digitalizace se stane hybnou silou při rozvoji konceptů integrované péče. Každý občan, který se nerozhodne jinak, bude mít k dispozici sdílený osobní elektronický zdravotní záznam, digitální technologie budou všudypřítomnou součástí péče o zdraví i celého zdravotnictví.</w:t>
      </w:r>
      <w:r w:rsidRPr="009E6A27" w:rsidR="009E6A27">
        <w:t xml:space="preserve"> </w:t>
      </w:r>
      <w:r w:rsidRPr="009E6A27" w:rsidR="009E6A27">
        <w:rPr>
          <w:rFonts w:cs="Arial"/>
          <w:sz w:val="24"/>
        </w:rPr>
        <w:t>Zaváděný systém sdílení zdravotnické dokumentace bude respektovat právo občanů rozumět, komu a proč poskytují své údaje, což mimo jiné znamená, že budou k dispozici jednoduché, srozumitelné a bezpečné nástroje k vyjádření či odvolání souhlasu nebo nesouhlasu se sdílením v potřebné granularitě, v souladu s platnou legislativou.</w:t>
      </w:r>
    </w:p>
    <w:p w:rsidR="00334F29" w:rsidP="00F614DD" w14:paraId="1654C28D" w14:textId="764B4560">
      <w:pPr>
        <w:spacing w:before="60" w:after="60"/>
        <w:rPr>
          <w:rFonts w:cs="Arial"/>
          <w:sz w:val="24"/>
        </w:rPr>
      </w:pPr>
      <w:r w:rsidRPr="00A955AF">
        <w:rPr>
          <w:rFonts w:cs="Arial"/>
          <w:sz w:val="24"/>
        </w:rPr>
        <w:t xml:space="preserve">Legislativní podpora a reálná podpora standardizace v oblasti vedení a sdílení zdravotních záznamů a v oblasti mobilního elektronického zdravotnictví a telemedicíny, včetně certifikace informačních systémů a služeb digitálního zdravotnictví zásadním způsobem přispějí k rozvoji trhu s IT řešeními pro zdravotnictví. </w:t>
      </w:r>
    </w:p>
    <w:p w:rsidR="00802500" w:rsidRPr="00D16FC5" w:rsidP="00F614DD" w14:paraId="72D3142E" w14:textId="1F216C94">
      <w:pPr>
        <w:spacing w:before="60" w:after="60"/>
        <w:rPr>
          <w:rFonts w:cs="Arial"/>
          <w:sz w:val="24"/>
        </w:rPr>
      </w:pPr>
      <w:r w:rsidRPr="00D16FC5">
        <w:rPr>
          <w:rFonts w:cs="Arial"/>
          <w:sz w:val="24"/>
        </w:rPr>
        <w:t>Z pohledu krizové připravenosti zdravotnictví je digitalizace klíčovou oblastí pro krizové plánování a odezvu na krize, včetně schopnosti zvládání pandemií a kybernetických útoků na</w:t>
      </w:r>
      <w:r w:rsidR="00832E7E">
        <w:rPr>
          <w:rFonts w:cs="Arial"/>
          <w:sz w:val="24"/>
        </w:rPr>
        <w:t> </w:t>
      </w:r>
      <w:r w:rsidRPr="00D16FC5">
        <w:rPr>
          <w:rFonts w:cs="Arial"/>
          <w:sz w:val="24"/>
        </w:rPr>
        <w:t>zdravotnický systém. V těchto situacích musí být garantována možnost propojení klíčových datových zdrojů do chráněných informačních systémů státní správy, např. propojení s</w:t>
      </w:r>
      <w:r w:rsidR="00F614DD">
        <w:rPr>
          <w:rFonts w:cs="Arial"/>
          <w:sz w:val="24"/>
        </w:rPr>
        <w:t> </w:t>
      </w:r>
      <w:r w:rsidRPr="00D16FC5">
        <w:rPr>
          <w:rFonts w:cs="Arial"/>
          <w:sz w:val="24"/>
        </w:rPr>
        <w:t>Informačním systémem krizového řízení nebo napojení na evropské vyrozumívací systémy.</w:t>
      </w:r>
    </w:p>
    <w:p w:rsidR="00802500" w:rsidRPr="00D16FC5" w:rsidP="00F614DD" w14:paraId="26BA198E" w14:textId="20532DA3">
      <w:pPr>
        <w:spacing w:before="60" w:after="60"/>
        <w:rPr>
          <w:rFonts w:cs="Arial"/>
          <w:sz w:val="24"/>
        </w:rPr>
      </w:pPr>
      <w:r w:rsidRPr="00D16FC5">
        <w:rPr>
          <w:rFonts w:cs="Arial"/>
          <w:sz w:val="24"/>
        </w:rPr>
        <w:t>Z důvodu krize veřejného zdraví způsobené pandemií, povodněmi, kybernetickými útoky a</w:t>
      </w:r>
      <w:r w:rsidR="00F614DD">
        <w:rPr>
          <w:rFonts w:cs="Arial"/>
          <w:sz w:val="24"/>
        </w:rPr>
        <w:t> </w:t>
      </w:r>
      <w:r w:rsidRPr="00D16FC5">
        <w:rPr>
          <w:rFonts w:cs="Arial"/>
          <w:sz w:val="24"/>
        </w:rPr>
        <w:t xml:space="preserve">dalšími mimořádnými událostmi čelí zdravotnictví, způsob života, ekonomická stabilita nebývalé výzvě. Digitální technologie zaujímají významnou </w:t>
      </w:r>
      <w:r w:rsidRPr="00D16FC5" w:rsidR="00C95A26">
        <w:rPr>
          <w:rFonts w:cs="Arial"/>
          <w:sz w:val="24"/>
        </w:rPr>
        <w:t>roli – poskytují</w:t>
      </w:r>
      <w:r w:rsidRPr="00D16FC5">
        <w:rPr>
          <w:rFonts w:cs="Arial"/>
          <w:sz w:val="24"/>
        </w:rPr>
        <w:t xml:space="preserve"> důležitý nástroj pro</w:t>
      </w:r>
      <w:r w:rsidR="00832E7E">
        <w:rPr>
          <w:rFonts w:cs="Arial"/>
          <w:sz w:val="24"/>
        </w:rPr>
        <w:t> </w:t>
      </w:r>
      <w:r w:rsidRPr="00D16FC5">
        <w:rPr>
          <w:rFonts w:cs="Arial"/>
          <w:sz w:val="24"/>
        </w:rPr>
        <w:t>informování veřejnosti a pomoci veřejným orgánům, zdravotnickým organizacím při</w:t>
      </w:r>
      <w:r w:rsidR="00832E7E">
        <w:rPr>
          <w:rFonts w:cs="Arial"/>
          <w:sz w:val="24"/>
        </w:rPr>
        <w:t> </w:t>
      </w:r>
      <w:r w:rsidRPr="00D16FC5">
        <w:rPr>
          <w:rFonts w:cs="Arial"/>
          <w:sz w:val="24"/>
        </w:rPr>
        <w:t xml:space="preserve">výměně zdravotních informací. </w:t>
      </w:r>
    </w:p>
    <w:p w:rsidR="00802500" w:rsidRPr="00D16FC5" w:rsidP="00F614DD" w14:paraId="4C732557" w14:textId="77777777">
      <w:pPr>
        <w:spacing w:before="60" w:after="60"/>
        <w:rPr>
          <w:rFonts w:cs="Arial"/>
          <w:sz w:val="24"/>
        </w:rPr>
      </w:pPr>
      <w:r w:rsidRPr="00D16FC5">
        <w:rPr>
          <w:rFonts w:cs="Arial"/>
          <w:sz w:val="24"/>
        </w:rPr>
        <w:t>Nezbytnou podmínkou zvládání těchto krizových situací je mapování procesů jednotlivých subjektů zapojených do řešení krize, působících např. v rámci hygienické služby, centrálních evidenčních systémů, telekomunikačních operátorů, silových složek, integrovaného záchranného systému a informačních systémů jednotlivých krajů.</w:t>
      </w:r>
    </w:p>
    <w:p w:rsidR="00802500" w:rsidRPr="00D16FC5" w:rsidP="00F614DD" w14:paraId="786C62C1" w14:textId="47424948">
      <w:pPr>
        <w:spacing w:before="60" w:after="60"/>
        <w:rPr>
          <w:rFonts w:cs="Arial"/>
          <w:sz w:val="24"/>
        </w:rPr>
      </w:pPr>
      <w:r w:rsidRPr="00D16FC5">
        <w:rPr>
          <w:rFonts w:cs="Arial"/>
          <w:sz w:val="24"/>
        </w:rPr>
        <w:t xml:space="preserve">Nezbytná je </w:t>
      </w:r>
      <w:r>
        <w:rPr>
          <w:rFonts w:cs="Arial"/>
          <w:sz w:val="24"/>
        </w:rPr>
        <w:t xml:space="preserve">i </w:t>
      </w:r>
      <w:r w:rsidRPr="00D16FC5">
        <w:rPr>
          <w:rFonts w:cs="Arial"/>
          <w:sz w:val="24"/>
        </w:rPr>
        <w:t>podpora řešení založených na telemedicíně a mHealth, která usnadní zdravotní péči v situacích, kdy objektivně nebude možné či žádoucí, aby docházelo k fyzickému kontaktu pacienta se zdravotn</w:t>
      </w:r>
      <w:r w:rsidR="00F67469">
        <w:rPr>
          <w:rFonts w:cs="Arial"/>
          <w:sz w:val="24"/>
        </w:rPr>
        <w:t xml:space="preserve">ickým </w:t>
      </w:r>
      <w:r w:rsidR="00E22AF8">
        <w:rPr>
          <w:rFonts w:cs="Arial"/>
          <w:sz w:val="24"/>
        </w:rPr>
        <w:t>pracovníkem</w:t>
      </w:r>
      <w:r w:rsidRPr="00D16FC5">
        <w:rPr>
          <w:rFonts w:cs="Arial"/>
          <w:sz w:val="24"/>
        </w:rPr>
        <w:t xml:space="preserve">. </w:t>
      </w:r>
      <w:r w:rsidRPr="002D68D7" w:rsidR="002D68D7">
        <w:rPr>
          <w:rFonts w:cs="Arial"/>
          <w:sz w:val="24"/>
        </w:rPr>
        <w:t>Zároveň platí, že nově zaváděné digitální nebo digitalizované služby nesmí omezit přístup ke zdravotním službám pro starší nebo sociálně znevýhodněné občany bez přístupu k digitálním službám a musí souběžně zavést nebo zachovat i alternativní přístupy (papír, osobní pomoc)</w:t>
      </w:r>
      <w:r w:rsidR="002D68D7">
        <w:rPr>
          <w:rFonts w:cs="Arial"/>
          <w:sz w:val="24"/>
        </w:rPr>
        <w:t>.</w:t>
      </w:r>
    </w:p>
    <w:p w:rsidR="00802500" w:rsidRPr="00A955AF" w:rsidP="008A1A44" w14:paraId="40B1749A" w14:textId="4BACE3B1">
      <w:pPr>
        <w:pStyle w:val="Bntext"/>
        <w:spacing w:line="240" w:lineRule="auto"/>
        <w:ind w:firstLine="0"/>
        <w:rPr>
          <w:rFonts w:asciiTheme="minorHAnsi" w:hAnsiTheme="minorHAnsi" w:cs="Arial"/>
          <w:sz w:val="24"/>
          <w:lang w:val="cs-CZ"/>
        </w:rPr>
      </w:pPr>
      <w:r w:rsidRPr="00D16FC5">
        <w:rPr>
          <w:rFonts w:asciiTheme="minorHAnsi" w:hAnsiTheme="minorHAnsi" w:cs="Arial"/>
          <w:sz w:val="24"/>
          <w:lang w:val="cs-CZ"/>
        </w:rPr>
        <w:t>Aktuální vývoj ve světě nás kategoricky staví před nutnost zvýšení odolnost</w:t>
      </w:r>
      <w:r>
        <w:rPr>
          <w:rFonts w:asciiTheme="minorHAnsi" w:hAnsiTheme="minorHAnsi" w:cs="Arial"/>
          <w:sz w:val="24"/>
          <w:lang w:val="cs-CZ"/>
        </w:rPr>
        <w:t>i</w:t>
      </w:r>
      <w:r w:rsidRPr="00D16FC5">
        <w:rPr>
          <w:rFonts w:asciiTheme="minorHAnsi" w:hAnsiTheme="minorHAnsi" w:cs="Arial"/>
          <w:sz w:val="24"/>
          <w:lang w:val="cs-CZ"/>
        </w:rPr>
        <w:t xml:space="preserve"> zdravotnického systému vůči kybernetickým hrozbám, kdy útočníci zneužívají vyšší zranitelnosti zdravotnických zařízení a správy zdravotnického systému zejména právě v krizových situacích, způsobených např. pandemií, povodněmi či jinými mimořádnými událostmi spadajícími do</w:t>
      </w:r>
      <w:r w:rsidR="00F614DD">
        <w:rPr>
          <w:rFonts w:asciiTheme="minorHAnsi" w:hAnsiTheme="minorHAnsi" w:cs="Arial"/>
          <w:sz w:val="24"/>
          <w:lang w:val="cs-CZ"/>
        </w:rPr>
        <w:t> </w:t>
      </w:r>
      <w:r w:rsidRPr="00D16FC5">
        <w:rPr>
          <w:rFonts w:asciiTheme="minorHAnsi" w:hAnsiTheme="minorHAnsi" w:cs="Arial"/>
          <w:sz w:val="24"/>
          <w:lang w:val="cs-CZ"/>
        </w:rPr>
        <w:t>oblasti medicíny katastrof a krizového řízení ve zdravotnictví.</w:t>
      </w:r>
    </w:p>
    <w:p w:rsidR="007C39AC" w:rsidRPr="00A955AF" w:rsidP="008A1A44" w14:paraId="761A02C5" w14:textId="181138B6">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 xml:space="preserve">Veškeré aktivity a opatření v rámci specifického cíle Digitalizace zdravotnictví budou probíhat s ohledem na etické principy, přičemž bude brán v potaz aspekt ochrany lidských práv. </w:t>
      </w:r>
    </w:p>
    <w:p w:rsidR="002C7C80" w:rsidRPr="00A955AF" w:rsidP="008A1A44" w14:paraId="42D23CC5" w14:textId="77777777">
      <w:pPr>
        <w:pStyle w:val="Bntext"/>
        <w:spacing w:line="240" w:lineRule="auto"/>
        <w:ind w:firstLine="0"/>
        <w:rPr>
          <w:rFonts w:asciiTheme="minorHAnsi" w:hAnsiTheme="minorHAnsi" w:cs="Arial"/>
          <w:sz w:val="24"/>
          <w:lang w:val="cs-CZ"/>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274"/>
        <w:gridCol w:w="1496"/>
      </w:tblGrid>
      <w:tr w14:paraId="40978785"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F03B47" w:rsidRPr="00A955AF" w:rsidP="007A6344" w14:paraId="06B2F70C"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274" w:type="dxa"/>
            <w:tcBorders>
              <w:top w:val="single" w:sz="4" w:space="0" w:color="auto"/>
              <w:left w:val="single" w:sz="4" w:space="0" w:color="auto"/>
              <w:bottom w:val="single" w:sz="4" w:space="0" w:color="auto"/>
              <w:right w:val="nil"/>
            </w:tcBorders>
            <w:shd w:val="clear" w:color="auto" w:fill="FFFFCC"/>
            <w:vAlign w:val="center"/>
            <w:hideMark/>
          </w:tcPr>
          <w:p w:rsidR="00F03B47" w:rsidRPr="00A955AF" w14:paraId="04ACA441" w14:textId="77777777">
            <w:pPr>
              <w:spacing w:line="276" w:lineRule="auto"/>
              <w:rPr>
                <w:rFonts w:eastAsiaTheme="minorHAnsi" w:cs="Arial"/>
                <w:b/>
                <w:color w:val="205493"/>
                <w:sz w:val="24"/>
              </w:rPr>
            </w:pPr>
            <w:r w:rsidRPr="00A955AF">
              <w:rPr>
                <w:rFonts w:cs="Arial"/>
                <w:b/>
                <w:color w:val="205493"/>
                <w:sz w:val="24"/>
              </w:rPr>
              <w:t>2.3 Digitalizace zdravotnictví</w:t>
            </w:r>
          </w:p>
        </w:tc>
        <w:tc>
          <w:tcPr>
            <w:tcW w:w="1496" w:type="dxa"/>
            <w:tcBorders>
              <w:top w:val="single" w:sz="4" w:space="0" w:color="auto"/>
              <w:left w:val="nil"/>
              <w:bottom w:val="single" w:sz="4" w:space="0" w:color="auto"/>
              <w:right w:val="single" w:sz="4" w:space="0" w:color="auto"/>
            </w:tcBorders>
            <w:shd w:val="clear" w:color="auto" w:fill="FFFFCC"/>
            <w:vAlign w:val="center"/>
          </w:tcPr>
          <w:p w:rsidR="00F03B47" w:rsidRPr="00A955AF" w:rsidP="00F03B47" w14:paraId="1ABC3059" w14:textId="0BAD645F">
            <w:pPr>
              <w:spacing w:line="276" w:lineRule="auto"/>
              <w:jc w:val="right"/>
              <w:rPr>
                <w:rFonts w:eastAsiaTheme="minorHAnsi" w:cs="Arial"/>
                <w:b/>
                <w:color w:val="205493"/>
                <w:sz w:val="24"/>
              </w:rPr>
            </w:pPr>
          </w:p>
        </w:tc>
      </w:tr>
      <w:tr w14:paraId="68AFD08F" w14:textId="77777777" w:rsidTr="00F03B47">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1036D435" w14:textId="77777777">
            <w:pPr>
              <w:spacing w:line="276" w:lineRule="auto"/>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B071ED" w:rsidRPr="00B071ED" w:rsidP="006C359E" w14:paraId="481DDF61" w14:textId="77777777">
            <w:pPr>
              <w:pStyle w:val="ListParagraph"/>
              <w:numPr>
                <w:ilvl w:val="2"/>
                <w:numId w:val="43"/>
              </w:numPr>
              <w:spacing w:before="60" w:after="60"/>
              <w:contextualSpacing/>
              <w:rPr>
                <w:rFonts w:cs="Arial"/>
                <w:sz w:val="24"/>
              </w:rPr>
            </w:pPr>
            <w:r w:rsidRPr="00B071ED">
              <w:rPr>
                <w:rFonts w:cs="Arial"/>
                <w:sz w:val="24"/>
              </w:rPr>
              <w:t xml:space="preserve">Rozvoj a implementace koncepce digitalizace zdravotnictví, institucionalizace elektronického zdravotnictví </w:t>
            </w:r>
          </w:p>
          <w:p w:rsidR="00B071ED" w:rsidRPr="00B071ED" w:rsidP="006C359E" w14:paraId="3D0F54FF" w14:textId="3A4983D3">
            <w:pPr>
              <w:pStyle w:val="ListParagraph"/>
              <w:numPr>
                <w:ilvl w:val="2"/>
                <w:numId w:val="43"/>
              </w:numPr>
              <w:spacing w:before="60" w:after="60"/>
              <w:contextualSpacing/>
              <w:rPr>
                <w:rFonts w:cs="Arial"/>
                <w:sz w:val="24"/>
              </w:rPr>
            </w:pPr>
            <w:r w:rsidRPr="00B071ED">
              <w:rPr>
                <w:rFonts w:cs="Arial"/>
                <w:sz w:val="24"/>
              </w:rPr>
              <w:t>Rozvoj centrální infrastruktury pro sdílení zdravotnické dokumentace, zaručenou a bezpečnou komunikaci a</w:t>
            </w:r>
            <w:r w:rsidR="00D13FED">
              <w:rPr>
                <w:rFonts w:cs="Arial"/>
                <w:sz w:val="24"/>
              </w:rPr>
              <w:t> </w:t>
            </w:r>
            <w:r w:rsidRPr="00B071ED">
              <w:rPr>
                <w:rFonts w:cs="Arial"/>
                <w:sz w:val="24"/>
              </w:rPr>
              <w:t xml:space="preserve">výměnu informací ve zdravotnictví </w:t>
            </w:r>
          </w:p>
          <w:p w:rsidR="00B071ED" w:rsidRPr="00B071ED" w:rsidP="006C359E" w14:paraId="103C7C6D" w14:textId="77777777">
            <w:pPr>
              <w:pStyle w:val="ListParagraph"/>
              <w:numPr>
                <w:ilvl w:val="2"/>
                <w:numId w:val="43"/>
              </w:numPr>
              <w:spacing w:before="60" w:after="60"/>
              <w:contextualSpacing/>
              <w:rPr>
                <w:rFonts w:cs="Arial"/>
                <w:sz w:val="24"/>
              </w:rPr>
            </w:pPr>
            <w:r w:rsidRPr="00B071ED">
              <w:rPr>
                <w:rFonts w:cs="Arial"/>
                <w:sz w:val="24"/>
              </w:rPr>
              <w:t>Rozvoj systému poskytování služeb autoritativních údajů, resortních autoritativních registrů a modelu zaručených dat</w:t>
            </w:r>
          </w:p>
          <w:p w:rsidR="00B071ED" w:rsidRPr="00B071ED" w:rsidP="006C359E" w14:paraId="7B7E2781" w14:textId="77777777">
            <w:pPr>
              <w:pStyle w:val="ListParagraph"/>
              <w:numPr>
                <w:ilvl w:val="2"/>
                <w:numId w:val="43"/>
              </w:numPr>
              <w:spacing w:before="60" w:after="60"/>
              <w:contextualSpacing/>
              <w:rPr>
                <w:rFonts w:cs="Arial"/>
                <w:sz w:val="24"/>
              </w:rPr>
            </w:pPr>
            <w:r w:rsidRPr="00B071ED">
              <w:rPr>
                <w:rFonts w:cs="Arial"/>
                <w:sz w:val="24"/>
              </w:rPr>
              <w:t xml:space="preserve">Rozvoj Národního zdravotnického informačního systému </w:t>
            </w:r>
          </w:p>
          <w:p w:rsidR="00B071ED" w:rsidRPr="00B071ED" w:rsidP="006C359E" w14:paraId="31BE6BC3" w14:textId="77777777">
            <w:pPr>
              <w:pStyle w:val="ListParagraph"/>
              <w:numPr>
                <w:ilvl w:val="2"/>
                <w:numId w:val="43"/>
              </w:numPr>
              <w:spacing w:before="60" w:after="60"/>
              <w:contextualSpacing/>
              <w:rPr>
                <w:rFonts w:cs="Arial"/>
                <w:sz w:val="24"/>
              </w:rPr>
            </w:pPr>
            <w:r w:rsidRPr="00B071ED">
              <w:rPr>
                <w:rFonts w:cs="Arial"/>
                <w:sz w:val="24"/>
              </w:rPr>
              <w:t>Správa systému s rozvojem katalogu služeb elektronického zdravotnictví</w:t>
            </w:r>
          </w:p>
          <w:p w:rsidR="00B071ED" w:rsidRPr="00B071ED" w:rsidP="006C359E" w14:paraId="7138E0E4" w14:textId="77777777">
            <w:pPr>
              <w:pStyle w:val="ListParagraph"/>
              <w:numPr>
                <w:ilvl w:val="2"/>
                <w:numId w:val="43"/>
              </w:numPr>
              <w:spacing w:before="60" w:after="60"/>
              <w:contextualSpacing/>
              <w:rPr>
                <w:rFonts w:cs="Arial"/>
                <w:sz w:val="24"/>
              </w:rPr>
            </w:pPr>
            <w:r w:rsidRPr="00B071ED">
              <w:rPr>
                <w:rFonts w:cs="Arial"/>
                <w:sz w:val="24"/>
              </w:rPr>
              <w:t>Podpora využívání a standardizace nástrojů elektronického zdravotnictví (nástroje pro standardizaci prostředí digitálního zdravotnictví, interoperabilní prostředí pro uživatele společných sdílených elektronických služeb ve zdravotnictví)</w:t>
            </w:r>
          </w:p>
          <w:p w:rsidR="00B071ED" w:rsidRPr="00B071ED" w:rsidP="006C359E" w14:paraId="2E188EDA" w14:textId="77777777">
            <w:pPr>
              <w:pStyle w:val="ListParagraph"/>
              <w:numPr>
                <w:ilvl w:val="2"/>
                <w:numId w:val="43"/>
              </w:numPr>
              <w:spacing w:before="60" w:after="60"/>
              <w:contextualSpacing/>
              <w:rPr>
                <w:rFonts w:cs="Arial"/>
                <w:sz w:val="24"/>
              </w:rPr>
            </w:pPr>
            <w:r w:rsidRPr="00B071ED">
              <w:rPr>
                <w:rFonts w:cs="Arial"/>
                <w:sz w:val="24"/>
              </w:rPr>
              <w:t>Podpora využití nových digitálních technologií a postupů v oblasti personalizované medicíny, domácí péče, integrované péče</w:t>
            </w:r>
          </w:p>
          <w:p w:rsidR="00B071ED" w:rsidRPr="00B071ED" w:rsidP="006C359E" w14:paraId="7F2D1D21" w14:textId="577E095D">
            <w:pPr>
              <w:pStyle w:val="ListParagraph"/>
              <w:numPr>
                <w:ilvl w:val="2"/>
                <w:numId w:val="43"/>
              </w:numPr>
              <w:spacing w:before="60" w:after="60"/>
              <w:contextualSpacing/>
              <w:rPr>
                <w:rFonts w:cs="Arial"/>
                <w:sz w:val="24"/>
              </w:rPr>
            </w:pPr>
            <w:r w:rsidRPr="00B071ED">
              <w:rPr>
                <w:rFonts w:cs="Arial"/>
                <w:sz w:val="24"/>
              </w:rPr>
              <w:t>Podpora využití umělé inteligence ve zdravotnictví a</w:t>
            </w:r>
            <w:r w:rsidR="00D13FED">
              <w:rPr>
                <w:rFonts w:cs="Arial"/>
                <w:sz w:val="24"/>
              </w:rPr>
              <w:t> </w:t>
            </w:r>
            <w:r w:rsidRPr="00B071ED">
              <w:rPr>
                <w:rFonts w:cs="Arial"/>
                <w:sz w:val="24"/>
              </w:rPr>
              <w:t>implementace na ní založených služeb</w:t>
            </w:r>
          </w:p>
          <w:p w:rsidR="00B071ED" w:rsidRPr="00B071ED" w:rsidP="006C359E" w14:paraId="00C37653" w14:textId="77777777">
            <w:pPr>
              <w:pStyle w:val="ListParagraph"/>
              <w:numPr>
                <w:ilvl w:val="2"/>
                <w:numId w:val="43"/>
              </w:numPr>
              <w:spacing w:before="60" w:after="60"/>
              <w:contextualSpacing/>
              <w:rPr>
                <w:rFonts w:cs="Arial"/>
                <w:sz w:val="24"/>
              </w:rPr>
            </w:pPr>
            <w:r w:rsidRPr="00B071ED">
              <w:rPr>
                <w:rFonts w:cs="Arial"/>
                <w:sz w:val="24"/>
              </w:rPr>
              <w:t>Rozvoj vědeckovýzkumné a inovační základny pro digitalizaci zdravotnictví a rozvoj znalostní základny digitálního zdravotnictví</w:t>
            </w:r>
          </w:p>
          <w:p w:rsidR="00B071ED" w:rsidRPr="00B071ED" w:rsidP="006C359E" w14:paraId="659F0107" w14:textId="77777777">
            <w:pPr>
              <w:pStyle w:val="ListParagraph"/>
              <w:numPr>
                <w:ilvl w:val="2"/>
                <w:numId w:val="43"/>
              </w:numPr>
              <w:spacing w:before="60" w:after="60"/>
              <w:contextualSpacing/>
              <w:rPr>
                <w:rFonts w:cs="Arial"/>
                <w:sz w:val="24"/>
              </w:rPr>
            </w:pPr>
            <w:r w:rsidRPr="00B071ED">
              <w:rPr>
                <w:rFonts w:cs="Arial"/>
                <w:sz w:val="24"/>
              </w:rPr>
              <w:t>Praktické aplikace modelů bezpečného sdílení zdravotních záznamů, uplatnění technologie Blockchain a navazujících konceptů, využití konceptů z oblasti Big Data</w:t>
            </w:r>
          </w:p>
          <w:p w:rsidR="00B071ED" w:rsidRPr="00B071ED" w:rsidP="006C359E" w14:paraId="1FF75033" w14:textId="63446250">
            <w:pPr>
              <w:pStyle w:val="ListParagraph"/>
              <w:numPr>
                <w:ilvl w:val="2"/>
                <w:numId w:val="43"/>
              </w:numPr>
              <w:spacing w:before="60" w:after="60"/>
              <w:contextualSpacing/>
              <w:rPr>
                <w:rFonts w:cs="Arial"/>
                <w:sz w:val="24"/>
              </w:rPr>
            </w:pPr>
            <w:r w:rsidRPr="00B071ED">
              <w:rPr>
                <w:rFonts w:cs="Arial"/>
                <w:sz w:val="24"/>
              </w:rPr>
              <w:t>Podpora technologií mobilního zdravotnictví (mHealth) a</w:t>
            </w:r>
            <w:r w:rsidR="00D13FED">
              <w:rPr>
                <w:rFonts w:cs="Arial"/>
                <w:sz w:val="24"/>
              </w:rPr>
              <w:t> </w:t>
            </w:r>
            <w:r w:rsidRPr="00B071ED">
              <w:rPr>
                <w:rFonts w:cs="Arial"/>
                <w:sz w:val="24"/>
              </w:rPr>
              <w:t>telemedicíny na všech úrovních poskytování zdravotní péče, zejména u koncových uživatelů (nemocnice, ambulance, pacienti)</w:t>
            </w:r>
          </w:p>
          <w:p w:rsidR="00B071ED" w:rsidRPr="00B071ED" w:rsidP="006C359E" w14:paraId="6DCC6D9F" w14:textId="77777777">
            <w:pPr>
              <w:pStyle w:val="ListParagraph"/>
              <w:numPr>
                <w:ilvl w:val="2"/>
                <w:numId w:val="43"/>
              </w:numPr>
              <w:spacing w:before="60" w:after="60"/>
              <w:contextualSpacing/>
              <w:rPr>
                <w:rFonts w:cs="Arial"/>
                <w:sz w:val="24"/>
              </w:rPr>
            </w:pPr>
            <w:r w:rsidRPr="00B071ED">
              <w:rPr>
                <w:rFonts w:cs="Arial"/>
                <w:sz w:val="24"/>
              </w:rPr>
              <w:t>Rozvoj platforem pro komunikaci a koordinaci veřejné správy, průmyslu a akademické sféry pro účely rozvoje digitálních služeb ve zdravotnictví a v péči o zdraví</w:t>
            </w:r>
          </w:p>
          <w:p w:rsidR="00B071ED" w:rsidRPr="00B071ED" w:rsidP="006C359E" w14:paraId="56965656" w14:textId="77777777">
            <w:pPr>
              <w:pStyle w:val="ListParagraph"/>
              <w:numPr>
                <w:ilvl w:val="2"/>
                <w:numId w:val="43"/>
              </w:numPr>
              <w:spacing w:before="60" w:after="60"/>
              <w:contextualSpacing/>
              <w:rPr>
                <w:rFonts w:cs="Arial"/>
                <w:sz w:val="24"/>
              </w:rPr>
            </w:pPr>
            <w:r w:rsidRPr="00B071ED">
              <w:rPr>
                <w:rFonts w:cs="Arial"/>
                <w:sz w:val="24"/>
              </w:rPr>
              <w:t>Programy rozvoje obecné i specifické digitální gramotnosti pracovníků ve zdravotnictví</w:t>
            </w:r>
          </w:p>
          <w:p w:rsidR="00B071ED" w:rsidRPr="00B071ED" w:rsidP="006C359E" w14:paraId="607AF888" w14:textId="77777777">
            <w:pPr>
              <w:pStyle w:val="ListParagraph"/>
              <w:numPr>
                <w:ilvl w:val="2"/>
                <w:numId w:val="43"/>
              </w:numPr>
              <w:spacing w:before="60" w:after="60"/>
              <w:contextualSpacing/>
              <w:rPr>
                <w:rFonts w:cs="Arial"/>
                <w:sz w:val="24"/>
              </w:rPr>
            </w:pPr>
            <w:r w:rsidRPr="00B071ED">
              <w:rPr>
                <w:rFonts w:cs="Arial"/>
                <w:sz w:val="24"/>
              </w:rPr>
              <w:t>Programy posilující budování důvěry ve služby digitálního zdravotnictví mezi občany i zdravotníky</w:t>
            </w:r>
          </w:p>
          <w:p w:rsidR="00A45B19" w:rsidRPr="00D1102B" w:rsidP="00B071ED" w14:paraId="36B213D6" w14:textId="73B37F0C">
            <w:pPr>
              <w:pStyle w:val="ListParagraph"/>
              <w:numPr>
                <w:ilvl w:val="0"/>
                <w:numId w:val="0"/>
              </w:numPr>
              <w:spacing w:before="60" w:after="60"/>
              <w:ind w:left="1080"/>
              <w:contextualSpacing/>
              <w:rPr>
                <w:rFonts w:cs="Arial"/>
                <w:sz w:val="24"/>
              </w:rPr>
            </w:pPr>
          </w:p>
        </w:tc>
      </w:tr>
      <w:tr w14:paraId="719BF97B"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3BE0EA4C" w14:textId="3C78F48A">
            <w:pPr>
              <w:spacing w:line="276" w:lineRule="auto"/>
              <w:rPr>
                <w:rFonts w:eastAsiaTheme="minorHAnsi" w:cs="Arial"/>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725460" w:rsidRPr="00A955AF" w:rsidP="006C359E" w14:paraId="30544778" w14:textId="77777777">
            <w:pPr>
              <w:pStyle w:val="Default"/>
              <w:numPr>
                <w:ilvl w:val="0"/>
                <w:numId w:val="38"/>
              </w:numPr>
              <w:jc w:val="both"/>
              <w:rPr>
                <w:rFonts w:asciiTheme="minorHAnsi" w:hAnsiTheme="minorHAnsi"/>
              </w:rPr>
            </w:pPr>
            <w:r w:rsidRPr="00A955AF">
              <w:rPr>
                <w:rFonts w:asciiTheme="minorHAnsi" w:hAnsiTheme="minorHAnsi"/>
              </w:rPr>
              <w:t>R</w:t>
            </w:r>
            <w:r w:rsidRPr="00A955AF" w:rsidR="00B25FC6">
              <w:rPr>
                <w:rFonts w:asciiTheme="minorHAnsi" w:hAnsiTheme="minorHAnsi"/>
              </w:rPr>
              <w:t>ozvoj a implementace k</w:t>
            </w:r>
            <w:r w:rsidRPr="00A955AF" w:rsidR="009E5E01">
              <w:rPr>
                <w:rFonts w:asciiTheme="minorHAnsi" w:hAnsiTheme="minorHAnsi"/>
              </w:rPr>
              <w:t>oncepc</w:t>
            </w:r>
            <w:r w:rsidRPr="00A955AF" w:rsidR="005E6BD7">
              <w:rPr>
                <w:rFonts w:asciiTheme="minorHAnsi" w:hAnsiTheme="minorHAnsi"/>
              </w:rPr>
              <w:t>e</w:t>
            </w:r>
            <w:r w:rsidRPr="00A955AF" w:rsidR="009E5E01">
              <w:rPr>
                <w:rFonts w:asciiTheme="minorHAnsi" w:hAnsiTheme="minorHAnsi"/>
              </w:rPr>
              <w:t xml:space="preserve"> </w:t>
            </w:r>
            <w:r w:rsidRPr="00A955AF">
              <w:rPr>
                <w:rFonts w:asciiTheme="minorHAnsi" w:hAnsiTheme="minorHAnsi"/>
              </w:rPr>
              <w:t>digitalizac</w:t>
            </w:r>
            <w:r w:rsidRPr="00A955AF" w:rsidR="009E5E01">
              <w:rPr>
                <w:rFonts w:asciiTheme="minorHAnsi" w:hAnsiTheme="minorHAnsi"/>
              </w:rPr>
              <w:t>e</w:t>
            </w:r>
            <w:r w:rsidRPr="00A955AF">
              <w:rPr>
                <w:rFonts w:asciiTheme="minorHAnsi" w:hAnsiTheme="minorHAnsi"/>
              </w:rPr>
              <w:t xml:space="preserve"> zdravotnictví včetně institucionalizace elektronického zdravotnictví </w:t>
            </w:r>
          </w:p>
          <w:p w:rsidR="002D20E4" w:rsidRPr="00A955AF" w:rsidP="006C359E" w14:paraId="2C46A4A1" w14:textId="77777777">
            <w:pPr>
              <w:pStyle w:val="Default"/>
              <w:numPr>
                <w:ilvl w:val="0"/>
                <w:numId w:val="38"/>
              </w:numPr>
              <w:jc w:val="both"/>
              <w:rPr>
                <w:rFonts w:asciiTheme="minorHAnsi" w:hAnsiTheme="minorHAnsi"/>
              </w:rPr>
            </w:pPr>
            <w:r w:rsidRPr="00A955AF">
              <w:rPr>
                <w:rFonts w:asciiTheme="minorHAnsi" w:hAnsiTheme="minorHAnsi"/>
              </w:rPr>
              <w:t>R</w:t>
            </w:r>
            <w:r w:rsidRPr="00A955AF" w:rsidR="00B25FC6">
              <w:rPr>
                <w:rFonts w:asciiTheme="minorHAnsi" w:hAnsiTheme="minorHAnsi"/>
              </w:rPr>
              <w:t>ealizace</w:t>
            </w:r>
            <w:r w:rsidRPr="00A955AF">
              <w:rPr>
                <w:rFonts w:asciiTheme="minorHAnsi" w:hAnsiTheme="minorHAnsi"/>
              </w:rPr>
              <w:t xml:space="preserve"> cíl</w:t>
            </w:r>
            <w:r w:rsidRPr="00A955AF" w:rsidR="00B25FC6">
              <w:rPr>
                <w:rFonts w:asciiTheme="minorHAnsi" w:hAnsiTheme="minorHAnsi"/>
              </w:rPr>
              <w:t>ů</w:t>
            </w:r>
            <w:r w:rsidRPr="00A955AF">
              <w:rPr>
                <w:rFonts w:asciiTheme="minorHAnsi" w:hAnsiTheme="minorHAnsi"/>
              </w:rPr>
              <w:t xml:space="preserve"> Národní strategie elektronického zdravotnictví a opatření Akčního plánu</w:t>
            </w:r>
          </w:p>
          <w:p w:rsidR="002D20E4" w:rsidRPr="00A955AF" w:rsidP="006C359E" w14:paraId="2D268CC1" w14:textId="77777777">
            <w:pPr>
              <w:pStyle w:val="NormalWeb"/>
              <w:numPr>
                <w:ilvl w:val="0"/>
                <w:numId w:val="38"/>
              </w:numPr>
              <w:jc w:val="both"/>
              <w:rPr>
                <w:rFonts w:asciiTheme="minorHAnsi" w:hAnsiTheme="minorHAnsi" w:cs="Arial"/>
              </w:rPr>
            </w:pPr>
            <w:r w:rsidRPr="00A955AF">
              <w:rPr>
                <w:rFonts w:asciiTheme="minorHAnsi" w:hAnsiTheme="minorHAnsi" w:cs="Arial"/>
                <w:lang w:eastAsia="en-US"/>
              </w:rPr>
              <w:t>N</w:t>
            </w:r>
            <w:r w:rsidRPr="00A955AF">
              <w:rPr>
                <w:rFonts w:asciiTheme="minorHAnsi" w:hAnsiTheme="minorHAnsi" w:cs="Arial"/>
              </w:rPr>
              <w:t>aplňov</w:t>
            </w:r>
            <w:r w:rsidRPr="00A955AF" w:rsidR="006461EF">
              <w:rPr>
                <w:rFonts w:asciiTheme="minorHAnsi" w:hAnsiTheme="minorHAnsi" w:cs="Arial"/>
              </w:rPr>
              <w:t>ání</w:t>
            </w:r>
            <w:r w:rsidRPr="00A955AF" w:rsidR="00B25FC6">
              <w:rPr>
                <w:rFonts w:asciiTheme="minorHAnsi" w:hAnsiTheme="minorHAnsi" w:cs="Arial"/>
              </w:rPr>
              <w:t xml:space="preserve"> cíl</w:t>
            </w:r>
            <w:r w:rsidRPr="00A955AF" w:rsidR="006461EF">
              <w:rPr>
                <w:rFonts w:asciiTheme="minorHAnsi" w:hAnsiTheme="minorHAnsi" w:cs="Arial"/>
              </w:rPr>
              <w:t>ů</w:t>
            </w:r>
            <w:r w:rsidRPr="00A955AF">
              <w:rPr>
                <w:rFonts w:asciiTheme="minorHAnsi" w:hAnsiTheme="minorHAnsi" w:cs="Arial"/>
              </w:rPr>
              <w:t xml:space="preserve"> vládního programu Digitální Česko (Digitální ekonomika a společnost, informační koncepce Digitálního Česka</w:t>
            </w:r>
            <w:r w:rsidRPr="00A955AF" w:rsidR="006B5DE2">
              <w:rPr>
                <w:rFonts w:asciiTheme="minorHAnsi" w:hAnsiTheme="minorHAnsi" w:cs="Arial"/>
              </w:rPr>
              <w:t>)</w:t>
            </w:r>
          </w:p>
          <w:p w:rsidR="002D20E4" w:rsidRPr="00A955AF" w:rsidP="006C359E" w14:paraId="3AF2A0E7" w14:textId="77777777">
            <w:pPr>
              <w:pStyle w:val="NormalWeb"/>
              <w:numPr>
                <w:ilvl w:val="0"/>
                <w:numId w:val="38"/>
              </w:numPr>
              <w:jc w:val="both"/>
              <w:rPr>
                <w:rFonts w:asciiTheme="minorHAnsi" w:hAnsiTheme="minorHAnsi" w:cs="Arial"/>
                <w:lang w:eastAsia="en-US"/>
              </w:rPr>
            </w:pPr>
            <w:r w:rsidRPr="00A955AF">
              <w:rPr>
                <w:rFonts w:asciiTheme="minorHAnsi" w:hAnsiTheme="minorHAnsi" w:cs="Arial"/>
                <w:lang w:eastAsia="en-US"/>
              </w:rPr>
              <w:t>R</w:t>
            </w:r>
            <w:r w:rsidRPr="00A955AF">
              <w:rPr>
                <w:rFonts w:asciiTheme="minorHAnsi" w:hAnsiTheme="minorHAnsi" w:cs="Arial"/>
                <w:lang w:eastAsia="en-US"/>
              </w:rPr>
              <w:t>ealiz</w:t>
            </w:r>
            <w:r w:rsidRPr="00A955AF" w:rsidR="006461EF">
              <w:rPr>
                <w:rFonts w:asciiTheme="minorHAnsi" w:hAnsiTheme="minorHAnsi" w:cs="Arial"/>
                <w:lang w:eastAsia="en-US"/>
              </w:rPr>
              <w:t>ace</w:t>
            </w:r>
            <w:r w:rsidRPr="00A955AF">
              <w:rPr>
                <w:rFonts w:asciiTheme="minorHAnsi" w:hAnsiTheme="minorHAnsi" w:cs="Arial"/>
                <w:lang w:eastAsia="en-US"/>
              </w:rPr>
              <w:t xml:space="preserve"> záměr</w:t>
            </w:r>
            <w:r w:rsidRPr="00A955AF" w:rsidR="006461EF">
              <w:rPr>
                <w:rFonts w:asciiTheme="minorHAnsi" w:hAnsiTheme="minorHAnsi" w:cs="Arial"/>
                <w:lang w:eastAsia="en-US"/>
              </w:rPr>
              <w:t>ů</w:t>
            </w:r>
            <w:r w:rsidRPr="00A955AF">
              <w:rPr>
                <w:rFonts w:asciiTheme="minorHAnsi" w:hAnsiTheme="minorHAnsi" w:cs="Arial"/>
                <w:lang w:eastAsia="en-US"/>
              </w:rPr>
              <w:t xml:space="preserve"> implementačních plánů vládního programu Digitální Česko</w:t>
            </w:r>
          </w:p>
          <w:p w:rsidR="00B25FC6" w:rsidRPr="00A955AF" w:rsidP="006C359E" w14:paraId="0913A120" w14:textId="77777777">
            <w:pPr>
              <w:pStyle w:val="ListParagraph"/>
              <w:numPr>
                <w:ilvl w:val="0"/>
                <w:numId w:val="38"/>
              </w:numPr>
              <w:autoSpaceDE/>
              <w:autoSpaceDN/>
              <w:adjustRightInd/>
              <w:spacing w:before="60" w:after="60"/>
              <w:contextualSpacing/>
              <w:rPr>
                <w:rFonts w:cs="Arial"/>
                <w:sz w:val="24"/>
                <w:szCs w:val="24"/>
              </w:rPr>
            </w:pPr>
            <w:r w:rsidRPr="00A955AF">
              <w:rPr>
                <w:rFonts w:cs="Arial"/>
                <w:sz w:val="24"/>
                <w:szCs w:val="24"/>
              </w:rPr>
              <w:t>P</w:t>
            </w:r>
            <w:r w:rsidRPr="00A955AF">
              <w:rPr>
                <w:rFonts w:cs="Arial"/>
                <w:sz w:val="24"/>
                <w:szCs w:val="24"/>
              </w:rPr>
              <w:t>odpor</w:t>
            </w:r>
            <w:r w:rsidRPr="00A955AF" w:rsidR="006461EF">
              <w:rPr>
                <w:rFonts w:cs="Arial"/>
                <w:sz w:val="24"/>
                <w:szCs w:val="24"/>
              </w:rPr>
              <w:t>a</w:t>
            </w:r>
            <w:r w:rsidRPr="00A955AF">
              <w:rPr>
                <w:rFonts w:cs="Arial"/>
                <w:sz w:val="24"/>
                <w:szCs w:val="24"/>
              </w:rPr>
              <w:t xml:space="preserve"> využívání a standardizace nástrojů elektronického zdravotnictví (nástroje pro standardizaci prostředí digitálního zdravotnictví, interoperabilní prostředí pro uživatele společných sdílených elektronických služeb ve zdravotnictví)</w:t>
            </w:r>
          </w:p>
          <w:p w:rsidR="002D20E4" w:rsidRPr="00A955AF" w:rsidP="006C359E" w14:paraId="51190EFB" w14:textId="571D94F3">
            <w:pPr>
              <w:pStyle w:val="NormalWeb"/>
              <w:numPr>
                <w:ilvl w:val="0"/>
                <w:numId w:val="38"/>
              </w:numPr>
              <w:jc w:val="both"/>
              <w:rPr>
                <w:rFonts w:asciiTheme="minorHAnsi" w:hAnsiTheme="minorHAnsi" w:cs="Arial"/>
                <w:lang w:eastAsia="en-US"/>
              </w:rPr>
            </w:pPr>
            <w:r w:rsidRPr="00A955AF">
              <w:rPr>
                <w:rFonts w:asciiTheme="minorHAnsi" w:hAnsiTheme="minorHAnsi" w:cs="Arial"/>
                <w:lang w:eastAsia="en-US"/>
              </w:rPr>
              <w:t>D</w:t>
            </w:r>
            <w:r w:rsidRPr="00A955AF">
              <w:rPr>
                <w:rFonts w:asciiTheme="minorHAnsi" w:hAnsiTheme="minorHAnsi" w:cs="Arial"/>
                <w:lang w:eastAsia="en-US"/>
              </w:rPr>
              <w:t>obudov</w:t>
            </w:r>
            <w:r w:rsidRPr="00A955AF" w:rsidR="006461EF">
              <w:rPr>
                <w:rFonts w:asciiTheme="minorHAnsi" w:hAnsiTheme="minorHAnsi" w:cs="Arial"/>
                <w:lang w:eastAsia="en-US"/>
              </w:rPr>
              <w:t xml:space="preserve">ání </w:t>
            </w:r>
            <w:r w:rsidRPr="00A955AF">
              <w:rPr>
                <w:rFonts w:asciiTheme="minorHAnsi" w:hAnsiTheme="minorHAnsi" w:cs="Arial"/>
                <w:lang w:eastAsia="en-US"/>
              </w:rPr>
              <w:t>základní</w:t>
            </w:r>
            <w:r w:rsidRPr="00A955AF" w:rsidR="006461EF">
              <w:rPr>
                <w:rFonts w:asciiTheme="minorHAnsi" w:hAnsiTheme="minorHAnsi" w:cs="Arial"/>
                <w:lang w:eastAsia="en-US"/>
              </w:rPr>
              <w:t>ch</w:t>
            </w:r>
            <w:r w:rsidRPr="00A955AF">
              <w:rPr>
                <w:rFonts w:asciiTheme="minorHAnsi" w:hAnsiTheme="minorHAnsi" w:cs="Arial"/>
                <w:lang w:eastAsia="en-US"/>
              </w:rPr>
              <w:t xml:space="preserve"> stavební</w:t>
            </w:r>
            <w:r w:rsidRPr="00A955AF" w:rsidR="006461EF">
              <w:rPr>
                <w:rFonts w:asciiTheme="minorHAnsi" w:hAnsiTheme="minorHAnsi" w:cs="Arial"/>
                <w:lang w:eastAsia="en-US"/>
              </w:rPr>
              <w:t>ch</w:t>
            </w:r>
            <w:r w:rsidRPr="00A955AF">
              <w:rPr>
                <w:rFonts w:asciiTheme="minorHAnsi" w:hAnsiTheme="minorHAnsi" w:cs="Arial"/>
                <w:lang w:eastAsia="en-US"/>
              </w:rPr>
              <w:t xml:space="preserve"> kamen</w:t>
            </w:r>
            <w:r w:rsidRPr="00A955AF" w:rsidR="006461EF">
              <w:rPr>
                <w:rFonts w:asciiTheme="minorHAnsi" w:hAnsiTheme="minorHAnsi" w:cs="Arial"/>
                <w:lang w:eastAsia="en-US"/>
              </w:rPr>
              <w:t>ů</w:t>
            </w:r>
            <w:r w:rsidRPr="00A955AF">
              <w:rPr>
                <w:rFonts w:asciiTheme="minorHAnsi" w:hAnsiTheme="minorHAnsi" w:cs="Arial"/>
                <w:lang w:eastAsia="en-US"/>
              </w:rPr>
              <w:t xml:space="preserve"> elektronizace zdravotnictví (</w:t>
            </w:r>
            <w:r w:rsidR="00832E7E">
              <w:rPr>
                <w:rFonts w:asciiTheme="minorHAnsi" w:hAnsiTheme="minorHAnsi" w:cs="Arial"/>
              </w:rPr>
              <w:t>N</w:t>
            </w:r>
            <w:r w:rsidRPr="00A955AF">
              <w:rPr>
                <w:rFonts w:asciiTheme="minorHAnsi" w:hAnsiTheme="minorHAnsi" w:cs="Arial"/>
              </w:rPr>
              <w:t>árodní zdravotnický informační portál, projekty řešící elektronickou identitu zdravotníků a</w:t>
            </w:r>
            <w:r w:rsidRPr="00A955AF">
              <w:rPr>
                <w:rFonts w:asciiTheme="minorHAnsi" w:hAnsiTheme="minorHAnsi" w:cs="Arial"/>
              </w:rPr>
              <w:t> </w:t>
            </w:r>
            <w:r w:rsidRPr="00A955AF">
              <w:rPr>
                <w:rFonts w:asciiTheme="minorHAnsi" w:hAnsiTheme="minorHAnsi" w:cs="Arial"/>
              </w:rPr>
              <w:t>pacientů, profesní průkazy, resortní autoritativní a</w:t>
            </w:r>
            <w:r w:rsidRPr="00A955AF">
              <w:rPr>
                <w:rFonts w:asciiTheme="minorHAnsi" w:hAnsiTheme="minorHAnsi" w:cs="Arial"/>
              </w:rPr>
              <w:t> </w:t>
            </w:r>
            <w:r w:rsidRPr="00A955AF">
              <w:rPr>
                <w:rFonts w:asciiTheme="minorHAnsi" w:hAnsiTheme="minorHAnsi" w:cs="Arial"/>
              </w:rPr>
              <w:t>referenční registry, integrované datové rozhraní resortu, elektronizaci zdravotnické dokumentace; rozvíjení služeb elektronického zdravotnictví související s ePreskripcí, eNeschopenkou, souhrn</w:t>
            </w:r>
            <w:r w:rsidRPr="00A955AF" w:rsidR="00D2162B">
              <w:rPr>
                <w:rFonts w:asciiTheme="minorHAnsi" w:hAnsiTheme="minorHAnsi" w:cs="Arial"/>
              </w:rPr>
              <w:t xml:space="preserve">em </w:t>
            </w:r>
            <w:r w:rsidRPr="00A955AF">
              <w:rPr>
                <w:rFonts w:asciiTheme="minorHAnsi" w:hAnsiTheme="minorHAnsi" w:cs="Arial"/>
              </w:rPr>
              <w:t>o pacientovi včetně podpory přeshraniční péče, telemedicínská řešení a mHealth)</w:t>
            </w:r>
          </w:p>
          <w:p w:rsidR="00087D3D" w:rsidRPr="00A955AF" w:rsidP="006C359E" w14:paraId="4960A287" w14:textId="77777777">
            <w:pPr>
              <w:pStyle w:val="NormalWeb"/>
              <w:numPr>
                <w:ilvl w:val="0"/>
                <w:numId w:val="38"/>
              </w:numPr>
              <w:jc w:val="both"/>
              <w:rPr>
                <w:rFonts w:asciiTheme="minorHAnsi" w:hAnsiTheme="minorHAnsi" w:cs="Arial"/>
                <w:lang w:eastAsia="en-US"/>
              </w:rPr>
            </w:pPr>
            <w:r w:rsidRPr="00A955AF">
              <w:rPr>
                <w:rFonts w:asciiTheme="minorHAnsi" w:hAnsiTheme="minorHAnsi" w:cs="Arial"/>
                <w:lang w:eastAsia="en-US"/>
              </w:rPr>
              <w:t>P</w:t>
            </w:r>
            <w:r w:rsidRPr="00A955AF">
              <w:rPr>
                <w:rFonts w:asciiTheme="minorHAnsi" w:hAnsiTheme="minorHAnsi" w:cs="Arial"/>
                <w:lang w:eastAsia="en-US"/>
              </w:rPr>
              <w:t>odpora řešení přístupu pacientů k vlastním zdravotním údajům a jejich správě</w:t>
            </w:r>
          </w:p>
          <w:p w:rsidR="002D20E4" w:rsidRPr="00A955AF" w:rsidP="006C359E" w14:paraId="1B47EBBD" w14:textId="77777777">
            <w:pPr>
              <w:pStyle w:val="NormalWeb"/>
              <w:numPr>
                <w:ilvl w:val="0"/>
                <w:numId w:val="38"/>
              </w:numPr>
              <w:jc w:val="both"/>
              <w:rPr>
                <w:rFonts w:asciiTheme="minorHAnsi" w:eastAsiaTheme="minorEastAsia" w:hAnsiTheme="minorHAnsi" w:cs="Arial"/>
                <w:bCs/>
                <w:color w:val="212121"/>
                <w:lang w:eastAsia="en-US"/>
              </w:rPr>
            </w:pPr>
            <w:r w:rsidRPr="00A955AF">
              <w:rPr>
                <w:rFonts w:asciiTheme="minorHAnsi" w:eastAsiaTheme="minorEastAsia" w:hAnsiTheme="minorHAnsi" w:cs="Arial"/>
                <w:bCs/>
                <w:color w:val="212121"/>
                <w:lang w:eastAsia="en-US"/>
              </w:rPr>
              <w:t>P</w:t>
            </w:r>
            <w:r w:rsidRPr="00A955AF">
              <w:rPr>
                <w:rFonts w:asciiTheme="minorHAnsi" w:eastAsiaTheme="minorEastAsia" w:hAnsiTheme="minorHAnsi" w:cs="Arial"/>
                <w:bCs/>
                <w:color w:val="212121"/>
                <w:lang w:eastAsia="en-US"/>
              </w:rPr>
              <w:t>odpor</w:t>
            </w:r>
            <w:r w:rsidRPr="00A955AF" w:rsidR="006461EF">
              <w:rPr>
                <w:rFonts w:asciiTheme="minorHAnsi" w:eastAsiaTheme="minorEastAsia" w:hAnsiTheme="minorHAnsi" w:cs="Arial"/>
                <w:bCs/>
                <w:color w:val="212121"/>
                <w:lang w:eastAsia="en-US"/>
              </w:rPr>
              <w:t>a</w:t>
            </w:r>
            <w:r w:rsidRPr="00A955AF">
              <w:rPr>
                <w:rFonts w:asciiTheme="minorHAnsi" w:eastAsiaTheme="minorEastAsia" w:hAnsiTheme="minorHAnsi" w:cs="Arial"/>
                <w:bCs/>
                <w:color w:val="212121"/>
                <w:lang w:eastAsia="en-US"/>
              </w:rPr>
              <w:t xml:space="preserve"> rozvoj</w:t>
            </w:r>
            <w:r w:rsidRPr="00A955AF" w:rsidR="006461EF">
              <w:rPr>
                <w:rFonts w:asciiTheme="minorHAnsi" w:eastAsiaTheme="minorEastAsia" w:hAnsiTheme="minorHAnsi" w:cs="Arial"/>
                <w:bCs/>
                <w:color w:val="212121"/>
                <w:lang w:eastAsia="en-US"/>
              </w:rPr>
              <w:t>e</w:t>
            </w:r>
            <w:r w:rsidRPr="00A955AF">
              <w:rPr>
                <w:rFonts w:asciiTheme="minorHAnsi" w:eastAsiaTheme="minorEastAsia" w:hAnsiTheme="minorHAnsi" w:cs="Arial"/>
                <w:bCs/>
                <w:color w:val="212121"/>
                <w:lang w:eastAsia="en-US"/>
              </w:rPr>
              <w:t xml:space="preserve"> infrastruktury a pro sdílení zdravotnické dokumentace, zaručenou a bezpečnou komunikaci a</w:t>
            </w:r>
            <w:r w:rsidRPr="00A955AF">
              <w:rPr>
                <w:rFonts w:asciiTheme="minorHAnsi" w:eastAsiaTheme="minorEastAsia" w:hAnsiTheme="minorHAnsi" w:cs="Arial"/>
                <w:bCs/>
                <w:color w:val="212121"/>
                <w:lang w:eastAsia="en-US"/>
              </w:rPr>
              <w:t> </w:t>
            </w:r>
            <w:r w:rsidRPr="00A955AF">
              <w:rPr>
                <w:rFonts w:asciiTheme="minorHAnsi" w:eastAsiaTheme="minorEastAsia" w:hAnsiTheme="minorHAnsi" w:cs="Arial"/>
                <w:bCs/>
                <w:color w:val="212121"/>
                <w:lang w:eastAsia="en-US"/>
              </w:rPr>
              <w:t xml:space="preserve">výměnu informací ve zdravotnictví </w:t>
            </w:r>
          </w:p>
          <w:p w:rsidR="00B25FC6" w:rsidRPr="00A955AF" w:rsidP="006C359E" w14:paraId="312B6B35" w14:textId="77777777">
            <w:pPr>
              <w:pStyle w:val="Default"/>
              <w:numPr>
                <w:ilvl w:val="0"/>
                <w:numId w:val="38"/>
              </w:numPr>
              <w:jc w:val="both"/>
              <w:rPr>
                <w:rFonts w:asciiTheme="minorHAnsi" w:hAnsiTheme="minorHAnsi"/>
                <w:bCs/>
                <w:color w:val="212121"/>
              </w:rPr>
            </w:pPr>
            <w:r w:rsidRPr="00A955AF">
              <w:rPr>
                <w:rFonts w:asciiTheme="minorHAnsi" w:hAnsiTheme="minorHAnsi"/>
                <w:bCs/>
                <w:color w:val="212121"/>
              </w:rPr>
              <w:t>P</w:t>
            </w:r>
            <w:r w:rsidRPr="00A955AF" w:rsidR="00EB6CC8">
              <w:rPr>
                <w:rFonts w:asciiTheme="minorHAnsi" w:hAnsiTheme="minorHAnsi"/>
                <w:bCs/>
                <w:color w:val="212121"/>
              </w:rPr>
              <w:t>odpora rozvoj</w:t>
            </w:r>
            <w:r w:rsidRPr="00A955AF" w:rsidR="006461EF">
              <w:rPr>
                <w:rFonts w:asciiTheme="minorHAnsi" w:hAnsiTheme="minorHAnsi"/>
                <w:bCs/>
                <w:color w:val="212121"/>
              </w:rPr>
              <w:t>e</w:t>
            </w:r>
            <w:r w:rsidRPr="00A955AF" w:rsidR="00EB6CC8">
              <w:rPr>
                <w:rFonts w:asciiTheme="minorHAnsi" w:hAnsiTheme="minorHAnsi"/>
                <w:bCs/>
                <w:color w:val="212121"/>
              </w:rPr>
              <w:t xml:space="preserve"> systému poskytování služeb autoritativních údajů, resortních autoritativních registrů</w:t>
            </w:r>
          </w:p>
          <w:p w:rsidR="00EB6CC8" w:rsidRPr="00A955AF" w:rsidP="006C359E" w14:paraId="69BC96E9" w14:textId="4F1B6852">
            <w:pPr>
              <w:pStyle w:val="Default"/>
              <w:numPr>
                <w:ilvl w:val="0"/>
                <w:numId w:val="38"/>
              </w:numPr>
              <w:jc w:val="both"/>
              <w:rPr>
                <w:rFonts w:asciiTheme="minorHAnsi" w:hAnsiTheme="minorHAnsi"/>
              </w:rPr>
            </w:pPr>
            <w:r w:rsidRPr="00A955AF">
              <w:rPr>
                <w:rFonts w:asciiTheme="minorHAnsi" w:hAnsiTheme="minorHAnsi"/>
                <w:bCs/>
                <w:color w:val="212121"/>
              </w:rPr>
              <w:t>P</w:t>
            </w:r>
            <w:r w:rsidRPr="00A955AF" w:rsidR="00B25FC6">
              <w:rPr>
                <w:rFonts w:asciiTheme="minorHAnsi" w:hAnsiTheme="minorHAnsi"/>
                <w:bCs/>
                <w:color w:val="212121"/>
              </w:rPr>
              <w:t>odpor</w:t>
            </w:r>
            <w:r w:rsidRPr="00A955AF" w:rsidR="006461EF">
              <w:rPr>
                <w:rFonts w:asciiTheme="minorHAnsi" w:hAnsiTheme="minorHAnsi"/>
                <w:bCs/>
                <w:color w:val="212121"/>
              </w:rPr>
              <w:t>a</w:t>
            </w:r>
            <w:r w:rsidRPr="00A955AF" w:rsidR="00B25FC6">
              <w:rPr>
                <w:rFonts w:asciiTheme="minorHAnsi" w:hAnsiTheme="minorHAnsi"/>
                <w:bCs/>
                <w:color w:val="212121"/>
              </w:rPr>
              <w:t xml:space="preserve"> </w:t>
            </w:r>
            <w:r w:rsidRPr="00A955AF" w:rsidR="00330877">
              <w:rPr>
                <w:rFonts w:asciiTheme="minorHAnsi" w:hAnsiTheme="minorHAnsi"/>
                <w:bCs/>
                <w:color w:val="212121"/>
              </w:rPr>
              <w:t xml:space="preserve">a výzkum </w:t>
            </w:r>
            <w:r w:rsidRPr="00A955AF" w:rsidR="00B25FC6">
              <w:rPr>
                <w:rFonts w:asciiTheme="minorHAnsi" w:hAnsiTheme="minorHAnsi"/>
                <w:bCs/>
                <w:color w:val="212121"/>
              </w:rPr>
              <w:t>využití nových</w:t>
            </w:r>
            <w:r w:rsidRPr="00A955AF" w:rsidR="00B25FC6">
              <w:rPr>
                <w:rFonts w:asciiTheme="minorHAnsi" w:hAnsiTheme="minorHAnsi"/>
              </w:rPr>
              <w:t xml:space="preserve"> digitálních technologií</w:t>
            </w:r>
            <w:r w:rsidRPr="00A955AF" w:rsidR="00330877">
              <w:t xml:space="preserve"> </w:t>
            </w:r>
            <w:r w:rsidRPr="00A955AF" w:rsidR="00330877">
              <w:rPr>
                <w:rFonts w:asciiTheme="minorHAnsi" w:hAnsiTheme="minorHAnsi"/>
              </w:rPr>
              <w:t>v</w:t>
            </w:r>
            <w:r w:rsidRPr="00A955AF" w:rsidR="002C7C80">
              <w:rPr>
                <w:rFonts w:asciiTheme="minorHAnsi" w:hAnsiTheme="minorHAnsi"/>
              </w:rPr>
              <w:t> </w:t>
            </w:r>
            <w:r w:rsidRPr="00A955AF" w:rsidR="00330877">
              <w:rPr>
                <w:rFonts w:asciiTheme="minorHAnsi" w:hAnsiTheme="minorHAnsi"/>
              </w:rPr>
              <w:t>oblasti zdravotnictví</w:t>
            </w:r>
          </w:p>
          <w:p w:rsidR="00330877" w:rsidRPr="00A955AF" w:rsidP="006C359E" w14:paraId="3E5D0FA8" w14:textId="743C2986">
            <w:pPr>
              <w:pStyle w:val="ListParagraph"/>
              <w:numPr>
                <w:ilvl w:val="0"/>
                <w:numId w:val="38"/>
              </w:numPr>
            </w:pPr>
            <w:r w:rsidRPr="00A955AF">
              <w:rPr>
                <w:rFonts w:cs="Arial"/>
                <w:bCs w:val="0"/>
                <w:color w:val="000000"/>
                <w:sz w:val="24"/>
                <w:szCs w:val="24"/>
              </w:rPr>
              <w:t xml:space="preserve">Podpora a výzkum technologií mobilního zdravotnictví (mHealth) a telemedicíny na všech úrovních poskytování zdravotní péče, zejména u koncových uživatelů (nemocnice, ambulance, pacienti) </w:t>
            </w:r>
          </w:p>
          <w:p w:rsidR="00A45B19" w:rsidRPr="00C95A26" w:rsidP="006C359E" w14:paraId="1F6E9D79" w14:textId="5D4BAD04">
            <w:pPr>
              <w:pStyle w:val="Default"/>
              <w:numPr>
                <w:ilvl w:val="0"/>
                <w:numId w:val="38"/>
              </w:numPr>
              <w:jc w:val="both"/>
              <w:rPr>
                <w:rFonts w:asciiTheme="minorHAnsi" w:hAnsiTheme="minorHAnsi"/>
              </w:rPr>
            </w:pPr>
            <w:r w:rsidRPr="00A955AF">
              <w:rPr>
                <w:rFonts w:asciiTheme="minorHAnsi" w:hAnsiTheme="minorHAnsi"/>
              </w:rPr>
              <w:t>Podpora a zvyšování digitální zdravotní gramotnosti a</w:t>
            </w:r>
            <w:r w:rsidR="00290224">
              <w:rPr>
                <w:rFonts w:asciiTheme="minorHAnsi" w:hAnsiTheme="minorHAnsi"/>
              </w:rPr>
              <w:t> </w:t>
            </w:r>
            <w:r w:rsidRPr="00A955AF">
              <w:rPr>
                <w:rFonts w:asciiTheme="minorHAnsi" w:hAnsiTheme="minorHAnsi"/>
              </w:rPr>
              <w:t xml:space="preserve">využívání moderních technologií ve </w:t>
            </w:r>
            <w:r w:rsidRPr="00A955AF" w:rsidR="00A955AF">
              <w:rPr>
                <w:rFonts w:asciiTheme="minorHAnsi" w:hAnsiTheme="minorHAnsi"/>
              </w:rPr>
              <w:t>zdravotnictví</w:t>
            </w:r>
            <w:r w:rsidRPr="00A955AF">
              <w:rPr>
                <w:rFonts w:asciiTheme="minorHAnsi" w:hAnsiTheme="minorHAnsi"/>
              </w:rPr>
              <w:t xml:space="preserve"> </w:t>
            </w:r>
          </w:p>
        </w:tc>
      </w:tr>
      <w:tr w14:paraId="0354C038"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4B89AE6B"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A45B19" w:rsidRPr="00A955AF" w14:paraId="7BF50F31" w14:textId="47B8EAC4">
            <w:pPr>
              <w:spacing w:line="276" w:lineRule="auto"/>
              <w:rPr>
                <w:rFonts w:eastAsiaTheme="minorHAnsi" w:cs="Arial"/>
                <w:sz w:val="24"/>
              </w:rPr>
            </w:pPr>
            <w:r w:rsidRPr="00A955AF">
              <w:rPr>
                <w:rFonts w:cs="Arial"/>
                <w:sz w:val="24"/>
              </w:rPr>
              <w:t>MZ</w:t>
            </w:r>
            <w:r w:rsidR="004F358A">
              <w:rPr>
                <w:rFonts w:cs="Arial"/>
                <w:sz w:val="24"/>
              </w:rPr>
              <w:t xml:space="preserve">D – vrchní ředitel sekce </w:t>
            </w:r>
            <w:r w:rsidR="004F646E">
              <w:rPr>
                <w:rFonts w:cs="Arial"/>
                <w:sz w:val="24"/>
              </w:rPr>
              <w:t>informačních technologií</w:t>
            </w:r>
          </w:p>
        </w:tc>
      </w:tr>
      <w:tr w14:paraId="4866F347"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7F2ADDB4"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A45B19" w:rsidRPr="00A955AF" w:rsidP="00A66CA1" w14:paraId="2A88425F" w14:textId="6BDD3C67">
            <w:pPr>
              <w:spacing w:line="276" w:lineRule="auto"/>
              <w:rPr>
                <w:rFonts w:eastAsiaTheme="minorHAnsi" w:cs="Arial"/>
                <w:sz w:val="24"/>
              </w:rPr>
            </w:pPr>
            <w:r>
              <w:rPr>
                <w:rFonts w:cs="Arial"/>
                <w:sz w:val="24"/>
              </w:rPr>
              <w:t xml:space="preserve">ÚZIS, </w:t>
            </w:r>
            <w:r w:rsidRPr="00A955AF">
              <w:rPr>
                <w:rFonts w:cs="Arial"/>
                <w:sz w:val="24"/>
              </w:rPr>
              <w:t>SÚKL, IPVZ,</w:t>
            </w:r>
            <w:r w:rsidR="00832E7E">
              <w:rPr>
                <w:rFonts w:cs="Arial"/>
                <w:sz w:val="24"/>
              </w:rPr>
              <w:t xml:space="preserve"> NCO NZO,</w:t>
            </w:r>
            <w:r w:rsidRPr="00A955AF">
              <w:rPr>
                <w:rFonts w:cs="Arial"/>
                <w:sz w:val="24"/>
              </w:rPr>
              <w:t xml:space="preserve"> SZÚ</w:t>
            </w:r>
            <w:r w:rsidRPr="00A955AF" w:rsidR="00FE7224">
              <w:rPr>
                <w:rFonts w:cs="Arial"/>
                <w:sz w:val="24"/>
              </w:rPr>
              <w:t>,</w:t>
            </w:r>
            <w:r w:rsidR="00832E7E">
              <w:rPr>
                <w:rFonts w:cs="Arial"/>
                <w:sz w:val="24"/>
              </w:rPr>
              <w:t xml:space="preserve"> KHS,</w:t>
            </w:r>
            <w:r w:rsidRPr="00A955AF" w:rsidR="00FE7224">
              <w:rPr>
                <w:rFonts w:cs="Arial"/>
                <w:sz w:val="24"/>
              </w:rPr>
              <w:t xml:space="preserve"> </w:t>
            </w:r>
            <w:r w:rsidRPr="00A955AF" w:rsidR="00832E7E">
              <w:rPr>
                <w:rFonts w:cs="Arial"/>
                <w:sz w:val="24"/>
              </w:rPr>
              <w:t>MV, MPSV, MŠMT, MF,</w:t>
            </w:r>
            <w:r w:rsidR="004F358A">
              <w:rPr>
                <w:rFonts w:cs="Arial"/>
                <w:sz w:val="24"/>
              </w:rPr>
              <w:t xml:space="preserve"> MPO, DIA</w:t>
            </w:r>
            <w:r w:rsidRPr="00A955AF" w:rsidR="00832E7E">
              <w:rPr>
                <w:rFonts w:cs="Arial"/>
                <w:sz w:val="24"/>
              </w:rPr>
              <w:t xml:space="preserve"> </w:t>
            </w:r>
            <w:r w:rsidRPr="00A955AF" w:rsidR="00FE7224">
              <w:rPr>
                <w:rFonts w:cs="Arial"/>
                <w:sz w:val="24"/>
              </w:rPr>
              <w:t>zdravotní pojišťovny</w:t>
            </w:r>
            <w:r w:rsidRPr="00A955AF" w:rsidR="0077454B">
              <w:rPr>
                <w:rFonts w:cs="Arial"/>
                <w:sz w:val="24"/>
              </w:rPr>
              <w:t>, NÚKIB</w:t>
            </w:r>
            <w:r w:rsidRPr="00A955AF" w:rsidR="00E47DE3">
              <w:rPr>
                <w:rFonts w:cs="Arial"/>
                <w:sz w:val="24"/>
              </w:rPr>
              <w:t>, Svaz měst a obcí ČR</w:t>
            </w:r>
            <w:r>
              <w:rPr>
                <w:rFonts w:cs="Arial"/>
                <w:sz w:val="24"/>
              </w:rPr>
              <w:t xml:space="preserve">, kraje, poskytovatelé zdravotních služeb, pacientské organizace, </w:t>
            </w:r>
            <w:r w:rsidR="00F67469">
              <w:rPr>
                <w:rFonts w:cs="Arial"/>
                <w:sz w:val="24"/>
              </w:rPr>
              <w:t>NNO</w:t>
            </w:r>
            <w:r w:rsidR="004F358A">
              <w:rPr>
                <w:rFonts w:cs="Arial"/>
                <w:sz w:val="24"/>
              </w:rPr>
              <w:t xml:space="preserve">, ČSSZ, odborné společnosti, výzkumné organizace zaměřené na zdravotnictví, vzdělávací instituce, </w:t>
            </w:r>
          </w:p>
        </w:tc>
      </w:tr>
      <w:tr w14:paraId="187203AD" w14:textId="77777777" w:rsidTr="00F03B47">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308FD08C"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4F358A" w:rsidRPr="004F358A" w:rsidP="006C359E" w14:paraId="72CE644D" w14:textId="02E3843E">
            <w:pPr>
              <w:pStyle w:val="ListParagraph"/>
              <w:numPr>
                <w:ilvl w:val="1"/>
                <w:numId w:val="56"/>
              </w:numPr>
              <w:rPr>
                <w:rFonts w:cs="Arial"/>
                <w:sz w:val="24"/>
              </w:rPr>
            </w:pPr>
            <w:r w:rsidRPr="004F358A">
              <w:rPr>
                <w:rFonts w:cs="Arial"/>
                <w:sz w:val="24"/>
              </w:rPr>
              <w:t>Primární prevence a ochrana veřejného zdraví</w:t>
            </w:r>
          </w:p>
          <w:p w:rsidR="004F358A" w:rsidRPr="004F358A" w:rsidP="006C359E" w14:paraId="62F1E0A3" w14:textId="5FFF3317">
            <w:pPr>
              <w:pStyle w:val="ListParagraph"/>
              <w:numPr>
                <w:ilvl w:val="1"/>
                <w:numId w:val="56"/>
              </w:numPr>
              <w:rPr>
                <w:rFonts w:cs="Arial"/>
                <w:sz w:val="24"/>
              </w:rPr>
            </w:pPr>
            <w:r w:rsidRPr="004F358A">
              <w:rPr>
                <w:rFonts w:cs="Arial"/>
                <w:sz w:val="24"/>
              </w:rPr>
              <w:t>Sekundární prevence a screeningové programy</w:t>
            </w:r>
          </w:p>
          <w:p w:rsidR="004F358A" w:rsidRPr="004F358A" w:rsidP="004F358A" w14:paraId="63B0B282" w14:textId="1C132D8F">
            <w:pPr>
              <w:rPr>
                <w:rFonts w:cs="Arial"/>
                <w:sz w:val="24"/>
              </w:rPr>
            </w:pPr>
            <w:r>
              <w:rPr>
                <w:rFonts w:cs="Arial"/>
                <w:sz w:val="24"/>
              </w:rPr>
              <w:t xml:space="preserve">1.3 </w:t>
            </w:r>
            <w:r w:rsidR="00434E5A">
              <w:rPr>
                <w:rFonts w:cs="Arial"/>
                <w:sz w:val="24"/>
              </w:rPr>
              <w:t>Léková politika a zvýšení dostupnosti léčiv</w:t>
            </w:r>
          </w:p>
          <w:p w:rsidR="004F358A" w:rsidP="004F358A" w14:paraId="09058080" w14:textId="144B906A">
            <w:pPr>
              <w:rPr>
                <w:rFonts w:cs="Arial"/>
                <w:sz w:val="24"/>
              </w:rPr>
            </w:pPr>
            <w:r>
              <w:rPr>
                <w:rFonts w:cs="Arial"/>
                <w:sz w:val="24"/>
              </w:rPr>
              <w:t>2.1 Reforma primární péče</w:t>
            </w:r>
          </w:p>
          <w:p w:rsidR="004F358A" w:rsidP="004F358A" w14:paraId="5A375326" w14:textId="605B2752">
            <w:pPr>
              <w:rPr>
                <w:rFonts w:cs="Arial"/>
                <w:sz w:val="24"/>
              </w:rPr>
            </w:pPr>
            <w:r>
              <w:rPr>
                <w:rFonts w:cs="Arial"/>
                <w:sz w:val="24"/>
              </w:rPr>
              <w:t>2.2 Personální stabilizace resortu zdravotnictví</w:t>
            </w:r>
          </w:p>
          <w:p w:rsidR="004F358A" w:rsidP="004F358A" w14:paraId="2524B9B9" w14:textId="0FC61587">
            <w:pPr>
              <w:rPr>
                <w:rFonts w:cs="Arial"/>
                <w:sz w:val="24"/>
              </w:rPr>
            </w:pPr>
            <w:r>
              <w:rPr>
                <w:rFonts w:cs="Arial"/>
                <w:sz w:val="24"/>
              </w:rPr>
              <w:t>2.4 Optimalizace systému úhrad ve zdravotnictví</w:t>
            </w:r>
          </w:p>
          <w:p w:rsidR="00890B44" w:rsidRPr="004F358A" w:rsidP="004F358A" w14:paraId="59F49E84" w14:textId="306B43EA">
            <w:pPr>
              <w:rPr>
                <w:rFonts w:cs="Arial"/>
                <w:sz w:val="24"/>
              </w:rPr>
            </w:pPr>
            <w:r>
              <w:rPr>
                <w:rFonts w:cs="Arial"/>
                <w:sz w:val="24"/>
              </w:rPr>
              <w:t xml:space="preserve">3.1 </w:t>
            </w:r>
            <w:r w:rsidRPr="004F358A">
              <w:rPr>
                <w:rFonts w:cs="Arial"/>
                <w:sz w:val="24"/>
              </w:rPr>
              <w:t>Zapojení vědy a výzkumu do řešení prioritních úkolů ve</w:t>
            </w:r>
            <w:r w:rsidR="00D13FED">
              <w:rPr>
                <w:rFonts w:cs="Arial"/>
                <w:sz w:val="24"/>
              </w:rPr>
              <w:t> </w:t>
            </w:r>
            <w:r w:rsidRPr="004F358A">
              <w:rPr>
                <w:rFonts w:cs="Arial"/>
                <w:sz w:val="24"/>
              </w:rPr>
              <w:t>zdravotnictví</w:t>
            </w:r>
          </w:p>
        </w:tc>
      </w:tr>
      <w:tr w14:paraId="35214C5E"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rsidP="00014082" w14:paraId="6903AF87"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8B7B67" w:rsidRPr="00A955AF" w:rsidP="00484AEB" w14:paraId="2169BF6A" w14:textId="77777777">
            <w:pPr>
              <w:spacing w:before="60" w:after="60"/>
              <w:rPr>
                <w:rFonts w:cs="Arial"/>
                <w:sz w:val="24"/>
              </w:rPr>
            </w:pPr>
            <w:r w:rsidRPr="00A955AF">
              <w:rPr>
                <w:rFonts w:cs="Arial"/>
                <w:sz w:val="24"/>
              </w:rPr>
              <w:t>Na úrovni dopadu:</w:t>
            </w:r>
          </w:p>
          <w:p w:rsidR="008B7B67" w:rsidRPr="00A955AF" w:rsidP="006C359E" w14:paraId="70E11322" w14:textId="77777777">
            <w:pPr>
              <w:pStyle w:val="ListParagraph"/>
              <w:numPr>
                <w:ilvl w:val="0"/>
                <w:numId w:val="39"/>
              </w:numPr>
              <w:spacing w:before="60" w:after="60"/>
              <w:rPr>
                <w:rFonts w:cs="Arial"/>
                <w:sz w:val="24"/>
                <w:szCs w:val="24"/>
              </w:rPr>
            </w:pPr>
            <w:r w:rsidRPr="00A955AF">
              <w:rPr>
                <w:rFonts w:cs="Arial"/>
                <w:sz w:val="24"/>
                <w:szCs w:val="24"/>
              </w:rPr>
              <w:t>Počet vytvořených portálových řešení elektronického zdravotnictví (elektronické zdravotní záznamy)</w:t>
            </w:r>
          </w:p>
          <w:p w:rsidR="008B7B67" w:rsidRPr="00A955AF" w:rsidP="008B7B67" w14:paraId="05A7E016" w14:textId="77777777">
            <w:pPr>
              <w:spacing w:before="60" w:after="60"/>
              <w:rPr>
                <w:rFonts w:cs="Arial"/>
                <w:sz w:val="24"/>
              </w:rPr>
            </w:pPr>
            <w:r w:rsidRPr="00A955AF">
              <w:rPr>
                <w:rFonts w:cs="Arial"/>
                <w:sz w:val="24"/>
              </w:rPr>
              <w:t>Na úrovni výsledku/výstupu:</w:t>
            </w:r>
          </w:p>
          <w:p w:rsidR="00484AEB" w:rsidRPr="00A955AF" w:rsidP="006C359E" w14:paraId="144C72A7" w14:textId="77777777">
            <w:pPr>
              <w:pStyle w:val="ListParagraph"/>
              <w:numPr>
                <w:ilvl w:val="0"/>
                <w:numId w:val="39"/>
              </w:numPr>
              <w:spacing w:before="60" w:after="60"/>
              <w:rPr>
                <w:rFonts w:cs="Arial"/>
                <w:sz w:val="24"/>
                <w:szCs w:val="24"/>
              </w:rPr>
            </w:pPr>
            <w:r w:rsidRPr="00A955AF">
              <w:rPr>
                <w:rFonts w:cs="Arial"/>
                <w:sz w:val="24"/>
                <w:szCs w:val="24"/>
              </w:rPr>
              <w:t>Počet</w:t>
            </w:r>
            <w:r w:rsidRPr="00A955AF" w:rsidR="00A45B19">
              <w:rPr>
                <w:rFonts w:cs="Arial"/>
                <w:sz w:val="24"/>
                <w:szCs w:val="24"/>
              </w:rPr>
              <w:t xml:space="preserve"> zaveden</w:t>
            </w:r>
            <w:r w:rsidRPr="00A955AF" w:rsidR="002C4DBE">
              <w:rPr>
                <w:rFonts w:cs="Arial"/>
                <w:sz w:val="24"/>
                <w:szCs w:val="24"/>
              </w:rPr>
              <w:t>ých</w:t>
            </w:r>
            <w:r w:rsidRPr="00A955AF" w:rsidR="00A45B19">
              <w:rPr>
                <w:rFonts w:cs="Arial"/>
                <w:sz w:val="24"/>
                <w:szCs w:val="24"/>
              </w:rPr>
              <w:t xml:space="preserve"> interoperabilních sdílených služeb </w:t>
            </w:r>
          </w:p>
          <w:p w:rsidR="00E106F4" w:rsidRPr="00A955AF" w:rsidP="006C359E" w14:paraId="53D72F28" w14:textId="77777777">
            <w:pPr>
              <w:pStyle w:val="ListParagraph"/>
              <w:numPr>
                <w:ilvl w:val="0"/>
                <w:numId w:val="39"/>
              </w:numPr>
              <w:spacing w:before="60" w:after="60"/>
              <w:rPr>
                <w:rFonts w:cs="Arial"/>
                <w:sz w:val="24"/>
                <w:szCs w:val="24"/>
              </w:rPr>
            </w:pPr>
            <w:r w:rsidRPr="00A955AF">
              <w:rPr>
                <w:rFonts w:cs="Arial"/>
                <w:sz w:val="24"/>
                <w:szCs w:val="24"/>
              </w:rPr>
              <w:t>Počet</w:t>
            </w:r>
            <w:r w:rsidRPr="00A955AF" w:rsidR="00685D69">
              <w:rPr>
                <w:rFonts w:cs="Arial"/>
                <w:sz w:val="24"/>
                <w:szCs w:val="24"/>
              </w:rPr>
              <w:t xml:space="preserve"> </w:t>
            </w:r>
            <w:r w:rsidRPr="00A955AF">
              <w:rPr>
                <w:rFonts w:cs="Arial"/>
                <w:sz w:val="24"/>
                <w:szCs w:val="24"/>
              </w:rPr>
              <w:t xml:space="preserve">zavedených digitálních služeb ve zdravotnictví </w:t>
            </w:r>
          </w:p>
          <w:p w:rsidR="00E106F4" w:rsidRPr="00A955AF" w:rsidP="006C359E" w14:paraId="0138FE1B" w14:textId="77777777">
            <w:pPr>
              <w:pStyle w:val="ListParagraph"/>
              <w:numPr>
                <w:ilvl w:val="0"/>
                <w:numId w:val="39"/>
              </w:numPr>
              <w:spacing w:before="60" w:after="60"/>
              <w:rPr>
                <w:rFonts w:cs="Arial"/>
                <w:sz w:val="24"/>
                <w:szCs w:val="24"/>
              </w:rPr>
            </w:pPr>
            <w:r w:rsidRPr="00A955AF">
              <w:rPr>
                <w:rFonts w:cs="Arial"/>
                <w:sz w:val="24"/>
                <w:szCs w:val="24"/>
              </w:rPr>
              <w:t>Počet</w:t>
            </w:r>
            <w:r w:rsidRPr="00A955AF" w:rsidR="00685D69">
              <w:rPr>
                <w:rFonts w:cs="Arial"/>
                <w:sz w:val="24"/>
                <w:szCs w:val="24"/>
              </w:rPr>
              <w:t xml:space="preserve"> </w:t>
            </w:r>
            <w:r w:rsidRPr="00A955AF">
              <w:rPr>
                <w:rFonts w:cs="Arial"/>
                <w:sz w:val="24"/>
                <w:szCs w:val="24"/>
              </w:rPr>
              <w:t xml:space="preserve">vytvořených modernizovaných systémů elektronického zdravotnictví s novými funkcemi </w:t>
            </w:r>
          </w:p>
          <w:p w:rsidR="00E106F4" w:rsidRPr="00A955AF" w:rsidP="006C359E" w14:paraId="02790CDB" w14:textId="77777777">
            <w:pPr>
              <w:pStyle w:val="ListParagraph"/>
              <w:numPr>
                <w:ilvl w:val="0"/>
                <w:numId w:val="39"/>
              </w:numPr>
              <w:spacing w:before="60" w:after="60"/>
              <w:rPr>
                <w:rFonts w:cs="Arial"/>
                <w:sz w:val="24"/>
                <w:szCs w:val="24"/>
              </w:rPr>
            </w:pPr>
            <w:r w:rsidRPr="00A955AF">
              <w:rPr>
                <w:rFonts w:cs="Arial"/>
                <w:sz w:val="24"/>
                <w:szCs w:val="24"/>
              </w:rPr>
              <w:t xml:space="preserve">Počet podpořených systémů s pokročilými funkcemi </w:t>
            </w:r>
          </w:p>
          <w:p w:rsidR="00A45B19" w:rsidRPr="00A955AF" w:rsidP="006C359E" w14:paraId="78EEE621" w14:textId="2F9F5938">
            <w:pPr>
              <w:pStyle w:val="ListParagraph"/>
              <w:numPr>
                <w:ilvl w:val="0"/>
                <w:numId w:val="39"/>
              </w:numPr>
              <w:spacing w:before="60" w:after="60"/>
              <w:rPr>
                <w:rFonts w:cs="Arial"/>
                <w:sz w:val="24"/>
                <w:szCs w:val="24"/>
              </w:rPr>
            </w:pPr>
            <w:r w:rsidRPr="00A955AF">
              <w:rPr>
                <w:rFonts w:cs="Arial"/>
                <w:sz w:val="24"/>
                <w:szCs w:val="24"/>
              </w:rPr>
              <w:t>Počet vytvořených telemedicínských řešení</w:t>
            </w:r>
            <w:r w:rsidRPr="00A955AF" w:rsidR="006D64D5">
              <w:rPr>
                <w:rFonts w:cs="Arial"/>
                <w:sz w:val="24"/>
                <w:szCs w:val="24"/>
              </w:rPr>
              <w:t xml:space="preserve"> a</w:t>
            </w:r>
            <w:r w:rsidRPr="00A955AF">
              <w:rPr>
                <w:rFonts w:cs="Arial"/>
                <w:sz w:val="24"/>
                <w:szCs w:val="24"/>
              </w:rPr>
              <w:t xml:space="preserve"> technologií mobilního zdravotnictví (mHealth) </w:t>
            </w:r>
          </w:p>
          <w:p w:rsidR="004950BB" w:rsidRPr="00A955AF" w:rsidP="006C359E" w14:paraId="7FFF6AA5" w14:textId="77777777">
            <w:pPr>
              <w:pStyle w:val="ListParagraph"/>
              <w:numPr>
                <w:ilvl w:val="0"/>
                <w:numId w:val="39"/>
              </w:numPr>
              <w:spacing w:before="60" w:after="60"/>
              <w:rPr>
                <w:rFonts w:cs="Arial"/>
                <w:sz w:val="24"/>
                <w:szCs w:val="24"/>
              </w:rPr>
            </w:pPr>
            <w:r w:rsidRPr="00A955AF">
              <w:rPr>
                <w:rFonts w:cs="Arial"/>
                <w:sz w:val="24"/>
                <w:szCs w:val="24"/>
              </w:rPr>
              <w:t>Počet registrovaných/autorizovaných uživatelů portálů</w:t>
            </w:r>
          </w:p>
          <w:p w:rsidR="004950BB" w:rsidRPr="00A955AF" w:rsidP="00B808D3" w14:paraId="04AB27C4" w14:textId="77777777">
            <w:pPr>
              <w:pStyle w:val="ListParagraph"/>
              <w:numPr>
                <w:ilvl w:val="0"/>
                <w:numId w:val="0"/>
              </w:numPr>
              <w:spacing w:before="60" w:after="60"/>
              <w:ind w:left="720"/>
              <w:rPr>
                <w:rFonts w:eastAsiaTheme="minorHAnsi" w:cs="Arial"/>
                <w:sz w:val="24"/>
                <w:szCs w:val="24"/>
              </w:rPr>
            </w:pPr>
          </w:p>
        </w:tc>
      </w:tr>
      <w:tr w14:paraId="4D788C83"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597B7489"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1620D2" w:rsidRPr="00624966" w:rsidP="00624966" w14:paraId="7032830F" w14:textId="1C9A3D08">
            <w:pPr>
              <w:spacing w:line="276" w:lineRule="auto"/>
              <w:rPr>
                <w:rFonts w:cs="Arial"/>
                <w:sz w:val="24"/>
              </w:rPr>
            </w:pPr>
            <w:bookmarkStart w:id="552" w:name="_Toc10196786"/>
            <w:bookmarkStart w:id="553" w:name="_Toc10196913"/>
            <w:bookmarkStart w:id="554" w:name="_Toc10619805"/>
            <w:bookmarkStart w:id="555" w:name="_Toc23407274"/>
            <w:bookmarkStart w:id="556" w:name="_Toc26776981"/>
            <w:bookmarkStart w:id="557" w:name="_Toc40943359"/>
            <w:bookmarkStart w:id="558" w:name="_Toc41566197"/>
            <w:bookmarkStart w:id="559" w:name="_Toc201691377"/>
            <w:bookmarkStart w:id="560" w:name="_Toc203386467"/>
            <w:bookmarkStart w:id="561" w:name="_Toc7697521"/>
            <w:bookmarkStart w:id="562" w:name="_Toc7698292"/>
            <w:bookmarkStart w:id="563" w:name="_Toc7705143"/>
            <w:bookmarkStart w:id="564" w:name="_Toc7705614"/>
            <w:bookmarkStart w:id="565" w:name="_Toc7706130"/>
            <w:bookmarkStart w:id="566" w:name="_Toc7779525"/>
            <w:r w:rsidRPr="00624966">
              <w:rPr>
                <w:rFonts w:cs="Arial"/>
                <w:sz w:val="24"/>
              </w:rPr>
              <w:t xml:space="preserve">Národní strategie elektronického zdravotnictví </w:t>
            </w:r>
            <w:r w:rsidRPr="00624966">
              <w:rPr>
                <w:rFonts w:cs="Arial"/>
                <w:sz w:val="24"/>
              </w:rPr>
              <w:t>na období 2016</w:t>
            </w:r>
            <w:r w:rsidRPr="00624966" w:rsidR="00035CBA">
              <w:rPr>
                <w:rFonts w:cs="Arial"/>
                <w:sz w:val="24"/>
              </w:rPr>
              <w:t>‒</w:t>
            </w:r>
            <w:r w:rsidRPr="00624966">
              <w:rPr>
                <w:rFonts w:cs="Arial"/>
                <w:sz w:val="24"/>
              </w:rPr>
              <w:t>2020 je střednědobý strategický dokument, který na základě znalosti českého zdravotnictví, společenských podmínek a trendů vývoje na úrovni EU a ČR formuluje na období minimálně pěti let strategické cíle a program pro jejich podporu a vychází z Národní strategie ochrany a podpory zdraví a prevence nemocí</w:t>
            </w:r>
            <w:r w:rsidRPr="00624966" w:rsidR="003867EF">
              <w:rPr>
                <w:rFonts w:cs="Arial"/>
                <w:sz w:val="24"/>
              </w:rPr>
              <w:t xml:space="preserve"> Zdraví</w:t>
            </w:r>
            <w:r w:rsidRPr="00624966">
              <w:rPr>
                <w:rFonts w:cs="Arial"/>
                <w:sz w:val="24"/>
              </w:rPr>
              <w:t xml:space="preserve"> 2020</w:t>
            </w:r>
            <w:r w:rsidRPr="00624966" w:rsidR="003867EF">
              <w:rPr>
                <w:rFonts w:cs="Arial"/>
                <w:sz w:val="24"/>
              </w:rPr>
              <w:t>.</w:t>
            </w:r>
            <w:r w:rsidRPr="00624966">
              <w:rPr>
                <w:rFonts w:cs="Arial"/>
                <w:sz w:val="24"/>
              </w:rPr>
              <w:t xml:space="preserve"> Strategie definuje soustavu cílů a opatření, na které jsou navázány jednotlivé implementační projekty.</w:t>
            </w:r>
            <w:bookmarkEnd w:id="552"/>
            <w:bookmarkEnd w:id="553"/>
            <w:bookmarkEnd w:id="554"/>
            <w:bookmarkEnd w:id="555"/>
            <w:bookmarkEnd w:id="556"/>
            <w:bookmarkEnd w:id="557"/>
            <w:bookmarkEnd w:id="558"/>
            <w:bookmarkEnd w:id="559"/>
            <w:bookmarkEnd w:id="560"/>
          </w:p>
          <w:p w:rsidR="00A45B19" w:rsidRPr="00624966" w:rsidP="00624966" w14:paraId="5CDAC7BD" w14:textId="044DB7BD">
            <w:pPr>
              <w:spacing w:line="276" w:lineRule="auto"/>
              <w:rPr>
                <w:rFonts w:cs="Arial"/>
                <w:sz w:val="24"/>
              </w:rPr>
            </w:pPr>
            <w:bookmarkStart w:id="567" w:name="_Toc7697522"/>
            <w:bookmarkStart w:id="568" w:name="_Toc7698293"/>
            <w:bookmarkStart w:id="569" w:name="_Toc7705144"/>
            <w:bookmarkStart w:id="570" w:name="_Toc7705615"/>
            <w:bookmarkStart w:id="571" w:name="_Toc7706131"/>
            <w:bookmarkStart w:id="572" w:name="_Toc7779526"/>
            <w:bookmarkStart w:id="573" w:name="_Toc10196787"/>
            <w:bookmarkStart w:id="574" w:name="_Toc10196914"/>
            <w:bookmarkStart w:id="575" w:name="_Toc10619806"/>
            <w:bookmarkStart w:id="576" w:name="_Toc23407275"/>
            <w:bookmarkStart w:id="577" w:name="_Toc26776982"/>
            <w:bookmarkStart w:id="578" w:name="_Toc40943360"/>
            <w:bookmarkStart w:id="579" w:name="_Toc41566198"/>
            <w:bookmarkStart w:id="580" w:name="_Toc201691378"/>
            <w:bookmarkStart w:id="581" w:name="_Toc203386468"/>
            <w:bookmarkEnd w:id="561"/>
            <w:bookmarkEnd w:id="562"/>
            <w:bookmarkEnd w:id="563"/>
            <w:bookmarkEnd w:id="564"/>
            <w:bookmarkEnd w:id="565"/>
            <w:bookmarkEnd w:id="566"/>
            <w:r w:rsidRPr="00624966">
              <w:rPr>
                <w:rFonts w:cs="Arial"/>
                <w:sz w:val="24"/>
              </w:rPr>
              <w:t>Jsou realizována opatření z přijatého Akčního plánu k Národní strategii elektronického zdravotnictví 2016</w:t>
            </w:r>
            <w:r w:rsidRPr="00624966" w:rsidR="008365B5">
              <w:rPr>
                <w:rFonts w:cs="Arial"/>
                <w:sz w:val="24"/>
              </w:rPr>
              <w:t>–</w:t>
            </w:r>
            <w:r w:rsidRPr="00624966">
              <w:rPr>
                <w:rFonts w:cs="Arial"/>
                <w:sz w:val="24"/>
              </w:rPr>
              <w:t>2020</w:t>
            </w:r>
            <w:r w:rsidRPr="00624966" w:rsidR="001620D2">
              <w:rPr>
                <w:rFonts w:cs="Arial"/>
                <w:sz w:val="24"/>
              </w:rPr>
              <w:t>, který je prováděcím dokumentem Strategie</w:t>
            </w:r>
            <w:r w:rsidRPr="00624966">
              <w:rPr>
                <w:rFonts w:cs="Arial"/>
                <w:sz w:val="24"/>
              </w:rPr>
              <w:t>.</w:t>
            </w:r>
            <w:bookmarkEnd w:id="567"/>
            <w:bookmarkEnd w:id="568"/>
            <w:bookmarkEnd w:id="569"/>
            <w:bookmarkEnd w:id="570"/>
            <w:bookmarkEnd w:id="571"/>
            <w:bookmarkEnd w:id="572"/>
            <w:r w:rsidRPr="00624966">
              <w:rPr>
                <w:rFonts w:cs="Arial"/>
                <w:sz w:val="24"/>
              </w:rPr>
              <w:t xml:space="preserve"> </w:t>
            </w:r>
            <w:r w:rsidRPr="00624966" w:rsidR="001620D2">
              <w:rPr>
                <w:rFonts w:cs="Arial"/>
                <w:sz w:val="24"/>
              </w:rPr>
              <w:t>Smyslem plánů Strategie je rozpracování jejích cílů a opatření do úkolů, projektů a aktivit a</w:t>
            </w:r>
            <w:r w:rsidRPr="00624966" w:rsidR="000B11D8">
              <w:rPr>
                <w:rFonts w:cs="Arial"/>
                <w:sz w:val="24"/>
              </w:rPr>
              <w:t> </w:t>
            </w:r>
            <w:r w:rsidRPr="00624966" w:rsidR="001620D2">
              <w:rPr>
                <w:rFonts w:cs="Arial"/>
                <w:sz w:val="24"/>
              </w:rPr>
              <w:t xml:space="preserve">vymezit postupy, implementační strukturu, harmonogram, finanční zdroje, rozpočet, stanovit způsob vyhodnocení plnění cílů </w:t>
            </w:r>
            <w:r w:rsidRPr="00624966" w:rsidR="00096CA1">
              <w:rPr>
                <w:rFonts w:cs="Arial"/>
                <w:sz w:val="24"/>
              </w:rPr>
              <w:t>a </w:t>
            </w:r>
            <w:r w:rsidRPr="00624966" w:rsidR="001620D2">
              <w:rPr>
                <w:rFonts w:cs="Arial"/>
                <w:sz w:val="24"/>
              </w:rPr>
              <w:t>opatření, vč. sady indikátorů a termínů.</w:t>
            </w:r>
            <w:bookmarkEnd w:id="573"/>
            <w:bookmarkEnd w:id="574"/>
            <w:bookmarkEnd w:id="575"/>
            <w:bookmarkEnd w:id="576"/>
            <w:bookmarkEnd w:id="577"/>
            <w:bookmarkEnd w:id="578"/>
            <w:bookmarkEnd w:id="579"/>
            <w:bookmarkEnd w:id="580"/>
            <w:bookmarkEnd w:id="581"/>
          </w:p>
          <w:p w:rsidR="004F358A" w:rsidRPr="00624966" w:rsidP="00624966" w14:paraId="437FE185" w14:textId="219746E7">
            <w:pPr>
              <w:spacing w:after="200" w:line="276" w:lineRule="auto"/>
              <w:rPr>
                <w:rFonts w:cs="Arial"/>
                <w:sz w:val="24"/>
              </w:rPr>
            </w:pPr>
            <w:bookmarkStart w:id="582" w:name="_Toc201691379"/>
            <w:bookmarkStart w:id="583" w:name="_Toc203386469"/>
            <w:r w:rsidRPr="00624966">
              <w:rPr>
                <w:rFonts w:cs="Arial"/>
                <w:sz w:val="24"/>
              </w:rPr>
              <w:t>Je připraven návrh paragrafového znění zákona o elektronizaci zdravotnictví (zákon č. 325/2021 Sb., o elektronizaci zdravotnictví), který představuje základní právní úpravu elektronizace stávajících procesů, které probíhají v resortu zdravotnictví. V předchozí právní úpravě existovaly pouze některé prvky zavádějící elektronizaci ve</w:t>
            </w:r>
            <w:r w:rsidRPr="00624966" w:rsidR="00D13FED">
              <w:rPr>
                <w:rFonts w:cs="Arial"/>
                <w:sz w:val="24"/>
              </w:rPr>
              <w:t> </w:t>
            </w:r>
            <w:r w:rsidRPr="00624966">
              <w:rPr>
                <w:rFonts w:cs="Arial"/>
                <w:sz w:val="24"/>
              </w:rPr>
              <w:t>zdravotnictví. Předchozí právní úprava byla roztříštěná. Tento stav byl zcela nevyhovující, neboť roztříštěná podoba dílčích právních úprav znemožňuje efektivní řízení systémů elektronického zdravotnictví. Základním principem, ze kterého zákon o</w:t>
            </w:r>
            <w:r w:rsidRPr="00624966" w:rsidR="00D13FED">
              <w:rPr>
                <w:rFonts w:cs="Arial"/>
                <w:sz w:val="24"/>
              </w:rPr>
              <w:t> </w:t>
            </w:r>
            <w:r w:rsidRPr="00624966">
              <w:rPr>
                <w:rFonts w:cs="Arial"/>
                <w:sz w:val="24"/>
              </w:rPr>
              <w:t xml:space="preserve">elektronizaci zdravotnictví vychází, je respekt, k již existujícím procesům ve zdravotnictví a jejich uvedení do souladu se zákonem o elektronizaci zdravotnictví. Přijatý zákon o elektronizaci zdravotnictví </w:t>
            </w:r>
            <w:r w:rsidRPr="00624966" w:rsidR="00C95A26">
              <w:rPr>
                <w:rFonts w:cs="Arial"/>
                <w:sz w:val="24"/>
              </w:rPr>
              <w:t>navazuje</w:t>
            </w:r>
            <w:r w:rsidRPr="00624966">
              <w:rPr>
                <w:rFonts w:cs="Arial"/>
                <w:sz w:val="24"/>
              </w:rPr>
              <w:t xml:space="preserve"> na již právní úpravou zavedený systém, kdy poskytování zdravotních služeb a vše, co s tím souvisí, tedy i vedení zdravotnické dokumentace, je právně upraveno zákonem o</w:t>
            </w:r>
            <w:r w:rsidRPr="00624966" w:rsidR="00D13FED">
              <w:rPr>
                <w:rFonts w:cs="Arial"/>
                <w:sz w:val="24"/>
              </w:rPr>
              <w:t> </w:t>
            </w:r>
            <w:r w:rsidRPr="00624966">
              <w:rPr>
                <w:rFonts w:cs="Arial"/>
                <w:sz w:val="24"/>
              </w:rPr>
              <w:t>zdravotních službách.</w:t>
            </w:r>
            <w:bookmarkStart w:id="584" w:name="_Toc7697524"/>
            <w:bookmarkStart w:id="585" w:name="_Toc7698295"/>
            <w:bookmarkStart w:id="586" w:name="_Toc7705146"/>
            <w:bookmarkStart w:id="587" w:name="_Toc7705617"/>
            <w:bookmarkStart w:id="588" w:name="_Toc7706133"/>
            <w:bookmarkStart w:id="589" w:name="_Toc7779528"/>
            <w:bookmarkStart w:id="590" w:name="_Toc10196789"/>
            <w:bookmarkStart w:id="591" w:name="_Toc10196916"/>
            <w:bookmarkStart w:id="592" w:name="_Toc10619808"/>
            <w:bookmarkStart w:id="593" w:name="_Toc23407277"/>
            <w:bookmarkStart w:id="594" w:name="_Toc26776984"/>
            <w:bookmarkStart w:id="595" w:name="_Toc40943362"/>
            <w:bookmarkStart w:id="596" w:name="_Toc41566200"/>
            <w:bookmarkEnd w:id="582"/>
            <w:bookmarkEnd w:id="583"/>
          </w:p>
          <w:p w:rsidR="004F358A" w:rsidRPr="00624966" w:rsidP="00624966" w14:paraId="135F16F8" w14:textId="2BFAC8D4">
            <w:pPr>
              <w:spacing w:line="276" w:lineRule="auto"/>
              <w:rPr>
                <w:rFonts w:cs="Arial"/>
                <w:sz w:val="24"/>
              </w:rPr>
            </w:pPr>
            <w:bookmarkStart w:id="597" w:name="_Toc201691380"/>
            <w:bookmarkStart w:id="598" w:name="_Toc203386470"/>
            <w:r w:rsidRPr="00624966">
              <w:rPr>
                <w:rFonts w:cs="Arial"/>
                <w:sz w:val="24"/>
              </w:rPr>
              <w:t xml:space="preserve">Roztříštěnost právní úpravy prvků elektronizace zdravotnictví také neumožňovala systémové zavedení moderních a společných pravidel ochrany osobních údajů a požadavků kybernetické </w:t>
            </w:r>
            <w:r w:rsidRPr="00624966">
              <w:rPr>
                <w:rFonts w:cs="Arial"/>
                <w:sz w:val="24"/>
              </w:rPr>
              <w:t>bezpečnosti, což lze označit za principiální nedostatek řešitelný pouze ucelenou právní úpravou elektronizace zdravotnictví jako celku. Zákon zajišťuje potřebný soulad s naplněním požadavků podle následujících právních předpisů a zákonů z oblasti ochrany osobních údajů a kybernetické bezpečnosti.</w:t>
            </w:r>
            <w:bookmarkEnd w:id="597"/>
            <w:bookmarkEnd w:id="598"/>
          </w:p>
          <w:p w:rsidR="00A45B19" w:rsidRPr="00624966" w:rsidP="00624966" w14:paraId="7EFD10C0" w14:textId="0BEDF941">
            <w:pPr>
              <w:spacing w:after="200" w:line="276" w:lineRule="auto"/>
              <w:rPr>
                <w:rFonts w:cs="Arial"/>
                <w:sz w:val="24"/>
              </w:rPr>
            </w:pPr>
            <w:bookmarkStart w:id="599" w:name="_Toc201691381"/>
            <w:bookmarkStart w:id="600" w:name="_Toc203386471"/>
            <w:r w:rsidRPr="00624966">
              <w:rPr>
                <w:rFonts w:cs="Arial"/>
                <w:sz w:val="24"/>
              </w:rPr>
              <w:t xml:space="preserve">Účelná digitalizace se ve zdravotnictví nedá realizovat, </w:t>
            </w:r>
            <w:r w:rsidRPr="00624966" w:rsidR="002C7C80">
              <w:rPr>
                <w:rFonts w:cs="Arial"/>
                <w:sz w:val="24"/>
              </w:rPr>
              <w:t>aniž </w:t>
            </w:r>
            <w:r w:rsidRPr="00624966">
              <w:rPr>
                <w:rFonts w:cs="Arial"/>
                <w:sz w:val="24"/>
              </w:rPr>
              <w:t>by</w:t>
            </w:r>
            <w:r w:rsidRPr="00624966" w:rsidR="000B11D8">
              <w:rPr>
                <w:rFonts w:cs="Arial"/>
                <w:sz w:val="24"/>
              </w:rPr>
              <w:t> </w:t>
            </w:r>
            <w:r w:rsidRPr="00624966">
              <w:rPr>
                <w:rFonts w:cs="Arial"/>
                <w:sz w:val="24"/>
              </w:rPr>
              <w:t>veřejná podpora byla dostupná všem subjektům, podílejícím se</w:t>
            </w:r>
            <w:r w:rsidRPr="00624966" w:rsidR="000B11D8">
              <w:rPr>
                <w:rFonts w:cs="Arial"/>
                <w:sz w:val="24"/>
              </w:rPr>
              <w:t> </w:t>
            </w:r>
            <w:r w:rsidRPr="00624966">
              <w:rPr>
                <w:rFonts w:cs="Arial"/>
                <w:sz w:val="24"/>
              </w:rPr>
              <w:t>na zdravotní péči, počínaje drobnými ambulancemi primární péče, přes laboratoře, polikliniky či lékárny až po velké krajské a</w:t>
            </w:r>
            <w:r w:rsidRPr="00624966" w:rsidR="000B11D8">
              <w:rPr>
                <w:rFonts w:cs="Arial"/>
                <w:sz w:val="24"/>
              </w:rPr>
              <w:t> </w:t>
            </w:r>
            <w:r w:rsidRPr="00624966">
              <w:rPr>
                <w:rFonts w:cs="Arial"/>
                <w:sz w:val="24"/>
              </w:rPr>
              <w:t>fakultní nemocnice. Efektivnost péče o zdraví je závislá na</w:t>
            </w:r>
            <w:r w:rsidRPr="00624966" w:rsidR="000B11D8">
              <w:rPr>
                <w:rFonts w:cs="Arial"/>
                <w:sz w:val="24"/>
              </w:rPr>
              <w:t> </w:t>
            </w:r>
            <w:r w:rsidRPr="00624966">
              <w:rPr>
                <w:rFonts w:cs="Arial"/>
                <w:sz w:val="24"/>
              </w:rPr>
              <w:t>nejslabším článku celého systému péče a intervence tak musí směřovat do celého systému, ke každému subjektu, který je nezbytné zapojit do digitální výměny a sdílení údajů o</w:t>
            </w:r>
            <w:r w:rsidRPr="00624966" w:rsidR="00A66CA1">
              <w:rPr>
                <w:rFonts w:cs="Arial"/>
                <w:sz w:val="24"/>
              </w:rPr>
              <w:t> </w:t>
            </w:r>
            <w:r w:rsidRPr="00624966">
              <w:rPr>
                <w:rFonts w:cs="Arial"/>
                <w:sz w:val="24"/>
              </w:rPr>
              <w:t>zdravotním stavu obča</w:t>
            </w:r>
            <w:r w:rsidRPr="00624966" w:rsidR="00F05C27">
              <w:rPr>
                <w:rFonts w:cs="Arial"/>
                <w:sz w:val="24"/>
              </w:rPr>
              <w:t>n</w:t>
            </w:r>
            <w:r w:rsidRPr="00624966">
              <w:rPr>
                <w:rFonts w:cs="Arial"/>
                <w:sz w:val="24"/>
              </w:rPr>
              <w:t>ů</w:t>
            </w:r>
            <w:r w:rsidRPr="00624966" w:rsidR="005E4509">
              <w:rPr>
                <w:rFonts w:cs="Arial"/>
                <w:sz w:val="24"/>
              </w:rPr>
              <w:t>, pro využití všech zdravotních záznamů potřebných pro zajištění návaznosti péče</w:t>
            </w:r>
            <w:r w:rsidRPr="00624966">
              <w:rPr>
                <w:rFonts w:cs="Arial"/>
                <w:sz w:val="24"/>
              </w:rPr>
              <w:t>.</w:t>
            </w:r>
            <w:bookmarkEnd w:id="599"/>
            <w:bookmarkEnd w:id="600"/>
            <w:r w:rsidRPr="00624966">
              <w:rPr>
                <w:rFonts w:cs="Arial"/>
                <w:sz w:val="24"/>
              </w:rPr>
              <w:t xml:space="preserve"> </w:t>
            </w:r>
            <w:bookmarkEnd w:id="584"/>
            <w:bookmarkEnd w:id="585"/>
            <w:bookmarkEnd w:id="586"/>
            <w:bookmarkEnd w:id="587"/>
            <w:bookmarkEnd w:id="588"/>
            <w:bookmarkEnd w:id="589"/>
            <w:bookmarkEnd w:id="590"/>
            <w:bookmarkEnd w:id="591"/>
            <w:bookmarkEnd w:id="592"/>
            <w:bookmarkEnd w:id="593"/>
            <w:bookmarkEnd w:id="594"/>
            <w:bookmarkEnd w:id="595"/>
            <w:bookmarkEnd w:id="596"/>
          </w:p>
        </w:tc>
      </w:tr>
      <w:tr w14:paraId="66E57C9E"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24B353AF"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A45B19" w:rsidRPr="00F94D4F" w14:paraId="0E9E2F1A" w14:textId="4AD48B35">
            <w:pPr>
              <w:rPr>
                <w:rFonts w:cstheme="minorHAnsi"/>
                <w:color w:val="auto"/>
                <w:sz w:val="24"/>
              </w:rPr>
            </w:pPr>
            <w:r w:rsidRPr="00F94D4F">
              <w:rPr>
                <w:rFonts w:cstheme="minorHAnsi"/>
                <w:sz w:val="24"/>
              </w:rPr>
              <w:t xml:space="preserve">Pro období po roce 2020 </w:t>
            </w:r>
            <w:r w:rsidRPr="00F94D4F" w:rsidR="004F358A">
              <w:rPr>
                <w:rFonts w:cstheme="minorHAnsi"/>
                <w:sz w:val="24"/>
              </w:rPr>
              <w:t>je</w:t>
            </w:r>
            <w:r w:rsidRPr="00F94D4F">
              <w:rPr>
                <w:rFonts w:cstheme="minorHAnsi"/>
                <w:sz w:val="24"/>
              </w:rPr>
              <w:t xml:space="preserve"> charakteristický nástup nových digitálních technologií a postupů v oblasti personalizované medicíny, klinických aplikací umělé inteligence, </w:t>
            </w:r>
            <w:r w:rsidRPr="00F94D4F" w:rsidR="00FD1DCA">
              <w:rPr>
                <w:rFonts w:cstheme="minorHAnsi"/>
                <w:sz w:val="24"/>
              </w:rPr>
              <w:t xml:space="preserve">praktických aplikací </w:t>
            </w:r>
            <w:r w:rsidRPr="00F94D4F">
              <w:rPr>
                <w:rFonts w:cstheme="minorHAnsi"/>
                <w:sz w:val="24"/>
              </w:rPr>
              <w:t>modelů sdílených zdravotních záznamů. Rostoucí měrou se do péče o zdraví zapo</w:t>
            </w:r>
            <w:r w:rsidRPr="00F94D4F" w:rsidR="004F358A">
              <w:rPr>
                <w:rFonts w:cstheme="minorHAnsi"/>
                <w:sz w:val="24"/>
              </w:rPr>
              <w:t>jují</w:t>
            </w:r>
            <w:r w:rsidRPr="00F94D4F">
              <w:rPr>
                <w:rFonts w:cstheme="minorHAnsi"/>
                <w:sz w:val="24"/>
              </w:rPr>
              <w:t xml:space="preserve"> technologie mobilního zdravotnictví (mHealth) a</w:t>
            </w:r>
            <w:r w:rsidR="00D13FED">
              <w:rPr>
                <w:rFonts w:cstheme="minorHAnsi"/>
                <w:sz w:val="24"/>
              </w:rPr>
              <w:t> </w:t>
            </w:r>
            <w:r w:rsidRPr="00F94D4F">
              <w:rPr>
                <w:rFonts w:cstheme="minorHAnsi"/>
                <w:sz w:val="24"/>
              </w:rPr>
              <w:t xml:space="preserve">telemedicína. Klíčový význam nese digitalizace při rozvoji zdravotní gramotnosti obyvatelstva. Zvláštní úsilí </w:t>
            </w:r>
            <w:r w:rsidRPr="00F94D4F" w:rsidR="004F358A">
              <w:rPr>
                <w:rFonts w:cstheme="minorHAnsi"/>
                <w:sz w:val="24"/>
              </w:rPr>
              <w:t>j</w:t>
            </w:r>
            <w:r w:rsidRPr="00F94D4F">
              <w:rPr>
                <w:rFonts w:cstheme="minorHAnsi"/>
                <w:sz w:val="24"/>
              </w:rPr>
              <w:t>e nutné směřovat do</w:t>
            </w:r>
            <w:r w:rsidRPr="00F94D4F" w:rsidR="00A920CC">
              <w:rPr>
                <w:rFonts w:cstheme="minorHAnsi"/>
                <w:sz w:val="24"/>
              </w:rPr>
              <w:t> </w:t>
            </w:r>
            <w:r w:rsidRPr="00F94D4F">
              <w:rPr>
                <w:rFonts w:cstheme="minorHAnsi"/>
                <w:sz w:val="24"/>
              </w:rPr>
              <w:t>rozvoje obecné i specifické digitální gramotnosti pracovníků ve</w:t>
            </w:r>
            <w:r w:rsidRPr="00F94D4F" w:rsidR="00212FB6">
              <w:rPr>
                <w:rFonts w:cstheme="minorHAnsi"/>
                <w:sz w:val="24"/>
              </w:rPr>
              <w:t> </w:t>
            </w:r>
            <w:r w:rsidRPr="00F94D4F">
              <w:rPr>
                <w:rFonts w:cstheme="minorHAnsi"/>
                <w:sz w:val="24"/>
              </w:rPr>
              <w:t xml:space="preserve">zdravotnictví </w:t>
            </w:r>
            <w:r w:rsidRPr="00F94D4F" w:rsidR="00096CA1">
              <w:rPr>
                <w:rFonts w:cstheme="minorHAnsi"/>
                <w:sz w:val="24"/>
              </w:rPr>
              <w:t>a </w:t>
            </w:r>
            <w:r w:rsidRPr="00F94D4F">
              <w:rPr>
                <w:rFonts w:cstheme="minorHAnsi"/>
                <w:sz w:val="24"/>
              </w:rPr>
              <w:t xml:space="preserve">budování důvěry ve služby digitálního zdravotnictví mezi občany </w:t>
            </w:r>
            <w:r w:rsidRPr="00F94D4F" w:rsidR="00096CA1">
              <w:rPr>
                <w:rFonts w:cstheme="minorHAnsi"/>
                <w:sz w:val="24"/>
              </w:rPr>
              <w:t>i </w:t>
            </w:r>
            <w:r w:rsidRPr="00F94D4F">
              <w:rPr>
                <w:rFonts w:cstheme="minorHAnsi"/>
                <w:sz w:val="24"/>
              </w:rPr>
              <w:t>zdravotníky. Digitalizace ve</w:t>
            </w:r>
            <w:r w:rsidRPr="00F94D4F" w:rsidR="00A920CC">
              <w:rPr>
                <w:rFonts w:cstheme="minorHAnsi"/>
                <w:sz w:val="24"/>
              </w:rPr>
              <w:t> </w:t>
            </w:r>
            <w:r w:rsidRPr="00F94D4F">
              <w:rPr>
                <w:rFonts w:cstheme="minorHAnsi"/>
                <w:sz w:val="24"/>
              </w:rPr>
              <w:t>zdravotnictví:</w:t>
            </w:r>
          </w:p>
          <w:p w:rsidR="00A45B19" w:rsidRPr="00F94D4F" w:rsidP="006C359E" w14:paraId="6581B9B5" w14:textId="5DE2AF1F">
            <w:pPr>
              <w:pStyle w:val="ListParagraph"/>
              <w:numPr>
                <w:ilvl w:val="0"/>
                <w:numId w:val="40"/>
              </w:numPr>
              <w:autoSpaceDE/>
              <w:autoSpaceDN/>
              <w:adjustRightInd/>
              <w:spacing w:before="0" w:after="160" w:line="256" w:lineRule="auto"/>
              <w:contextualSpacing/>
              <w:rPr>
                <w:rFonts w:cstheme="minorHAnsi"/>
                <w:sz w:val="24"/>
                <w:szCs w:val="24"/>
              </w:rPr>
            </w:pPr>
            <w:r>
              <w:rPr>
                <w:rFonts w:cstheme="minorHAnsi"/>
                <w:sz w:val="24"/>
                <w:szCs w:val="24"/>
              </w:rPr>
              <w:t>V</w:t>
            </w:r>
            <w:r w:rsidRPr="00F94D4F" w:rsidR="00035CBA">
              <w:rPr>
                <w:rFonts w:cstheme="minorHAnsi"/>
                <w:sz w:val="24"/>
                <w:szCs w:val="24"/>
              </w:rPr>
              <w:t xml:space="preserve">íce </w:t>
            </w:r>
            <w:r w:rsidRPr="00F94D4F">
              <w:rPr>
                <w:rFonts w:cstheme="minorHAnsi"/>
                <w:sz w:val="24"/>
                <w:szCs w:val="24"/>
              </w:rPr>
              <w:t>slouž</w:t>
            </w:r>
            <w:r w:rsidRPr="00F94D4F" w:rsidR="004F358A">
              <w:rPr>
                <w:rFonts w:cstheme="minorHAnsi"/>
                <w:sz w:val="24"/>
                <w:szCs w:val="24"/>
              </w:rPr>
              <w:t>í</w:t>
            </w:r>
            <w:r w:rsidRPr="00F94D4F">
              <w:rPr>
                <w:rFonts w:cstheme="minorHAnsi"/>
                <w:sz w:val="24"/>
                <w:szCs w:val="24"/>
              </w:rPr>
              <w:t xml:space="preserve"> k podpoře reformy zdravotních služeb a</w:t>
            </w:r>
            <w:r w:rsidRPr="00F94D4F" w:rsidR="00A920CC">
              <w:rPr>
                <w:rFonts w:cstheme="minorHAnsi"/>
                <w:sz w:val="24"/>
                <w:szCs w:val="24"/>
              </w:rPr>
              <w:t> </w:t>
            </w:r>
            <w:r w:rsidRPr="00F94D4F">
              <w:rPr>
                <w:rFonts w:cstheme="minorHAnsi"/>
                <w:sz w:val="24"/>
                <w:szCs w:val="24"/>
              </w:rPr>
              <w:t>přístupu k</w:t>
            </w:r>
            <w:r w:rsidRPr="00F94D4F" w:rsidR="00035CBA">
              <w:rPr>
                <w:rFonts w:cstheme="minorHAnsi"/>
                <w:sz w:val="24"/>
                <w:szCs w:val="24"/>
              </w:rPr>
              <w:t> </w:t>
            </w:r>
            <w:r w:rsidRPr="00F94D4F" w:rsidR="00A920CC">
              <w:rPr>
                <w:rFonts w:cstheme="minorHAnsi"/>
                <w:sz w:val="24"/>
                <w:szCs w:val="24"/>
              </w:rPr>
              <w:t>nim</w:t>
            </w:r>
            <w:r w:rsidRPr="00F94D4F" w:rsidR="00035CBA">
              <w:rPr>
                <w:rFonts w:cstheme="minorHAnsi"/>
                <w:sz w:val="24"/>
                <w:szCs w:val="24"/>
              </w:rPr>
              <w:t>,</w:t>
            </w:r>
          </w:p>
          <w:p w:rsidR="00A45B19" w:rsidRPr="00F94D4F" w:rsidP="006C359E" w14:paraId="3CBE369C" w14:textId="2C7CE0BB">
            <w:pPr>
              <w:pStyle w:val="ListParagraph"/>
              <w:numPr>
                <w:ilvl w:val="0"/>
                <w:numId w:val="40"/>
              </w:numPr>
              <w:autoSpaceDE/>
              <w:autoSpaceDN/>
              <w:adjustRightInd/>
              <w:spacing w:before="0" w:after="160" w:line="256" w:lineRule="auto"/>
              <w:contextualSpacing/>
              <w:rPr>
                <w:rFonts w:cstheme="minorHAnsi"/>
                <w:sz w:val="24"/>
                <w:szCs w:val="24"/>
              </w:rPr>
            </w:pPr>
            <w:r>
              <w:rPr>
                <w:rFonts w:cstheme="minorHAnsi"/>
                <w:sz w:val="24"/>
                <w:szCs w:val="24"/>
              </w:rPr>
              <w:t>P</w:t>
            </w:r>
            <w:r w:rsidRPr="00F94D4F" w:rsidR="00C95A26">
              <w:rPr>
                <w:rFonts w:cstheme="minorHAnsi"/>
                <w:sz w:val="24"/>
                <w:szCs w:val="24"/>
              </w:rPr>
              <w:t>osiluje</w:t>
            </w:r>
            <w:r w:rsidRPr="00F94D4F" w:rsidR="00035CBA">
              <w:rPr>
                <w:rFonts w:cstheme="minorHAnsi"/>
                <w:sz w:val="24"/>
                <w:szCs w:val="24"/>
              </w:rPr>
              <w:t xml:space="preserve"> </w:t>
            </w:r>
            <w:r w:rsidRPr="00F94D4F">
              <w:rPr>
                <w:rFonts w:cstheme="minorHAnsi"/>
                <w:sz w:val="24"/>
                <w:szCs w:val="24"/>
              </w:rPr>
              <w:t>možnosti jednotlivců pečovat o vlastní zdraví</w:t>
            </w:r>
            <w:r w:rsidRPr="00F94D4F" w:rsidR="00035CBA">
              <w:rPr>
                <w:rFonts w:cstheme="minorHAnsi"/>
                <w:sz w:val="24"/>
                <w:szCs w:val="24"/>
              </w:rPr>
              <w:t>,</w:t>
            </w:r>
          </w:p>
          <w:p w:rsidR="00A45B19" w:rsidRPr="00F94D4F" w:rsidP="006C359E" w14:paraId="6841E10D" w14:textId="479DD6B7">
            <w:pPr>
              <w:pStyle w:val="ListParagraph"/>
              <w:numPr>
                <w:ilvl w:val="0"/>
                <w:numId w:val="40"/>
              </w:numPr>
              <w:autoSpaceDE/>
              <w:autoSpaceDN/>
              <w:adjustRightInd/>
              <w:spacing w:before="0" w:after="160" w:line="256" w:lineRule="auto"/>
              <w:contextualSpacing/>
              <w:rPr>
                <w:rFonts w:cstheme="minorHAnsi"/>
                <w:sz w:val="24"/>
                <w:szCs w:val="24"/>
              </w:rPr>
            </w:pPr>
            <w:r>
              <w:rPr>
                <w:rFonts w:cstheme="minorHAnsi"/>
                <w:sz w:val="24"/>
                <w:szCs w:val="24"/>
              </w:rPr>
              <w:t>P</w:t>
            </w:r>
            <w:r w:rsidRPr="00F94D4F" w:rsidR="00035CBA">
              <w:rPr>
                <w:rFonts w:cstheme="minorHAnsi"/>
                <w:sz w:val="24"/>
                <w:szCs w:val="24"/>
              </w:rPr>
              <w:t>odpo</w:t>
            </w:r>
            <w:r w:rsidRPr="00F94D4F" w:rsidR="004F358A">
              <w:rPr>
                <w:rFonts w:cstheme="minorHAnsi"/>
                <w:sz w:val="24"/>
                <w:szCs w:val="24"/>
              </w:rPr>
              <w:t>ruje</w:t>
            </w:r>
            <w:r w:rsidRPr="00F94D4F" w:rsidR="00035CBA">
              <w:rPr>
                <w:rFonts w:cstheme="minorHAnsi"/>
                <w:sz w:val="24"/>
                <w:szCs w:val="24"/>
              </w:rPr>
              <w:t xml:space="preserve"> </w:t>
            </w:r>
            <w:r w:rsidRPr="00F94D4F">
              <w:rPr>
                <w:rFonts w:cstheme="minorHAnsi"/>
                <w:sz w:val="24"/>
                <w:szCs w:val="24"/>
              </w:rPr>
              <w:t>celkovou e</w:t>
            </w:r>
            <w:r w:rsidRPr="00F94D4F" w:rsidR="00A920CC">
              <w:rPr>
                <w:rFonts w:cstheme="minorHAnsi"/>
                <w:sz w:val="24"/>
                <w:szCs w:val="24"/>
              </w:rPr>
              <w:t>fektivnost zdravotního systému</w:t>
            </w:r>
            <w:r w:rsidRPr="00F94D4F" w:rsidR="00035CBA">
              <w:rPr>
                <w:rFonts w:cstheme="minorHAnsi"/>
                <w:sz w:val="24"/>
                <w:szCs w:val="24"/>
              </w:rPr>
              <w:t>,</w:t>
            </w:r>
          </w:p>
          <w:p w:rsidR="00A45B19" w:rsidRPr="00F94D4F" w:rsidP="006C359E" w14:paraId="42639C85" w14:textId="611797CB">
            <w:pPr>
              <w:pStyle w:val="ListParagraph"/>
              <w:numPr>
                <w:ilvl w:val="0"/>
                <w:numId w:val="40"/>
              </w:numPr>
              <w:autoSpaceDE/>
              <w:autoSpaceDN/>
              <w:adjustRightInd/>
              <w:spacing w:before="0" w:after="160" w:line="256" w:lineRule="auto"/>
              <w:contextualSpacing/>
              <w:rPr>
                <w:rFonts w:cstheme="minorHAnsi"/>
                <w:sz w:val="24"/>
                <w:szCs w:val="24"/>
              </w:rPr>
            </w:pPr>
            <w:r>
              <w:rPr>
                <w:rFonts w:cstheme="minorHAnsi"/>
                <w:sz w:val="24"/>
                <w:szCs w:val="24"/>
              </w:rPr>
              <w:t>Ú</w:t>
            </w:r>
            <w:r w:rsidRPr="00F94D4F" w:rsidR="00035CBA">
              <w:rPr>
                <w:rFonts w:cstheme="minorHAnsi"/>
                <w:sz w:val="24"/>
                <w:szCs w:val="24"/>
              </w:rPr>
              <w:t xml:space="preserve">čelná </w:t>
            </w:r>
            <w:r w:rsidRPr="00F94D4F">
              <w:rPr>
                <w:rFonts w:cstheme="minorHAnsi"/>
                <w:sz w:val="24"/>
                <w:szCs w:val="24"/>
              </w:rPr>
              <w:t>digitalizace napom</w:t>
            </w:r>
            <w:r w:rsidRPr="00F94D4F" w:rsidR="004F358A">
              <w:rPr>
                <w:rFonts w:cstheme="minorHAnsi"/>
                <w:sz w:val="24"/>
                <w:szCs w:val="24"/>
              </w:rPr>
              <w:t>áhá</w:t>
            </w:r>
            <w:r w:rsidRPr="00F94D4F">
              <w:rPr>
                <w:rFonts w:cstheme="minorHAnsi"/>
                <w:sz w:val="24"/>
                <w:szCs w:val="24"/>
              </w:rPr>
              <w:t xml:space="preserve"> přechodu na integrované, na</w:t>
            </w:r>
            <w:r w:rsidRPr="00F94D4F" w:rsidR="00212FB6">
              <w:rPr>
                <w:rFonts w:cstheme="minorHAnsi"/>
                <w:sz w:val="24"/>
                <w:szCs w:val="24"/>
              </w:rPr>
              <w:t> </w:t>
            </w:r>
            <w:r w:rsidRPr="00F94D4F">
              <w:rPr>
                <w:rFonts w:cstheme="minorHAnsi"/>
                <w:sz w:val="24"/>
                <w:szCs w:val="24"/>
              </w:rPr>
              <w:t>jednotlivce zaměřené modely péče a usnadní přesun od</w:t>
            </w:r>
            <w:r w:rsidRPr="00F94D4F" w:rsidR="00A920CC">
              <w:rPr>
                <w:rFonts w:cstheme="minorHAnsi"/>
                <w:sz w:val="24"/>
                <w:szCs w:val="24"/>
              </w:rPr>
              <w:t> léčby k</w:t>
            </w:r>
            <w:r w:rsidRPr="00F94D4F" w:rsidR="00035CBA">
              <w:rPr>
                <w:rFonts w:cstheme="minorHAnsi"/>
                <w:sz w:val="24"/>
                <w:szCs w:val="24"/>
              </w:rPr>
              <w:t> </w:t>
            </w:r>
            <w:r w:rsidRPr="00F94D4F" w:rsidR="00A920CC">
              <w:rPr>
                <w:rFonts w:cstheme="minorHAnsi"/>
                <w:sz w:val="24"/>
                <w:szCs w:val="24"/>
              </w:rPr>
              <w:t>prevenci</w:t>
            </w:r>
            <w:r w:rsidRPr="00F94D4F" w:rsidR="00035CBA">
              <w:rPr>
                <w:rFonts w:cstheme="minorHAnsi"/>
                <w:sz w:val="24"/>
                <w:szCs w:val="24"/>
              </w:rPr>
              <w:t>,</w:t>
            </w:r>
          </w:p>
          <w:p w:rsidR="00A45B19" w:rsidRPr="00F94D4F" w:rsidP="006C359E" w14:paraId="02786A45" w14:textId="36FFB64F">
            <w:pPr>
              <w:pStyle w:val="ListParagraph"/>
              <w:numPr>
                <w:ilvl w:val="0"/>
                <w:numId w:val="40"/>
              </w:numPr>
              <w:autoSpaceDE/>
              <w:autoSpaceDN/>
              <w:adjustRightInd/>
              <w:spacing w:before="0" w:after="160" w:line="256" w:lineRule="auto"/>
              <w:contextualSpacing/>
              <w:rPr>
                <w:rFonts w:cstheme="minorHAnsi"/>
                <w:sz w:val="24"/>
                <w:szCs w:val="24"/>
              </w:rPr>
            </w:pPr>
            <w:r>
              <w:rPr>
                <w:rFonts w:cstheme="minorHAnsi"/>
                <w:sz w:val="24"/>
                <w:szCs w:val="24"/>
              </w:rPr>
              <w:t>D</w:t>
            </w:r>
            <w:r w:rsidRPr="00F94D4F" w:rsidR="00035CBA">
              <w:rPr>
                <w:rFonts w:cstheme="minorHAnsi"/>
                <w:sz w:val="24"/>
                <w:szCs w:val="24"/>
              </w:rPr>
              <w:t xml:space="preserve">igitální </w:t>
            </w:r>
            <w:r w:rsidRPr="00F94D4F">
              <w:rPr>
                <w:rFonts w:cstheme="minorHAnsi"/>
                <w:sz w:val="24"/>
                <w:szCs w:val="24"/>
              </w:rPr>
              <w:t xml:space="preserve">technologie a inovace </w:t>
            </w:r>
            <w:r w:rsidRPr="00F94D4F" w:rsidR="004F358A">
              <w:rPr>
                <w:rFonts w:cstheme="minorHAnsi"/>
                <w:sz w:val="24"/>
                <w:szCs w:val="24"/>
              </w:rPr>
              <w:t>usnadňují</w:t>
            </w:r>
            <w:r w:rsidRPr="00F94D4F">
              <w:rPr>
                <w:rFonts w:cstheme="minorHAnsi"/>
                <w:sz w:val="24"/>
                <w:szCs w:val="24"/>
              </w:rPr>
              <w:t xml:space="preserve"> dosažení strategických zá</w:t>
            </w:r>
            <w:r w:rsidRPr="00F94D4F" w:rsidR="00A920CC">
              <w:rPr>
                <w:rFonts w:cstheme="minorHAnsi"/>
                <w:sz w:val="24"/>
                <w:szCs w:val="24"/>
              </w:rPr>
              <w:t>měrů v oblasti veřejného zdraví</w:t>
            </w:r>
            <w:r w:rsidRPr="00F94D4F" w:rsidR="00035CBA">
              <w:rPr>
                <w:rFonts w:cstheme="minorHAnsi"/>
                <w:sz w:val="24"/>
                <w:szCs w:val="24"/>
              </w:rPr>
              <w:t>.</w:t>
            </w:r>
          </w:p>
          <w:p w:rsidR="00A45B19" w:rsidRPr="00F94D4F" w14:paraId="60918546" w14:textId="77777777">
            <w:pPr>
              <w:spacing w:before="60" w:after="60"/>
              <w:rPr>
                <w:rFonts w:cstheme="minorHAnsi"/>
                <w:sz w:val="24"/>
              </w:rPr>
            </w:pPr>
            <w:r w:rsidRPr="00F94D4F">
              <w:rPr>
                <w:rFonts w:cstheme="minorHAnsi"/>
                <w:sz w:val="24"/>
              </w:rPr>
              <w:t>Zdravotní záznamy u poskytovatelů zdravotních služeb budou vznikat, budou uchovávány a sdíleny elektronicky prostřednictví</w:t>
            </w:r>
            <w:r w:rsidRPr="00F94D4F" w:rsidR="00FD1DCA">
              <w:rPr>
                <w:rFonts w:cstheme="minorHAnsi"/>
                <w:sz w:val="24"/>
              </w:rPr>
              <w:t>m</w:t>
            </w:r>
            <w:r w:rsidRPr="00F94D4F">
              <w:rPr>
                <w:rFonts w:cstheme="minorHAnsi"/>
                <w:sz w:val="24"/>
              </w:rPr>
              <w:t xml:space="preserve"> robustní IT infrastruktury s vysokou úrovní kybernetické bezpečnosti a s vysokým důrazem na ochranu soukromí občanů. Digitalizace se stane hybnou silou při rozvoji konceptů integrované </w:t>
            </w:r>
            <w:r w:rsidRPr="00F94D4F">
              <w:rPr>
                <w:rFonts w:cstheme="minorHAnsi"/>
                <w:sz w:val="24"/>
              </w:rPr>
              <w:t>péče. Každý občan, který se nerozhodne jinak, bude mít k dispozici sdílený osobní elektronický zdravotní záznam, digitální technologie budou všudypřítomnou součástí péče o zdraví i</w:t>
            </w:r>
            <w:r w:rsidRPr="00F94D4F" w:rsidR="00212FB6">
              <w:rPr>
                <w:rFonts w:cstheme="minorHAnsi"/>
                <w:sz w:val="24"/>
              </w:rPr>
              <w:t> </w:t>
            </w:r>
            <w:r w:rsidRPr="00F94D4F">
              <w:rPr>
                <w:rFonts w:cstheme="minorHAnsi"/>
                <w:sz w:val="24"/>
              </w:rPr>
              <w:t>celého zdravotnictví.</w:t>
            </w:r>
          </w:p>
          <w:p w:rsidR="005E4509" w:rsidRPr="00F94D4F" w:rsidP="00DD58D9" w14:paraId="49B2AEB7" w14:textId="77777777">
            <w:pPr>
              <w:spacing w:before="60" w:after="60"/>
              <w:rPr>
                <w:rFonts w:cstheme="minorHAnsi"/>
                <w:sz w:val="24"/>
              </w:rPr>
            </w:pPr>
            <w:r w:rsidRPr="00F94D4F">
              <w:rPr>
                <w:rFonts w:cstheme="minorHAnsi"/>
                <w:sz w:val="24"/>
              </w:rPr>
              <w:t>Legislativní podpora a reálná podpora standardizace v oblasti vedení a</w:t>
            </w:r>
            <w:r w:rsidRPr="00F94D4F" w:rsidR="00212FB6">
              <w:rPr>
                <w:rFonts w:cstheme="minorHAnsi"/>
                <w:sz w:val="24"/>
              </w:rPr>
              <w:t> </w:t>
            </w:r>
            <w:r w:rsidRPr="00F94D4F">
              <w:rPr>
                <w:rFonts w:cstheme="minorHAnsi"/>
                <w:sz w:val="24"/>
              </w:rPr>
              <w:t>sdílení zdravotních záznamů a v oblasti mobilního elektronického zdravotnictví a telemedicíny, včetně certifikace informačních systémů a</w:t>
            </w:r>
            <w:r w:rsidRPr="00F94D4F" w:rsidR="00212FB6">
              <w:rPr>
                <w:rFonts w:cstheme="minorHAnsi"/>
                <w:sz w:val="24"/>
              </w:rPr>
              <w:t> </w:t>
            </w:r>
            <w:r w:rsidRPr="00F94D4F">
              <w:rPr>
                <w:rFonts w:cstheme="minorHAnsi"/>
                <w:sz w:val="24"/>
              </w:rPr>
              <w:t>služeb digitálního zdravotnictví zásadním způsobem přispějí k rozvoji trhu s IT řešeními pro zdravotnictví.</w:t>
            </w:r>
          </w:p>
        </w:tc>
      </w:tr>
      <w:tr w14:paraId="1A71509F" w14:textId="77777777" w:rsidTr="00F03B47">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A45B19" w:rsidRPr="00A955AF" w14:paraId="0CEAA6F2"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690C6F" w:rsidRPr="00F614DD" w:rsidP="00690C6F" w14:paraId="7E8FFA02" w14:textId="2CF3B7BE">
            <w:pPr>
              <w:rPr>
                <w:rFonts w:cs="Arial"/>
                <w:sz w:val="24"/>
              </w:rPr>
            </w:pPr>
            <w:r w:rsidRPr="00F614DD">
              <w:rPr>
                <w:rFonts w:cs="Arial"/>
                <w:sz w:val="24"/>
              </w:rPr>
              <w:t xml:space="preserve">Státní rozpočet, </w:t>
            </w:r>
            <w:r w:rsidRPr="00F614DD" w:rsidR="00AE2BBA">
              <w:rPr>
                <w:rFonts w:cs="Arial"/>
                <w:sz w:val="24"/>
              </w:rPr>
              <w:t>fondy EU</w:t>
            </w:r>
            <w:r w:rsidR="004F358A">
              <w:rPr>
                <w:rFonts w:cs="Arial"/>
                <w:sz w:val="24"/>
              </w:rPr>
              <w:t xml:space="preserve"> (2021+, 2028+)</w:t>
            </w:r>
            <w:r w:rsidR="00670E0B">
              <w:rPr>
                <w:rFonts w:cs="Arial"/>
                <w:sz w:val="24"/>
              </w:rPr>
              <w:t>, v</w:t>
            </w:r>
            <w:r w:rsidRPr="00F614DD">
              <w:rPr>
                <w:rFonts w:cs="Arial"/>
                <w:sz w:val="24"/>
              </w:rPr>
              <w:t>ládní program Digitalizace ČR 2018+</w:t>
            </w:r>
          </w:p>
          <w:p w:rsidR="00A45B19" w:rsidRPr="00A955AF" w:rsidP="00F614DD" w14:paraId="7477291E" w14:textId="26C77DF3">
            <w:pPr>
              <w:rPr>
                <w:rFonts w:eastAsiaTheme="minorHAnsi" w:cs="Arial"/>
                <w:sz w:val="24"/>
              </w:rPr>
            </w:pPr>
            <w:r w:rsidRPr="00F614DD">
              <w:rPr>
                <w:rFonts w:cs="Arial"/>
                <w:sz w:val="24"/>
              </w:rPr>
              <w:t>Finanční mechanismy EK – Digital Europe Programme (DEP), ERDF/</w:t>
            </w:r>
            <w:r w:rsidRPr="00F614DD" w:rsidR="00AE2BBA">
              <w:rPr>
                <w:rFonts w:cs="Arial"/>
                <w:sz w:val="24"/>
              </w:rPr>
              <w:t>fondy EU</w:t>
            </w:r>
            <w:r w:rsidRPr="00F614DD">
              <w:rPr>
                <w:rFonts w:cs="Arial"/>
                <w:sz w:val="24"/>
              </w:rPr>
              <w:t xml:space="preserve">, program Connecting Europe Facility (CEF), </w:t>
            </w:r>
            <w:r w:rsidRPr="00F614DD" w:rsidR="002C7C80">
              <w:rPr>
                <w:rFonts w:cs="Arial"/>
                <w:sz w:val="24"/>
              </w:rPr>
              <w:t>The </w:t>
            </w:r>
            <w:r w:rsidRPr="00F614DD">
              <w:rPr>
                <w:rFonts w:cs="Arial"/>
                <w:sz w:val="24"/>
              </w:rPr>
              <w:t>Invest EU Programme (InvestEU),</w:t>
            </w:r>
            <w:r w:rsidRPr="00F614DD" w:rsidR="003E4058">
              <w:rPr>
                <w:rFonts w:cs="Arial"/>
                <w:sz w:val="24"/>
              </w:rPr>
              <w:t xml:space="preserve"> Structural</w:t>
            </w:r>
            <w:r w:rsidRPr="00F614DD">
              <w:rPr>
                <w:rFonts w:cs="Arial"/>
                <w:sz w:val="24"/>
              </w:rPr>
              <w:t xml:space="preserve"> Reform Suport Programme, Horizon Europe (HE), eHealth Network (</w:t>
            </w:r>
            <w:r w:rsidR="00646F1A">
              <w:rPr>
                <w:rFonts w:cs="Arial"/>
                <w:sz w:val="24"/>
              </w:rPr>
              <w:t>EU4Health</w:t>
            </w:r>
            <w:r w:rsidRPr="00F614DD">
              <w:rPr>
                <w:rFonts w:cs="Arial"/>
                <w:sz w:val="24"/>
              </w:rPr>
              <w:t>).</w:t>
            </w:r>
          </w:p>
        </w:tc>
      </w:tr>
    </w:tbl>
    <w:p w:rsidR="00A45B19" w:rsidRPr="00A955AF" w:rsidP="00A45B19" w14:paraId="082EACD2" w14:textId="77777777"/>
    <w:p w:rsidR="00690C6F" w:rsidRPr="00A955AF" w14:paraId="01A8AB97" w14:textId="77777777">
      <w:pPr>
        <w:spacing w:before="0" w:line="264" w:lineRule="auto"/>
        <w:jc w:val="left"/>
      </w:pPr>
      <w:r w:rsidRPr="00A955AF">
        <w:br w:type="page"/>
      </w:r>
    </w:p>
    <w:p w:rsidR="00244EE3" w:rsidRPr="00A955AF" w:rsidP="00F614DD" w14:paraId="3ECB7548" w14:textId="11BF9FCF">
      <w:pPr>
        <w:pStyle w:val="NA2"/>
      </w:pPr>
      <w:bookmarkStart w:id="601" w:name="_Toc7705147"/>
      <w:bookmarkStart w:id="602" w:name="_Toc7705618"/>
      <w:bookmarkStart w:id="603" w:name="_Toc256000056"/>
      <w:r>
        <w:t xml:space="preserve">SC 2.4 </w:t>
      </w:r>
      <w:r w:rsidRPr="00A955AF">
        <w:t>Optimalizace systému úhrad ve zdravotnictví</w:t>
      </w:r>
      <w:bookmarkEnd w:id="603"/>
      <w:bookmarkEnd w:id="601"/>
      <w:bookmarkEnd w:id="602"/>
    </w:p>
    <w:p w:rsidR="00F05C27" w:rsidRPr="00A955AF" w:rsidP="00F05C27" w14:paraId="1E5F1231" w14:textId="2E053594">
      <w:pPr>
        <w:rPr>
          <w:rFonts w:eastAsiaTheme="minorHAnsi" w:cs="Arial"/>
          <w:color w:val="222222"/>
          <w:sz w:val="24"/>
        </w:rPr>
      </w:pPr>
      <w:r w:rsidRPr="00A955AF">
        <w:rPr>
          <w:rFonts w:cs="Arial"/>
          <w:color w:val="222222"/>
          <w:sz w:val="24"/>
        </w:rPr>
        <w:t>Zajištění dlouhodobě udržitelného financování českého zdravotnictví je zásadním úkolem, který podmiňuje dostupnost, kvalitu i výsledky zdravotní a zdravotně sociální péče pro</w:t>
      </w:r>
      <w:r w:rsidRPr="00A955AF" w:rsidR="0034150C">
        <w:rPr>
          <w:rFonts w:cs="Arial"/>
          <w:color w:val="222222"/>
          <w:sz w:val="24"/>
        </w:rPr>
        <w:t> </w:t>
      </w:r>
      <w:r w:rsidRPr="00A955AF">
        <w:rPr>
          <w:rFonts w:cs="Arial"/>
          <w:color w:val="222222"/>
          <w:sz w:val="24"/>
        </w:rPr>
        <w:t xml:space="preserve">všechny občany ČR. Jde o oblast, která primárně vyžaduje meziresortní spolupráci, </w:t>
      </w:r>
      <w:r w:rsidRPr="00A955AF" w:rsidR="002C7C80">
        <w:rPr>
          <w:rFonts w:cs="Arial"/>
          <w:color w:val="222222"/>
          <w:sz w:val="24"/>
        </w:rPr>
        <w:t>neboť </w:t>
      </w:r>
      <w:r w:rsidRPr="00A955AF">
        <w:rPr>
          <w:rFonts w:cs="Arial"/>
          <w:color w:val="222222"/>
          <w:sz w:val="24"/>
        </w:rPr>
        <w:t>udržitelné transparentní financování zdravotní péče není pouze otázkou objemu prostředků na příjmové straně veřejného zdravotního pojištění, ale zahrnuje také zvyšování efektivnosti poskytovaných služeb prostřednictví</w:t>
      </w:r>
      <w:r w:rsidRPr="00A955AF" w:rsidR="00FD1DCA">
        <w:rPr>
          <w:rFonts w:cs="Arial"/>
          <w:color w:val="222222"/>
          <w:sz w:val="24"/>
        </w:rPr>
        <w:t>m</w:t>
      </w:r>
      <w:r w:rsidRPr="00A955AF">
        <w:rPr>
          <w:rFonts w:cs="Arial"/>
          <w:color w:val="222222"/>
          <w:sz w:val="24"/>
        </w:rPr>
        <w:t xml:space="preserve"> změn kompetencí (gesce resortu zdravotnictví), plánování příjmů a výdajů a zvyšování stability vícezdrojovým financováním (spolupráce s resortem financí) a rovněž nutné změny v organizaci zdravotních služeb (spolupráce s resortem ministerstva pro místní rozvoj), včetně plánování služeb </w:t>
      </w:r>
      <w:r w:rsidRPr="00A955AF" w:rsidR="002C7C80">
        <w:rPr>
          <w:rFonts w:cs="Arial"/>
          <w:color w:val="222222"/>
          <w:sz w:val="24"/>
        </w:rPr>
        <w:t>na </w:t>
      </w:r>
      <w:r w:rsidRPr="00A955AF">
        <w:rPr>
          <w:rFonts w:cs="Arial"/>
          <w:color w:val="222222"/>
          <w:sz w:val="24"/>
        </w:rPr>
        <w:t>zdravotně</w:t>
      </w:r>
      <w:r w:rsidR="00871905">
        <w:rPr>
          <w:rFonts w:cs="Arial"/>
          <w:color w:val="222222"/>
          <w:sz w:val="24"/>
        </w:rPr>
        <w:t xml:space="preserve"> </w:t>
      </w:r>
      <w:r w:rsidRPr="00A955AF">
        <w:rPr>
          <w:rFonts w:cs="Arial"/>
          <w:color w:val="222222"/>
          <w:sz w:val="24"/>
        </w:rPr>
        <w:t>sociálním pomezí (spolu s resortem práce a sociálních věcí). Plánovité zajištění dostatečného objemu a</w:t>
      </w:r>
      <w:r w:rsidRPr="00A955AF" w:rsidR="0034150C">
        <w:rPr>
          <w:rFonts w:cs="Arial"/>
          <w:color w:val="222222"/>
          <w:sz w:val="24"/>
        </w:rPr>
        <w:t> </w:t>
      </w:r>
      <w:r w:rsidRPr="00A955AF">
        <w:rPr>
          <w:rFonts w:cs="Arial"/>
          <w:color w:val="222222"/>
          <w:sz w:val="24"/>
        </w:rPr>
        <w:t>struktury úhrad vyžaduje robustní informační základnu zahrnující prediktivní modely ověřované přímo v praxi poskytovatelů zdravotních služeb; z tohoto důvodu mají zásadní význam referenční sítě poskytovatelů sledující reálná nákladová data. Oblast úhrad zdravotních služeb je také spojena s častým prosazováním zájmů, ať již jednotlivých segmentů péče</w:t>
      </w:r>
      <w:r w:rsidR="00035CBA">
        <w:rPr>
          <w:rFonts w:cs="Arial"/>
          <w:color w:val="222222"/>
          <w:sz w:val="24"/>
        </w:rPr>
        <w:t>,</w:t>
      </w:r>
      <w:r w:rsidRPr="00A955AF">
        <w:rPr>
          <w:rFonts w:cs="Arial"/>
          <w:color w:val="222222"/>
          <w:sz w:val="24"/>
        </w:rPr>
        <w:t xml:space="preserve"> nebo poskytovatelů – z tohoto důvodu je nezbytné, </w:t>
      </w:r>
      <w:r w:rsidRPr="00A955AF" w:rsidR="002C7C80">
        <w:rPr>
          <w:rFonts w:cs="Arial"/>
          <w:color w:val="222222"/>
          <w:sz w:val="24"/>
        </w:rPr>
        <w:t>aby </w:t>
      </w:r>
      <w:r w:rsidRPr="00A955AF">
        <w:rPr>
          <w:rFonts w:cs="Arial"/>
          <w:color w:val="222222"/>
          <w:sz w:val="24"/>
        </w:rPr>
        <w:t xml:space="preserve">makroekonomické plánování bylo založeno </w:t>
      </w:r>
      <w:r w:rsidRPr="00A955AF" w:rsidR="00FD1DCA">
        <w:rPr>
          <w:rFonts w:cs="Arial"/>
          <w:color w:val="222222"/>
          <w:sz w:val="24"/>
        </w:rPr>
        <w:t>n</w:t>
      </w:r>
      <w:r w:rsidRPr="00A955AF">
        <w:rPr>
          <w:rFonts w:cs="Arial"/>
          <w:color w:val="222222"/>
          <w:sz w:val="24"/>
        </w:rPr>
        <w:t xml:space="preserve">a zaručených resortních datech, verifikovatelně získávaných v rámci systému elektronického zdravotnictví. </w:t>
      </w:r>
    </w:p>
    <w:p w:rsidR="00F05C27" w:rsidRPr="00A955AF" w:rsidP="00F05C27" w14:paraId="4049A83C" w14:textId="77777777">
      <w:pPr>
        <w:rPr>
          <w:rFonts w:cs="Arial"/>
          <w:color w:val="222222"/>
          <w:sz w:val="24"/>
        </w:rPr>
      </w:pPr>
      <w:r w:rsidRPr="00A955AF">
        <w:rPr>
          <w:rFonts w:cs="Arial"/>
          <w:color w:val="222222"/>
          <w:sz w:val="24"/>
        </w:rPr>
        <w:t>Vedle výše uvedených dimenzí musí plánovitá optimalizace systému úhrad zdravotních služeb stále více akcentovat exaktní hodnocení nových zdr</w:t>
      </w:r>
      <w:r w:rsidRPr="00A955AF" w:rsidR="0034150C">
        <w:rPr>
          <w:rFonts w:cs="Arial"/>
          <w:color w:val="222222"/>
          <w:sz w:val="24"/>
        </w:rPr>
        <w:t>avotnických technologií, léků a </w:t>
      </w:r>
      <w:r w:rsidRPr="00A955AF">
        <w:rPr>
          <w:rFonts w:cs="Arial"/>
          <w:color w:val="222222"/>
          <w:sz w:val="24"/>
        </w:rPr>
        <w:t>inovací v diagnostických a klinických doporučených postupech. Nejde pouze o modely posuzující samotný dopad inovací do rozpočtu, vzhledem k limitovaným finančním zdrojům je nezbytné implementovat exaktní metodiky kritického hodnocení nových technologií, včetně hodnocení nákladové efektivity. Implementací těchto metodik stát garantuje svým občanům uvážené vynakládání veřejných prostředků pouze na takové technologie, které</w:t>
      </w:r>
      <w:r w:rsidRPr="00A955AF" w:rsidR="0034150C">
        <w:t> </w:t>
      </w:r>
      <w:r w:rsidRPr="00A955AF">
        <w:rPr>
          <w:rFonts w:cs="Arial"/>
          <w:color w:val="222222"/>
          <w:sz w:val="24"/>
        </w:rPr>
        <w:t>přinesou slibovaný efekt a zaručí bezpečí léčených pacientů.</w:t>
      </w:r>
    </w:p>
    <w:p w:rsidR="00F05C27" w:rsidRPr="00A955AF" w:rsidP="00C90B8A" w14:paraId="64C7D5BE" w14:textId="0C412BB1">
      <w:pPr>
        <w:pStyle w:val="Bntext"/>
        <w:spacing w:line="240" w:lineRule="auto"/>
        <w:ind w:firstLine="0"/>
        <w:rPr>
          <w:rFonts w:asciiTheme="minorHAnsi" w:hAnsiTheme="minorHAnsi" w:cs="Arial"/>
          <w:sz w:val="24"/>
          <w:lang w:val="cs-CZ"/>
        </w:rPr>
      </w:pPr>
      <w:r w:rsidRPr="00A955AF">
        <w:rPr>
          <w:rFonts w:asciiTheme="minorHAnsi" w:hAnsiTheme="minorHAnsi" w:cs="Arial"/>
          <w:color w:val="222222"/>
          <w:sz w:val="24"/>
          <w:lang w:val="cs-CZ"/>
        </w:rPr>
        <w:t>Dílčí cíle specifického cíle přímo navazují na výsledky dosažené při řešení vybraných projektů v rámci programu Zdraví 2020, zejména projekt Operačního programu Zaměstnanost DRG RESTART. Nově vybudovaný systém DRG musí být dále optimalizován a rozvíjen, včetně zajištění spolupráce referenční sítě nemocnic. Stárnutí obyvatel ČR a s ním spojený očekávatelný nárůst nemocnosti i nárůst počtu seniorů vyžadujících dlouhodobou péči si</w:t>
      </w:r>
      <w:r w:rsidRPr="00A955AF" w:rsidR="0034150C">
        <w:rPr>
          <w:rFonts w:asciiTheme="minorHAnsi" w:hAnsiTheme="minorHAnsi" w:cs="Arial"/>
          <w:color w:val="222222"/>
          <w:sz w:val="24"/>
          <w:lang w:val="cs-CZ"/>
        </w:rPr>
        <w:t> </w:t>
      </w:r>
      <w:r w:rsidRPr="00A955AF">
        <w:rPr>
          <w:rFonts w:asciiTheme="minorHAnsi" w:hAnsiTheme="minorHAnsi" w:cs="Arial"/>
          <w:color w:val="222222"/>
          <w:sz w:val="24"/>
          <w:lang w:val="cs-CZ"/>
        </w:rPr>
        <w:t>nově žádají vybudování podobného systému jako DRG pro segment následné a</w:t>
      </w:r>
      <w:r w:rsidRPr="00A955AF" w:rsidR="0034150C">
        <w:rPr>
          <w:rFonts w:asciiTheme="minorHAnsi" w:hAnsiTheme="minorHAnsi" w:cs="Arial"/>
          <w:color w:val="222222"/>
          <w:sz w:val="24"/>
          <w:lang w:val="cs-CZ"/>
        </w:rPr>
        <w:t> </w:t>
      </w:r>
      <w:r w:rsidRPr="00A955AF">
        <w:rPr>
          <w:rFonts w:asciiTheme="minorHAnsi" w:hAnsiTheme="minorHAnsi" w:cs="Arial"/>
          <w:color w:val="222222"/>
          <w:sz w:val="24"/>
          <w:lang w:val="cs-CZ"/>
        </w:rPr>
        <w:t>dlouhodobé péče. Implementace exaktně řízeného sytému úhrad pro tuto péči, včetně různých modelů komunitní péče a péče paliativní, napomůže potřebnému posílení kapacit a</w:t>
      </w:r>
      <w:r w:rsidRPr="00A955AF" w:rsidR="0034150C">
        <w:rPr>
          <w:rFonts w:asciiTheme="minorHAnsi" w:hAnsiTheme="minorHAnsi" w:cs="Arial"/>
          <w:color w:val="222222"/>
          <w:sz w:val="24"/>
          <w:lang w:val="cs-CZ"/>
        </w:rPr>
        <w:t> </w:t>
      </w:r>
      <w:r w:rsidRPr="00A955AF">
        <w:rPr>
          <w:rFonts w:asciiTheme="minorHAnsi" w:hAnsiTheme="minorHAnsi" w:cs="Arial"/>
          <w:color w:val="222222"/>
          <w:sz w:val="24"/>
          <w:lang w:val="cs-CZ"/>
        </w:rPr>
        <w:t>zvýší dostupnost pro všechny potřebné občany ČR.</w:t>
      </w:r>
    </w:p>
    <w:p w:rsidR="009403A5" w:rsidRPr="00A955AF" w14:paraId="615FD2F5" w14:textId="4397E5A5">
      <w:pPr>
        <w:spacing w:before="0" w:line="264" w:lineRule="auto"/>
        <w:jc w:val="left"/>
        <w:rPr>
          <w:rFonts w:ascii="Arial" w:eastAsia="Times New Roman" w:hAnsi="Arial" w:cs="Arial"/>
          <w:sz w:val="20"/>
          <w:szCs w:val="20"/>
          <w:lang w:eastAsia="cs-CZ"/>
        </w:rPr>
      </w:pPr>
      <w:r w:rsidRPr="00A955AF">
        <w:rPr>
          <w:rFonts w:ascii="Arial" w:hAnsi="Arial" w:cs="Arial"/>
          <w:sz w:val="20"/>
          <w:szCs w:val="20"/>
        </w:rPr>
        <w:br w:type="page"/>
      </w: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699"/>
        <w:gridCol w:w="1071"/>
      </w:tblGrid>
      <w:tr w14:paraId="06083AEE"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0676E1" w:rsidRPr="00A955AF" w:rsidP="007A6344" w14:paraId="342CE14A"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699" w:type="dxa"/>
            <w:tcBorders>
              <w:top w:val="single" w:sz="4" w:space="0" w:color="auto"/>
              <w:left w:val="single" w:sz="4" w:space="0" w:color="auto"/>
              <w:bottom w:val="single" w:sz="4" w:space="0" w:color="auto"/>
              <w:right w:val="nil"/>
            </w:tcBorders>
            <w:shd w:val="clear" w:color="auto" w:fill="FFFFCC"/>
            <w:vAlign w:val="center"/>
          </w:tcPr>
          <w:p w:rsidR="000676E1" w:rsidRPr="00A955AF" w14:paraId="38CB9705" w14:textId="6D6CA84C">
            <w:pPr>
              <w:spacing w:after="0"/>
              <w:rPr>
                <w:rFonts w:eastAsiaTheme="minorHAnsi" w:cs="Arial"/>
                <w:color w:val="205493"/>
                <w:sz w:val="24"/>
              </w:rPr>
            </w:pPr>
          </w:p>
          <w:p w:rsidR="000676E1" w:rsidRPr="00A955AF" w:rsidP="00941CC1" w14:paraId="00389B85" w14:textId="77777777">
            <w:pPr>
              <w:pStyle w:val="ListParagraph"/>
              <w:numPr>
                <w:ilvl w:val="1"/>
                <w:numId w:val="13"/>
              </w:numPr>
              <w:autoSpaceDE/>
              <w:autoSpaceDN/>
              <w:adjustRightInd/>
              <w:spacing w:before="0" w:after="0" w:line="276" w:lineRule="auto"/>
              <w:contextualSpacing/>
              <w:jc w:val="left"/>
              <w:rPr>
                <w:rFonts w:cs="Arial"/>
                <w:b/>
                <w:color w:val="205493"/>
                <w:sz w:val="24"/>
                <w:szCs w:val="24"/>
              </w:rPr>
            </w:pPr>
            <w:r w:rsidRPr="00A955AF">
              <w:rPr>
                <w:rFonts w:cs="Arial"/>
                <w:b/>
                <w:color w:val="205493"/>
                <w:sz w:val="24"/>
                <w:szCs w:val="24"/>
              </w:rPr>
              <w:t>Optimalizace systému úhrad ve zdravotnictví</w:t>
            </w:r>
          </w:p>
        </w:tc>
        <w:tc>
          <w:tcPr>
            <w:tcW w:w="1071" w:type="dxa"/>
            <w:tcBorders>
              <w:top w:val="single" w:sz="4" w:space="0" w:color="auto"/>
              <w:left w:val="nil"/>
              <w:bottom w:val="single" w:sz="4" w:space="0" w:color="auto"/>
              <w:right w:val="single" w:sz="4" w:space="0" w:color="auto"/>
            </w:tcBorders>
            <w:shd w:val="clear" w:color="auto" w:fill="FFFFCC"/>
            <w:vAlign w:val="center"/>
          </w:tcPr>
          <w:p w:rsidR="000676E1" w:rsidRPr="00A955AF" w:rsidP="000676E1" w14:paraId="01B13343" w14:textId="0FBE1EB9">
            <w:pPr>
              <w:spacing w:line="276" w:lineRule="auto"/>
              <w:jc w:val="right"/>
              <w:rPr>
                <w:rFonts w:eastAsiaTheme="minorHAnsi" w:cs="Arial"/>
                <w:b/>
                <w:color w:val="205493"/>
                <w:sz w:val="24"/>
              </w:rPr>
            </w:pPr>
          </w:p>
        </w:tc>
      </w:tr>
      <w:tr w14:paraId="0B0BA0CE" w14:textId="77777777" w:rsidTr="009403A5">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04C968AD" w14:textId="77777777">
            <w:pPr>
              <w:spacing w:line="276" w:lineRule="auto"/>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6B7070" w:rsidRPr="006B7070" w:rsidP="006B7070" w14:paraId="61992AF6" w14:textId="513423BD">
            <w:pPr>
              <w:pStyle w:val="Bntext"/>
              <w:numPr>
                <w:ilvl w:val="2"/>
                <w:numId w:val="13"/>
              </w:numPr>
              <w:spacing w:before="0" w:after="0"/>
              <w:rPr>
                <w:rFonts w:asciiTheme="minorHAnsi" w:hAnsiTheme="minorHAnsi" w:cs="Arial"/>
                <w:sz w:val="24"/>
                <w:lang w:val="cs-CZ"/>
              </w:rPr>
            </w:pPr>
            <w:r w:rsidRPr="006B7070">
              <w:rPr>
                <w:rFonts w:asciiTheme="minorHAnsi" w:hAnsiTheme="minorHAnsi" w:cs="Arial"/>
                <w:sz w:val="24"/>
                <w:lang w:val="cs-CZ"/>
              </w:rPr>
              <w:t>Vytvoření informační základny postavené na meziresortní integraci zdravotních a sociálních dat výkonnosti</w:t>
            </w:r>
          </w:p>
          <w:p w:rsidR="006B7070" w:rsidRPr="006B7070" w:rsidP="006B7070" w14:paraId="4BBDA9D8" w14:textId="45169651">
            <w:pPr>
              <w:pStyle w:val="Bntext"/>
              <w:numPr>
                <w:ilvl w:val="2"/>
                <w:numId w:val="13"/>
              </w:numPr>
              <w:spacing w:before="0" w:after="0"/>
              <w:rPr>
                <w:rFonts w:asciiTheme="minorHAnsi" w:hAnsiTheme="minorHAnsi" w:cs="Arial"/>
                <w:sz w:val="24"/>
                <w:lang w:val="cs-CZ"/>
              </w:rPr>
            </w:pPr>
            <w:r w:rsidRPr="00302FD6">
              <w:rPr>
                <w:rFonts w:asciiTheme="minorHAnsi" w:hAnsiTheme="minorHAnsi" w:cs="Arial"/>
                <w:sz w:val="24"/>
                <w:lang w:val="cs-CZ"/>
              </w:rPr>
              <w:t>Vytvoření a aplikace nové resortní koncepce úhrad následné, dlouhodobé a zdravotní péče poskytované ve vlastním sociálním prostředí</w:t>
            </w:r>
            <w:r w:rsidRPr="00302FD6">
              <w:rPr>
                <w:rFonts w:asciiTheme="minorHAnsi" w:hAnsiTheme="minorHAnsi" w:cs="Arial"/>
                <w:sz w:val="24"/>
                <w:lang w:val="cs-CZ"/>
              </w:rPr>
              <w:t xml:space="preserve"> </w:t>
            </w:r>
            <w:r w:rsidRPr="006B7070">
              <w:rPr>
                <w:rFonts w:asciiTheme="minorHAnsi" w:hAnsiTheme="minorHAnsi" w:cs="Arial"/>
                <w:sz w:val="24"/>
                <w:lang w:val="cs-CZ"/>
              </w:rPr>
              <w:t xml:space="preserve">Vybudování systému predikcí příjmů a výdajů veřejného zdravotního pojištění </w:t>
            </w:r>
          </w:p>
          <w:p w:rsidR="006B7070" w:rsidRPr="006B7070" w:rsidP="006B7070" w14:paraId="48700FBF" w14:textId="6E11A6AA">
            <w:pPr>
              <w:pStyle w:val="Bntext"/>
              <w:numPr>
                <w:ilvl w:val="2"/>
                <w:numId w:val="13"/>
              </w:numPr>
              <w:spacing w:before="0" w:after="0"/>
              <w:rPr>
                <w:rFonts w:asciiTheme="minorHAnsi" w:hAnsiTheme="minorHAnsi" w:cs="Arial"/>
                <w:sz w:val="24"/>
                <w:lang w:val="cs-CZ"/>
              </w:rPr>
            </w:pPr>
            <w:r w:rsidRPr="006B7070">
              <w:rPr>
                <w:rFonts w:asciiTheme="minorHAnsi" w:hAnsiTheme="minorHAnsi" w:cs="Arial"/>
                <w:sz w:val="24"/>
                <w:lang w:val="cs-CZ"/>
              </w:rPr>
              <w:t>Zajištění rozvoje, optimalizace a udržitelnosti systému úhrad akutní lůžkové péče založeném na DRG</w:t>
            </w:r>
          </w:p>
          <w:p w:rsidR="006B7070" w:rsidRPr="006B7070" w:rsidP="006B7070" w14:paraId="0E18EE7A" w14:textId="3633B59B">
            <w:pPr>
              <w:pStyle w:val="Bntext"/>
              <w:numPr>
                <w:ilvl w:val="2"/>
                <w:numId w:val="13"/>
              </w:numPr>
              <w:spacing w:before="0" w:after="0"/>
              <w:rPr>
                <w:rFonts w:asciiTheme="minorHAnsi" w:hAnsiTheme="minorHAnsi" w:cs="Arial"/>
                <w:sz w:val="24"/>
                <w:lang w:val="cs-CZ"/>
              </w:rPr>
            </w:pPr>
            <w:r w:rsidRPr="006B7070">
              <w:rPr>
                <w:rFonts w:asciiTheme="minorHAnsi" w:hAnsiTheme="minorHAnsi" w:cs="Arial"/>
                <w:sz w:val="24"/>
                <w:lang w:val="cs-CZ"/>
              </w:rPr>
              <w:t xml:space="preserve">Optimalizace systému úhrad v primární péči s důrazem na motivační, výkon podporující složky a vytvoření modelů nastavujících vyváženost úhrad v různých segmentech ambulantní péče  </w:t>
            </w:r>
          </w:p>
          <w:p w:rsidR="006B7070" w:rsidRPr="006B7070" w:rsidP="006B7070" w14:paraId="6D817ADC" w14:textId="679F53A1">
            <w:pPr>
              <w:pStyle w:val="Bntext"/>
              <w:numPr>
                <w:ilvl w:val="2"/>
                <w:numId w:val="13"/>
              </w:numPr>
              <w:spacing w:before="0" w:after="0"/>
              <w:rPr>
                <w:rFonts w:asciiTheme="minorHAnsi" w:hAnsiTheme="minorHAnsi" w:cs="Arial"/>
                <w:sz w:val="24"/>
                <w:lang w:val="cs-CZ"/>
              </w:rPr>
            </w:pPr>
            <w:r w:rsidRPr="006B7070">
              <w:rPr>
                <w:rFonts w:asciiTheme="minorHAnsi" w:hAnsiTheme="minorHAnsi" w:cs="Arial"/>
                <w:sz w:val="24"/>
                <w:lang w:val="cs-CZ"/>
              </w:rPr>
              <w:t>Vytvoření klasifikace a systémů umožňujících standardizaci a</w:t>
            </w:r>
            <w:r w:rsidR="00D13FED">
              <w:rPr>
                <w:rFonts w:asciiTheme="minorHAnsi" w:hAnsiTheme="minorHAnsi" w:cs="Arial"/>
                <w:sz w:val="24"/>
                <w:lang w:val="cs-CZ"/>
              </w:rPr>
              <w:t> </w:t>
            </w:r>
            <w:r w:rsidRPr="006B7070">
              <w:rPr>
                <w:rFonts w:asciiTheme="minorHAnsi" w:hAnsiTheme="minorHAnsi" w:cs="Arial"/>
                <w:sz w:val="24"/>
                <w:lang w:val="cs-CZ"/>
              </w:rPr>
              <w:t>optimalizaci systému úhrad zdravotních výkonů</w:t>
            </w:r>
          </w:p>
          <w:p w:rsidR="006B7070" w:rsidRPr="006B7070" w:rsidP="006B7070" w14:paraId="1B534123" w14:textId="63C8E2B6">
            <w:pPr>
              <w:pStyle w:val="Bntext"/>
              <w:numPr>
                <w:ilvl w:val="2"/>
                <w:numId w:val="13"/>
              </w:numPr>
              <w:spacing w:before="0" w:after="0"/>
              <w:rPr>
                <w:rFonts w:asciiTheme="minorHAnsi" w:hAnsiTheme="minorHAnsi" w:cs="Arial"/>
                <w:sz w:val="24"/>
                <w:lang w:val="cs-CZ"/>
              </w:rPr>
            </w:pPr>
            <w:r w:rsidRPr="006B7070">
              <w:rPr>
                <w:rFonts w:asciiTheme="minorHAnsi" w:hAnsiTheme="minorHAnsi" w:cs="Arial"/>
                <w:sz w:val="24"/>
                <w:lang w:val="cs-CZ"/>
              </w:rPr>
              <w:t>Příprava a praktická implementace modelů predikujících a</w:t>
            </w:r>
            <w:r w:rsidR="00D13FED">
              <w:rPr>
                <w:rFonts w:asciiTheme="minorHAnsi" w:hAnsiTheme="minorHAnsi" w:cs="Arial"/>
                <w:sz w:val="24"/>
                <w:lang w:val="cs-CZ"/>
              </w:rPr>
              <w:t> </w:t>
            </w:r>
            <w:r w:rsidRPr="006B7070">
              <w:rPr>
                <w:rFonts w:asciiTheme="minorHAnsi" w:hAnsiTheme="minorHAnsi" w:cs="Arial"/>
                <w:sz w:val="24"/>
                <w:lang w:val="cs-CZ"/>
              </w:rPr>
              <w:t>hodnotících ekonomické a klinické dopady nových technologií a zavádění inovací ve zdravotnictví</w:t>
            </w:r>
          </w:p>
          <w:p w:rsidR="006B7070" w:rsidRPr="006B7070" w:rsidP="006B7070" w14:paraId="63F68EE4" w14:textId="65AE65A8">
            <w:pPr>
              <w:pStyle w:val="Bntext"/>
              <w:numPr>
                <w:ilvl w:val="2"/>
                <w:numId w:val="13"/>
              </w:numPr>
              <w:spacing w:before="0" w:after="0"/>
              <w:rPr>
                <w:rFonts w:asciiTheme="minorHAnsi" w:hAnsiTheme="minorHAnsi" w:cs="Arial"/>
                <w:sz w:val="24"/>
                <w:lang w:val="cs-CZ"/>
              </w:rPr>
            </w:pPr>
            <w:r w:rsidRPr="006B7070">
              <w:rPr>
                <w:rFonts w:asciiTheme="minorHAnsi" w:hAnsiTheme="minorHAnsi" w:cs="Arial"/>
                <w:sz w:val="24"/>
                <w:lang w:val="cs-CZ"/>
              </w:rPr>
              <w:t>Vytvoření modelů hodnocení, optimalizace a udržitelného financování systémů integrované péče, a péče na zdravotně sociálním pomezí</w:t>
            </w:r>
          </w:p>
          <w:p w:rsidR="0091060B" w:rsidRPr="00A955AF" w:rsidP="006B7070" w14:paraId="5FCE5E7C" w14:textId="6E7ECB46">
            <w:pPr>
              <w:pStyle w:val="Bntext"/>
              <w:numPr>
                <w:ilvl w:val="2"/>
                <w:numId w:val="13"/>
              </w:numPr>
              <w:spacing w:before="0" w:after="0"/>
              <w:rPr>
                <w:rFonts w:asciiTheme="minorHAnsi" w:hAnsiTheme="minorHAnsi" w:cs="Arial"/>
                <w:sz w:val="24"/>
                <w:lang w:val="cs-CZ" w:eastAsia="en-US"/>
              </w:rPr>
            </w:pPr>
            <w:r w:rsidRPr="006B7070">
              <w:rPr>
                <w:rFonts w:asciiTheme="minorHAnsi" w:hAnsiTheme="minorHAnsi" w:cs="Arial"/>
                <w:sz w:val="24"/>
                <w:lang w:val="cs-CZ"/>
              </w:rPr>
              <w:t>Optimalizace systému úhrad léčivých přípravků podmíněných použitím na specializovaném pracovišti</w:t>
            </w:r>
          </w:p>
        </w:tc>
      </w:tr>
      <w:tr w14:paraId="757D320F"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5824A593" w14:textId="23953538">
            <w:pPr>
              <w:spacing w:line="276" w:lineRule="auto"/>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FF41F8" w:rsidRPr="00A955AF" w:rsidP="00941CC1" w14:paraId="4175F4B1" w14:textId="77777777">
            <w:pPr>
              <w:pStyle w:val="NormalWeb"/>
              <w:numPr>
                <w:ilvl w:val="0"/>
                <w:numId w:val="16"/>
              </w:numPr>
              <w:spacing w:before="100" w:beforeAutospacing="1" w:after="100" w:afterAutospacing="1"/>
              <w:jc w:val="both"/>
              <w:rPr>
                <w:rFonts w:asciiTheme="minorHAnsi" w:hAnsiTheme="minorHAnsi" w:cs="Arial"/>
                <w:color w:val="222222"/>
                <w:lang w:eastAsia="en-US"/>
              </w:rPr>
            </w:pPr>
            <w:r w:rsidRPr="00A955AF">
              <w:rPr>
                <w:rFonts w:asciiTheme="minorHAnsi" w:hAnsiTheme="minorHAnsi" w:cs="Arial"/>
                <w:color w:val="222222"/>
                <w:lang w:eastAsia="en-US"/>
              </w:rPr>
              <w:t xml:space="preserve">Optimalizace a metodický rozvoj systému DRG pro akutní lůžkovou péči </w:t>
            </w:r>
          </w:p>
          <w:p w:rsidR="00FF41F8" w:rsidRPr="00A955AF" w:rsidP="00941CC1" w14:paraId="65390D48" w14:textId="77777777">
            <w:pPr>
              <w:pStyle w:val="NormalWeb"/>
              <w:numPr>
                <w:ilvl w:val="0"/>
                <w:numId w:val="16"/>
              </w:numPr>
              <w:spacing w:before="100" w:beforeAutospacing="1" w:after="100" w:afterAutospacing="1"/>
              <w:jc w:val="both"/>
              <w:rPr>
                <w:rFonts w:asciiTheme="minorHAnsi" w:hAnsiTheme="minorHAnsi" w:cs="Arial"/>
                <w:color w:val="222222"/>
                <w:lang w:eastAsia="en-US"/>
              </w:rPr>
            </w:pPr>
            <w:r w:rsidRPr="00A955AF">
              <w:rPr>
                <w:rFonts w:asciiTheme="minorHAnsi" w:hAnsiTheme="minorHAnsi" w:cs="Arial"/>
                <w:color w:val="222222"/>
                <w:lang w:eastAsia="en-US"/>
              </w:rPr>
              <w:t xml:space="preserve">Optimalizace referenční sítě nemocnic akutní lůžkové péče </w:t>
            </w:r>
          </w:p>
          <w:p w:rsidR="00FF41F8" w:rsidRPr="00A955AF" w:rsidP="00941CC1" w14:paraId="58BF666F" w14:textId="77777777">
            <w:pPr>
              <w:pStyle w:val="NormalWeb"/>
              <w:numPr>
                <w:ilvl w:val="0"/>
                <w:numId w:val="16"/>
              </w:numPr>
              <w:spacing w:before="100" w:beforeAutospacing="1" w:after="100" w:afterAutospacing="1"/>
              <w:jc w:val="both"/>
              <w:rPr>
                <w:rFonts w:asciiTheme="minorHAnsi" w:hAnsiTheme="minorHAnsi" w:cs="Arial"/>
                <w:color w:val="222222"/>
                <w:lang w:eastAsia="en-US"/>
              </w:rPr>
            </w:pPr>
            <w:r w:rsidRPr="00A955AF">
              <w:rPr>
                <w:rFonts w:asciiTheme="minorHAnsi" w:hAnsiTheme="minorHAnsi" w:cs="Arial"/>
                <w:color w:val="222222"/>
                <w:lang w:eastAsia="en-US"/>
              </w:rPr>
              <w:t>Založení a rozvoj referenční sítě poskytovatelů následné a</w:t>
            </w:r>
            <w:r w:rsidRPr="00A955AF" w:rsidR="0034150C">
              <w:rPr>
                <w:rFonts w:asciiTheme="minorHAnsi" w:hAnsiTheme="minorHAnsi" w:cs="Arial"/>
                <w:color w:val="222222"/>
                <w:lang w:eastAsia="en-US"/>
              </w:rPr>
              <w:t> </w:t>
            </w:r>
            <w:r w:rsidRPr="00A955AF">
              <w:rPr>
                <w:rFonts w:asciiTheme="minorHAnsi" w:hAnsiTheme="minorHAnsi" w:cs="Arial"/>
                <w:color w:val="222222"/>
                <w:lang w:eastAsia="en-US"/>
              </w:rPr>
              <w:t xml:space="preserve">dlouhodobé lůžkové péče za účelem optimalizace systému úhrad </w:t>
            </w:r>
          </w:p>
          <w:p w:rsidR="00FF41F8" w:rsidRPr="00A955AF" w:rsidP="00941CC1" w14:paraId="6FA5F24F" w14:textId="2E275BF8">
            <w:pPr>
              <w:pStyle w:val="NormalWeb"/>
              <w:numPr>
                <w:ilvl w:val="0"/>
                <w:numId w:val="16"/>
              </w:numPr>
              <w:spacing w:before="100" w:beforeAutospacing="1" w:after="100" w:afterAutospacing="1"/>
              <w:jc w:val="both"/>
              <w:rPr>
                <w:rFonts w:asciiTheme="minorHAnsi" w:hAnsiTheme="minorHAnsi" w:cs="Arial"/>
                <w:color w:val="222222"/>
                <w:lang w:eastAsia="en-US"/>
              </w:rPr>
            </w:pPr>
            <w:r w:rsidRPr="00A955AF">
              <w:rPr>
                <w:rFonts w:asciiTheme="minorHAnsi" w:hAnsiTheme="minorHAnsi" w:cs="Arial"/>
                <w:color w:val="222222"/>
                <w:lang w:eastAsia="en-US"/>
              </w:rPr>
              <w:t xml:space="preserve">Vybudování robustní datové základny pro hodnocení efektivnosti úhrad, využití zaručených referenčních dat </w:t>
            </w:r>
            <w:r w:rsidRPr="00A955AF" w:rsidR="002C7C80">
              <w:rPr>
                <w:rFonts w:asciiTheme="minorHAnsi" w:hAnsiTheme="minorHAnsi" w:cs="Arial"/>
                <w:color w:val="222222"/>
                <w:lang w:eastAsia="en-US"/>
              </w:rPr>
              <w:t>ze </w:t>
            </w:r>
            <w:r w:rsidRPr="00A955AF">
              <w:rPr>
                <w:rFonts w:asciiTheme="minorHAnsi" w:hAnsiTheme="minorHAnsi" w:cs="Arial"/>
                <w:color w:val="222222"/>
                <w:lang w:eastAsia="en-US"/>
              </w:rPr>
              <w:t xml:space="preserve">systémů elektronického zdravotnictví </w:t>
            </w:r>
          </w:p>
          <w:p w:rsidR="00FF41F8" w:rsidRPr="00A955AF" w:rsidP="00941CC1" w14:paraId="4C4DBE21" w14:textId="77777777">
            <w:pPr>
              <w:pStyle w:val="NormalWeb"/>
              <w:numPr>
                <w:ilvl w:val="0"/>
                <w:numId w:val="16"/>
              </w:numPr>
              <w:spacing w:before="100" w:beforeAutospacing="1" w:after="100" w:afterAutospacing="1"/>
              <w:jc w:val="both"/>
              <w:rPr>
                <w:rFonts w:asciiTheme="minorHAnsi" w:hAnsiTheme="minorHAnsi" w:cs="Arial"/>
                <w:color w:val="222222"/>
                <w:lang w:eastAsia="en-US"/>
              </w:rPr>
            </w:pPr>
            <w:r w:rsidRPr="00A955AF">
              <w:rPr>
                <w:rFonts w:asciiTheme="minorHAnsi" w:hAnsiTheme="minorHAnsi" w:cs="Arial"/>
                <w:color w:val="222222"/>
                <w:lang w:eastAsia="en-US"/>
              </w:rPr>
              <w:t xml:space="preserve">Vývoj a implementace metodik pro dlouhodobé makroekonomické plánování příjmové a výdajové stránky rozpočtu zdravotnictví </w:t>
            </w:r>
          </w:p>
          <w:p w:rsidR="009B3EA3" w:rsidRPr="00A955AF" w:rsidP="00941CC1" w14:paraId="5D83D486" w14:textId="714705C9">
            <w:pPr>
              <w:pStyle w:val="NormalWeb"/>
              <w:numPr>
                <w:ilvl w:val="0"/>
                <w:numId w:val="16"/>
              </w:numPr>
              <w:spacing w:before="100" w:beforeAutospacing="1" w:after="100" w:afterAutospacing="1"/>
              <w:jc w:val="both"/>
              <w:rPr>
                <w:rFonts w:asciiTheme="minorHAnsi" w:hAnsiTheme="minorHAnsi" w:cstheme="minorHAnsi"/>
                <w:color w:val="222222"/>
                <w:lang w:eastAsia="en-US"/>
              </w:rPr>
            </w:pPr>
            <w:r w:rsidRPr="00A955AF">
              <w:rPr>
                <w:rFonts w:asciiTheme="minorHAnsi" w:hAnsiTheme="minorHAnsi" w:cstheme="minorHAnsi"/>
              </w:rPr>
              <w:t>Posílení odborné a technické kapacity orgánů veřejné správy k zapojení pacienta</w:t>
            </w:r>
          </w:p>
          <w:p w:rsidR="00FF08F2" w:rsidRPr="00290224" w:rsidP="00941CC1" w14:paraId="7E253C09" w14:textId="57DF642B">
            <w:pPr>
              <w:pStyle w:val="NormalWeb"/>
              <w:numPr>
                <w:ilvl w:val="0"/>
                <w:numId w:val="16"/>
              </w:numPr>
              <w:spacing w:before="100" w:beforeAutospacing="1" w:after="100" w:afterAutospacing="1"/>
              <w:jc w:val="both"/>
              <w:rPr>
                <w:rFonts w:asciiTheme="minorHAnsi" w:hAnsiTheme="minorHAnsi" w:cs="Arial"/>
                <w:color w:val="222222"/>
                <w:lang w:eastAsia="en-US"/>
              </w:rPr>
            </w:pPr>
            <w:r w:rsidRPr="00A955AF">
              <w:rPr>
                <w:rFonts w:asciiTheme="minorHAnsi" w:hAnsiTheme="minorHAnsi" w:cs="Arial"/>
                <w:color w:val="222222"/>
                <w:lang w:eastAsia="en-US"/>
              </w:rPr>
              <w:t xml:space="preserve">Vývoj modelů dlouhodobě udržitelného systému poskytování zdravotních služeb v modelech integrované péče a v modelech komunitní péče </w:t>
            </w:r>
          </w:p>
        </w:tc>
      </w:tr>
      <w:tr w14:paraId="4C003549"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7453A591"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FF41F8" w:rsidRPr="00A955AF" w14:paraId="480391E1" w14:textId="25D058D7">
            <w:pPr>
              <w:spacing w:line="276" w:lineRule="auto"/>
              <w:rPr>
                <w:rFonts w:eastAsiaTheme="minorHAnsi" w:cs="Arial"/>
                <w:color w:val="222222"/>
                <w:sz w:val="24"/>
              </w:rPr>
            </w:pPr>
            <w:r w:rsidRPr="00A955AF">
              <w:rPr>
                <w:rFonts w:cs="Arial"/>
                <w:sz w:val="24"/>
              </w:rPr>
              <w:t>MZ</w:t>
            </w:r>
            <w:r>
              <w:rPr>
                <w:rFonts w:cs="Arial"/>
                <w:sz w:val="24"/>
              </w:rPr>
              <w:t>D – vrchní</w:t>
            </w:r>
            <w:r w:rsidR="006B7070">
              <w:rPr>
                <w:rFonts w:cs="Arial"/>
                <w:sz w:val="24"/>
              </w:rPr>
              <w:t xml:space="preserve"> ředitel sekce pro ekonomiku a zdravotní pojištění</w:t>
            </w:r>
          </w:p>
        </w:tc>
      </w:tr>
      <w:tr w14:paraId="1F8B316B"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0C4C9FC6"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FF41F8" w:rsidRPr="00A955AF" w:rsidP="0034150C" w14:paraId="729A2BB2" w14:textId="2CAE57A1">
            <w:pPr>
              <w:spacing w:line="276" w:lineRule="auto"/>
              <w:rPr>
                <w:rFonts w:eastAsiaTheme="minorHAnsi" w:cs="Arial"/>
                <w:color w:val="222222"/>
                <w:sz w:val="24"/>
              </w:rPr>
            </w:pPr>
            <w:r>
              <w:rPr>
                <w:rFonts w:cs="Arial"/>
                <w:color w:val="222222"/>
                <w:sz w:val="24"/>
              </w:rPr>
              <w:t xml:space="preserve">ÚZIS, NCO NZO, </w:t>
            </w:r>
            <w:r w:rsidRPr="00A955AF" w:rsidR="0034150C">
              <w:rPr>
                <w:rFonts w:cs="Arial"/>
                <w:color w:val="222222"/>
                <w:sz w:val="24"/>
              </w:rPr>
              <w:t>MF, MMR</w:t>
            </w:r>
            <w:r w:rsidRPr="00A955AF">
              <w:rPr>
                <w:rFonts w:cs="Arial"/>
                <w:color w:val="222222"/>
                <w:sz w:val="24"/>
              </w:rPr>
              <w:t>,</w:t>
            </w:r>
            <w:r>
              <w:rPr>
                <w:rFonts w:cs="Arial"/>
                <w:color w:val="222222"/>
                <w:sz w:val="24"/>
              </w:rPr>
              <w:t xml:space="preserve"> MPSV, LK ČR, ČLS JEP,</w:t>
            </w:r>
            <w:r w:rsidRPr="00A955AF">
              <w:rPr>
                <w:rFonts w:cs="Arial"/>
                <w:color w:val="222222"/>
                <w:sz w:val="24"/>
              </w:rPr>
              <w:t xml:space="preserve"> zdravotní pojišťovny, Hospodářská komora ČR, univerzity a</w:t>
            </w:r>
            <w:r w:rsidRPr="00A955AF" w:rsidR="0034150C">
              <w:rPr>
                <w:rFonts w:cs="Arial"/>
                <w:color w:val="222222"/>
                <w:sz w:val="24"/>
              </w:rPr>
              <w:t> </w:t>
            </w:r>
            <w:r w:rsidRPr="00A955AF">
              <w:rPr>
                <w:rFonts w:cs="Arial"/>
                <w:color w:val="222222"/>
                <w:sz w:val="24"/>
              </w:rPr>
              <w:t>akademické instituce</w:t>
            </w:r>
            <w:r w:rsidRPr="00A955AF" w:rsidR="0077454B">
              <w:rPr>
                <w:rFonts w:cs="Arial"/>
                <w:color w:val="222222"/>
                <w:sz w:val="24"/>
              </w:rPr>
              <w:t>, NÚKIB</w:t>
            </w:r>
            <w:r w:rsidRPr="00A955AF" w:rsidR="00E47DE3">
              <w:rPr>
                <w:rFonts w:cs="Arial"/>
                <w:color w:val="222222"/>
                <w:sz w:val="24"/>
              </w:rPr>
              <w:t>, Svaz měst a obcí ČR</w:t>
            </w:r>
            <w:r w:rsidR="00F67469">
              <w:rPr>
                <w:rFonts w:cs="Arial"/>
                <w:color w:val="222222"/>
                <w:sz w:val="24"/>
              </w:rPr>
              <w:t>, pacientské organizace, NNO</w:t>
            </w:r>
            <w:r>
              <w:rPr>
                <w:rFonts w:cs="Arial"/>
                <w:color w:val="222222"/>
                <w:sz w:val="24"/>
              </w:rPr>
              <w:t xml:space="preserve">, ČSSZ, SNL, profesní organizace, vzdělávací instituce ve zdravotnictví, poskytovatelé zdravotní péče, odborné společnosti, poskytovatelé péče na sociálně zdravotním pomezí,  </w:t>
            </w:r>
          </w:p>
        </w:tc>
      </w:tr>
      <w:tr w14:paraId="19976038" w14:textId="77777777" w:rsidTr="009403A5">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39F3A31F"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6B7070" w:rsidP="00A5546D" w14:paraId="009A1D4E" w14:textId="25E1FC95">
            <w:pPr>
              <w:ind w:left="459" w:hanging="459"/>
              <w:rPr>
                <w:rFonts w:cs="Arial"/>
                <w:sz w:val="24"/>
              </w:rPr>
            </w:pPr>
            <w:r>
              <w:rPr>
                <w:rFonts w:cs="Arial"/>
                <w:sz w:val="24"/>
              </w:rPr>
              <w:t>2.1 Reforma primární péče</w:t>
            </w:r>
          </w:p>
          <w:p w:rsidR="006B7070" w:rsidP="00A5546D" w14:paraId="44092B7B" w14:textId="6137C442">
            <w:pPr>
              <w:ind w:left="459" w:hanging="459"/>
              <w:rPr>
                <w:rFonts w:cs="Arial"/>
                <w:sz w:val="24"/>
              </w:rPr>
            </w:pPr>
            <w:r>
              <w:rPr>
                <w:rFonts w:cs="Arial"/>
                <w:sz w:val="24"/>
              </w:rPr>
              <w:t>2.3 Digitalizace zdravotnictví</w:t>
            </w:r>
          </w:p>
          <w:p w:rsidR="006B7070" w:rsidP="00A5546D" w14:paraId="7407605E" w14:textId="337F9435">
            <w:pPr>
              <w:ind w:left="459" w:hanging="459"/>
              <w:rPr>
                <w:rFonts w:cs="Arial"/>
                <w:sz w:val="24"/>
              </w:rPr>
            </w:pPr>
            <w:r>
              <w:rPr>
                <w:rFonts w:cs="Arial"/>
                <w:sz w:val="24"/>
              </w:rPr>
              <w:t xml:space="preserve">2.5 </w:t>
            </w:r>
            <w:r w:rsidRPr="006B7070">
              <w:rPr>
                <w:rFonts w:cs="Arial"/>
                <w:sz w:val="24"/>
              </w:rPr>
              <w:t>Péče na sociálně zdravotním pomezí</w:t>
            </w:r>
          </w:p>
          <w:p w:rsidR="00FF41F8" w:rsidRPr="00A955AF" w:rsidP="00CE7078" w14:paraId="042BA64C" w14:textId="67309E29">
            <w:pPr>
              <w:spacing w:line="276" w:lineRule="auto"/>
              <w:ind w:left="626" w:hanging="626"/>
              <w:rPr>
                <w:rFonts w:eastAsiaTheme="minorHAnsi" w:cs="Arial"/>
                <w:color w:val="222222"/>
                <w:sz w:val="24"/>
              </w:rPr>
            </w:pPr>
            <w:r w:rsidRPr="00A955AF">
              <w:rPr>
                <w:rFonts w:cs="Arial"/>
                <w:color w:val="222222"/>
                <w:sz w:val="24"/>
              </w:rPr>
              <w:t>3.1</w:t>
            </w:r>
            <w:r w:rsidR="006B7070">
              <w:rPr>
                <w:rFonts w:cs="Arial"/>
                <w:color w:val="222222"/>
                <w:sz w:val="24"/>
              </w:rPr>
              <w:t xml:space="preserve"> </w:t>
            </w:r>
            <w:r>
              <w:rPr>
                <w:rFonts w:cs="Arial"/>
                <w:color w:val="222222"/>
                <w:sz w:val="24"/>
              </w:rPr>
              <w:t>Zapojení</w:t>
            </w:r>
            <w:r w:rsidRPr="00A955AF" w:rsidR="00F05C27">
              <w:rPr>
                <w:rFonts w:cs="Arial"/>
                <w:color w:val="222222"/>
                <w:sz w:val="24"/>
              </w:rPr>
              <w:t xml:space="preserve"> vědy a výzkumu do řešení prioritních úkolů zdravotnictví</w:t>
            </w:r>
          </w:p>
        </w:tc>
      </w:tr>
      <w:tr w14:paraId="2F4CAE17"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rsidP="00B45737" w14:paraId="5F52F712"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220E1" w:rsidRPr="00A955AF" w:rsidP="00B220E1" w14:paraId="1FDD07DA" w14:textId="77777777">
            <w:pPr>
              <w:tabs>
                <w:tab w:val="num" w:pos="585"/>
              </w:tabs>
              <w:overflowPunct w:val="0"/>
              <w:autoSpaceDE w:val="0"/>
              <w:autoSpaceDN w:val="0"/>
              <w:adjustRightInd w:val="0"/>
              <w:rPr>
                <w:rFonts w:cs="Arial"/>
                <w:sz w:val="24"/>
              </w:rPr>
            </w:pPr>
            <w:r w:rsidRPr="00A955AF">
              <w:rPr>
                <w:rFonts w:cs="Arial"/>
                <w:sz w:val="24"/>
              </w:rPr>
              <w:t xml:space="preserve">Na úrovni dopadu: </w:t>
            </w:r>
          </w:p>
          <w:p w:rsidR="002C7C80" w:rsidRPr="00A955AF" w:rsidP="006C359E" w14:paraId="7584A0A7" w14:textId="0EFA2A26">
            <w:pPr>
              <w:pStyle w:val="ListParagraph"/>
              <w:numPr>
                <w:ilvl w:val="0"/>
                <w:numId w:val="32"/>
              </w:numPr>
              <w:tabs>
                <w:tab w:val="num" w:pos="585"/>
              </w:tabs>
              <w:overflowPunct w:val="0"/>
              <w:spacing w:before="0"/>
              <w:contextualSpacing/>
              <w:rPr>
                <w:rFonts w:cs="Arial"/>
                <w:bCs w:val="0"/>
                <w:sz w:val="24"/>
                <w:szCs w:val="24"/>
              </w:rPr>
            </w:pPr>
            <w:r w:rsidRPr="00A955AF">
              <w:rPr>
                <w:rFonts w:cs="Arial"/>
                <w:bCs w:val="0"/>
                <w:sz w:val="24"/>
                <w:szCs w:val="24"/>
              </w:rPr>
              <w:t>Podíl bezchybně zaklasifikovaných hospitalizačních případů</w:t>
            </w:r>
            <w:r w:rsidR="008365B5">
              <w:rPr>
                <w:rFonts w:cs="Arial"/>
                <w:bCs w:val="0"/>
                <w:sz w:val="24"/>
                <w:szCs w:val="24"/>
              </w:rPr>
              <w:t xml:space="preserve"> podle </w:t>
            </w:r>
            <w:r w:rsidRPr="00A955AF">
              <w:rPr>
                <w:rFonts w:cs="Arial"/>
                <w:bCs w:val="0"/>
                <w:sz w:val="24"/>
                <w:szCs w:val="24"/>
              </w:rPr>
              <w:t>modelu CZ DRG, přijatých pojišťovnami k úhradě</w:t>
            </w:r>
            <w:r w:rsidRPr="00A955AF">
              <w:rPr>
                <w:rFonts w:cs="Arial"/>
                <w:bCs w:val="0"/>
                <w:sz w:val="24"/>
                <w:szCs w:val="24"/>
              </w:rPr>
              <w:t xml:space="preserve"> </w:t>
            </w:r>
          </w:p>
          <w:p w:rsidR="00A955AF" w:rsidP="006C359E" w14:paraId="1D22CBE0" w14:textId="2E2FA7A8">
            <w:pPr>
              <w:pStyle w:val="ListParagraph"/>
              <w:numPr>
                <w:ilvl w:val="0"/>
                <w:numId w:val="32"/>
              </w:numPr>
              <w:tabs>
                <w:tab w:val="num" w:pos="585"/>
              </w:tabs>
              <w:overflowPunct w:val="0"/>
              <w:spacing w:before="0"/>
              <w:contextualSpacing/>
              <w:rPr>
                <w:rFonts w:cs="Arial"/>
                <w:bCs w:val="0"/>
                <w:sz w:val="24"/>
                <w:szCs w:val="24"/>
              </w:rPr>
            </w:pPr>
            <w:r w:rsidRPr="00A955AF">
              <w:rPr>
                <w:rFonts w:cs="Arial"/>
                <w:bCs w:val="0"/>
                <w:sz w:val="24"/>
                <w:szCs w:val="24"/>
              </w:rPr>
              <w:t>Počet datových sad/datových modelů</w:t>
            </w:r>
          </w:p>
          <w:p w:rsidR="00995E76" w:rsidRPr="00A955AF" w:rsidP="006C359E" w14:paraId="7AD22DE9" w14:textId="64C60E63">
            <w:pPr>
              <w:pStyle w:val="ListParagraph"/>
              <w:numPr>
                <w:ilvl w:val="0"/>
                <w:numId w:val="32"/>
              </w:numPr>
              <w:tabs>
                <w:tab w:val="num" w:pos="585"/>
              </w:tabs>
              <w:overflowPunct w:val="0"/>
              <w:spacing w:before="0"/>
              <w:contextualSpacing/>
              <w:rPr>
                <w:rFonts w:cs="Arial"/>
                <w:bCs w:val="0"/>
                <w:sz w:val="24"/>
                <w:szCs w:val="24"/>
              </w:rPr>
            </w:pPr>
            <w:r w:rsidRPr="00A955AF">
              <w:rPr>
                <w:rFonts w:cs="Arial"/>
                <w:bCs w:val="0"/>
                <w:sz w:val="24"/>
                <w:szCs w:val="24"/>
              </w:rPr>
              <w:t>Počet modelů optimalizujících úhrady péče</w:t>
            </w:r>
          </w:p>
          <w:p w:rsidR="00B220E1" w:rsidRPr="00A955AF" w:rsidP="00B220E1" w14:paraId="07FF25B9" w14:textId="77777777">
            <w:pPr>
              <w:overflowPunct w:val="0"/>
              <w:autoSpaceDE w:val="0"/>
              <w:autoSpaceDN w:val="0"/>
              <w:adjustRightInd w:val="0"/>
              <w:rPr>
                <w:rFonts w:cs="Arial"/>
                <w:sz w:val="24"/>
              </w:rPr>
            </w:pPr>
            <w:r w:rsidRPr="00A955AF">
              <w:rPr>
                <w:rFonts w:cs="Arial"/>
                <w:sz w:val="24"/>
              </w:rPr>
              <w:t>Na úrovni výsledků/výstupů:</w:t>
            </w:r>
          </w:p>
          <w:p w:rsidR="00B220E1" w:rsidRPr="00A955AF" w:rsidP="006C359E" w14:paraId="6256E0D4" w14:textId="77777777">
            <w:pPr>
              <w:pStyle w:val="ListParagraph"/>
              <w:numPr>
                <w:ilvl w:val="0"/>
                <w:numId w:val="33"/>
              </w:numPr>
              <w:tabs>
                <w:tab w:val="num" w:pos="585"/>
              </w:tabs>
              <w:overflowPunct w:val="0"/>
              <w:spacing w:before="0"/>
              <w:contextualSpacing/>
              <w:rPr>
                <w:rFonts w:cs="Arial"/>
                <w:bCs w:val="0"/>
                <w:sz w:val="24"/>
                <w:szCs w:val="24"/>
              </w:rPr>
            </w:pPr>
            <w:r w:rsidRPr="00A955AF">
              <w:rPr>
                <w:rFonts w:cs="Arial"/>
                <w:bCs w:val="0"/>
                <w:sz w:val="24"/>
                <w:szCs w:val="24"/>
              </w:rPr>
              <w:t>Počet metodik, normativních a legislativně garantovaných postupů</w:t>
            </w:r>
          </w:p>
          <w:p w:rsidR="00B220E1" w:rsidRPr="00A955AF" w:rsidP="006C359E" w14:paraId="39FC0ED1" w14:textId="77777777">
            <w:pPr>
              <w:pStyle w:val="ListParagraph"/>
              <w:numPr>
                <w:ilvl w:val="0"/>
                <w:numId w:val="33"/>
              </w:numPr>
              <w:tabs>
                <w:tab w:val="num" w:pos="585"/>
              </w:tabs>
              <w:overflowPunct w:val="0"/>
              <w:spacing w:before="0"/>
              <w:contextualSpacing/>
              <w:rPr>
                <w:rFonts w:cs="Arial"/>
                <w:bCs w:val="0"/>
                <w:sz w:val="24"/>
                <w:szCs w:val="24"/>
              </w:rPr>
            </w:pPr>
            <w:r w:rsidRPr="00A955AF">
              <w:rPr>
                <w:rFonts w:cs="Arial"/>
                <w:bCs w:val="0"/>
                <w:sz w:val="24"/>
                <w:szCs w:val="24"/>
              </w:rPr>
              <w:t>Počet modelů optimalizujících úhrady péče</w:t>
            </w:r>
          </w:p>
          <w:p w:rsidR="00B220E1" w:rsidRPr="00A955AF" w:rsidP="006C359E" w14:paraId="15D12DB0" w14:textId="77777777">
            <w:pPr>
              <w:pStyle w:val="ListParagraph"/>
              <w:numPr>
                <w:ilvl w:val="0"/>
                <w:numId w:val="33"/>
              </w:numPr>
              <w:tabs>
                <w:tab w:val="num" w:pos="585"/>
              </w:tabs>
              <w:overflowPunct w:val="0"/>
              <w:spacing w:before="0"/>
              <w:contextualSpacing/>
              <w:rPr>
                <w:rFonts w:cs="Arial"/>
                <w:bCs w:val="0"/>
                <w:sz w:val="24"/>
                <w:szCs w:val="24"/>
              </w:rPr>
            </w:pPr>
            <w:r w:rsidRPr="00A955AF">
              <w:rPr>
                <w:rFonts w:cs="Arial"/>
                <w:bCs w:val="0"/>
                <w:sz w:val="24"/>
                <w:szCs w:val="24"/>
              </w:rPr>
              <w:t xml:space="preserve">Počet a velikost referenčních sítí poskytovatelů </w:t>
            </w:r>
          </w:p>
          <w:p w:rsidR="00FF41F8" w:rsidRPr="00A955AF" w:rsidP="006C359E" w14:paraId="14D2708A" w14:textId="77777777">
            <w:pPr>
              <w:pStyle w:val="ListParagraph"/>
              <w:numPr>
                <w:ilvl w:val="0"/>
                <w:numId w:val="33"/>
              </w:numPr>
              <w:tabs>
                <w:tab w:val="num" w:pos="585"/>
              </w:tabs>
              <w:overflowPunct w:val="0"/>
              <w:spacing w:before="0"/>
              <w:contextualSpacing/>
              <w:rPr>
                <w:rFonts w:cs="Arial"/>
                <w:bCs w:val="0"/>
                <w:sz w:val="24"/>
                <w:szCs w:val="24"/>
              </w:rPr>
            </w:pPr>
            <w:r w:rsidRPr="00A955AF">
              <w:rPr>
                <w:rFonts w:cs="Arial"/>
                <w:bCs w:val="0"/>
                <w:sz w:val="24"/>
                <w:szCs w:val="24"/>
              </w:rPr>
              <w:t>Počet osob podpořených edukačními aktivitami zaměřenými na kódování zdravotních služeb, výkaznictví služeb pro</w:t>
            </w:r>
            <w:r w:rsidRPr="00A955AF" w:rsidR="00EE3B07">
              <w:rPr>
                <w:rFonts w:cs="Arial"/>
                <w:bCs w:val="0"/>
                <w:sz w:val="24"/>
                <w:szCs w:val="24"/>
              </w:rPr>
              <w:t> </w:t>
            </w:r>
            <w:r w:rsidRPr="00A955AF">
              <w:rPr>
                <w:rFonts w:cs="Arial"/>
                <w:bCs w:val="0"/>
                <w:sz w:val="24"/>
                <w:szCs w:val="24"/>
              </w:rPr>
              <w:t>úhrady a optimalizace ekonomického managementu poskytovatelů</w:t>
            </w:r>
          </w:p>
          <w:p w:rsidR="004950BB" w:rsidRPr="00A955AF" w:rsidP="006C359E" w14:paraId="68340911" w14:textId="7DA69A7B">
            <w:pPr>
              <w:pStyle w:val="ListParagraph"/>
              <w:numPr>
                <w:ilvl w:val="0"/>
                <w:numId w:val="32"/>
              </w:numPr>
              <w:tabs>
                <w:tab w:val="num" w:pos="585"/>
              </w:tabs>
              <w:overflowPunct w:val="0"/>
              <w:spacing w:before="0"/>
              <w:contextualSpacing/>
              <w:rPr>
                <w:rFonts w:cs="Arial"/>
                <w:bCs w:val="0"/>
                <w:sz w:val="24"/>
                <w:szCs w:val="24"/>
              </w:rPr>
            </w:pPr>
            <w:r w:rsidRPr="00A955AF">
              <w:rPr>
                <w:rFonts w:cs="Arial"/>
                <w:bCs w:val="0"/>
                <w:sz w:val="24"/>
                <w:szCs w:val="24"/>
              </w:rPr>
              <w:t xml:space="preserve">Počet návštěvníků preventivních programů podporovaných </w:t>
            </w:r>
            <w:r w:rsidRPr="00A955AF" w:rsidR="006B2E6F">
              <w:rPr>
                <w:rFonts w:cs="Arial"/>
                <w:bCs w:val="0"/>
                <w:sz w:val="24"/>
                <w:szCs w:val="24"/>
              </w:rPr>
              <w:t>vzniklým</w:t>
            </w:r>
            <w:r w:rsidRPr="00A955AF">
              <w:rPr>
                <w:rFonts w:cs="Arial"/>
                <w:bCs w:val="0"/>
                <w:sz w:val="24"/>
                <w:szCs w:val="24"/>
              </w:rPr>
              <w:t xml:space="preserve"> systémem úhrad primární péče</w:t>
            </w:r>
          </w:p>
        </w:tc>
      </w:tr>
      <w:tr w14:paraId="53CC8AFE"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2BBF64D3"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FF41F8" w:rsidRPr="00A955AF" w:rsidP="0034150C" w14:paraId="688BBC88" w14:textId="77777777">
            <w:pPr>
              <w:spacing w:line="276" w:lineRule="auto"/>
              <w:rPr>
                <w:rFonts w:eastAsiaTheme="minorHAnsi" w:cs="Arial"/>
                <w:color w:val="222222"/>
                <w:sz w:val="24"/>
              </w:rPr>
            </w:pPr>
            <w:r w:rsidRPr="00A955AF">
              <w:rPr>
                <w:rFonts w:cs="Arial"/>
                <w:color w:val="222222"/>
                <w:sz w:val="24"/>
              </w:rPr>
              <w:t>České zdravotnictví se nachází pod značným ekonomickým tlakem, který</w:t>
            </w:r>
            <w:r w:rsidRPr="00A955AF" w:rsidR="0034150C">
              <w:rPr>
                <w:rFonts w:cs="Arial"/>
                <w:color w:val="222222"/>
                <w:sz w:val="24"/>
              </w:rPr>
              <w:t> </w:t>
            </w:r>
            <w:r w:rsidRPr="00A955AF">
              <w:rPr>
                <w:rFonts w:cs="Arial"/>
                <w:color w:val="222222"/>
                <w:sz w:val="24"/>
              </w:rPr>
              <w:t>je dán sílícími požadavky na zvyšování platů a mezd pracovníků, hustotou sítě poskytovatelů s často neoptimálním rozložením kapacit a</w:t>
            </w:r>
            <w:r w:rsidRPr="00A955AF" w:rsidR="0034150C">
              <w:rPr>
                <w:rFonts w:cs="Arial"/>
                <w:color w:val="222222"/>
                <w:sz w:val="24"/>
              </w:rPr>
              <w:t> </w:t>
            </w:r>
            <w:r w:rsidRPr="00A955AF">
              <w:rPr>
                <w:rFonts w:cs="Arial"/>
                <w:color w:val="222222"/>
                <w:sz w:val="24"/>
              </w:rPr>
              <w:t>prudce nastupujícími novými technologiemi včetně velmi nákladných genových terapií. Není zajištěna robustní referenční datová základna pro</w:t>
            </w:r>
            <w:r w:rsidRPr="00A955AF" w:rsidR="0034150C">
              <w:rPr>
                <w:rFonts w:cs="Arial"/>
                <w:color w:val="222222"/>
                <w:sz w:val="24"/>
              </w:rPr>
              <w:t> </w:t>
            </w:r>
            <w:r w:rsidRPr="00A955AF">
              <w:rPr>
                <w:rFonts w:cs="Arial"/>
                <w:color w:val="222222"/>
                <w:sz w:val="24"/>
              </w:rPr>
              <w:t xml:space="preserve">dlouhodobé makroekonomické plánování finančních potřeb. Není dostatečně implementováno vícezdrojové financování, které by systému zdravotních služeb přineslo větší stabilitu. Nejsou vyvinuty modely udržitelného financování programů zvyšujících efektivitu poskytování </w:t>
            </w:r>
            <w:r w:rsidRPr="00A955AF">
              <w:rPr>
                <w:rFonts w:cs="Arial"/>
                <w:color w:val="222222"/>
                <w:sz w:val="24"/>
              </w:rPr>
              <w:t xml:space="preserve">zdravotních služeb, jako jsou služby poskytované v komunitní péči, domácí péči, a dále modely plánovitého financování preventivních programů a programů časného záchytu vážných onemocnění. </w:t>
            </w:r>
          </w:p>
        </w:tc>
      </w:tr>
      <w:tr w14:paraId="54A9C1F8"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68FD0717"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FF41F8" w:rsidRPr="00A955AF" w:rsidP="00741CBA" w14:paraId="4E05EEDF" w14:textId="77777777">
            <w:pPr>
              <w:spacing w:line="276" w:lineRule="auto"/>
              <w:rPr>
                <w:rFonts w:eastAsiaTheme="minorHAnsi" w:cs="Arial"/>
                <w:color w:val="222222"/>
                <w:sz w:val="24"/>
              </w:rPr>
            </w:pPr>
            <w:r w:rsidRPr="00A955AF">
              <w:rPr>
                <w:rFonts w:cs="Arial"/>
                <w:color w:val="222222"/>
                <w:sz w:val="24"/>
              </w:rPr>
              <w:t>Plnění indikátorů směřujících k naplnění</w:t>
            </w:r>
            <w:r w:rsidRPr="00A955AF" w:rsidR="00114ED6">
              <w:rPr>
                <w:rFonts w:cs="Arial"/>
                <w:color w:val="222222"/>
                <w:sz w:val="24"/>
              </w:rPr>
              <w:t xml:space="preserve"> všech stanovených dílčích cílů povede k vybudování zcela nového, transparentně publikovaného datového a modelového zázemí pro řízení a</w:t>
            </w:r>
            <w:r w:rsidRPr="00A955AF" w:rsidR="00741CBA">
              <w:rPr>
                <w:rFonts w:cs="Arial"/>
                <w:color w:val="222222"/>
                <w:sz w:val="24"/>
              </w:rPr>
              <w:t> </w:t>
            </w:r>
            <w:r w:rsidRPr="00A955AF" w:rsidR="00114ED6">
              <w:rPr>
                <w:rFonts w:cs="Arial"/>
                <w:color w:val="222222"/>
                <w:sz w:val="24"/>
              </w:rPr>
              <w:t>plánování systému úhrad. Klíčové makroekonomické charakteristiky všech segmentů zdravotní péče budou publikovány ve formě referenčních resortních statistik. Sběry dat v referenčních sítích poskytovatelů, a zejména v síti nemocnic udržující a</w:t>
            </w:r>
            <w:r w:rsidRPr="00A955AF" w:rsidR="00741CBA">
              <w:rPr>
                <w:rFonts w:cs="Arial"/>
                <w:color w:val="222222"/>
                <w:sz w:val="24"/>
              </w:rPr>
              <w:t> </w:t>
            </w:r>
            <w:r w:rsidRPr="00A955AF" w:rsidR="00114ED6">
              <w:rPr>
                <w:rFonts w:cs="Arial"/>
                <w:color w:val="222222"/>
                <w:sz w:val="24"/>
              </w:rPr>
              <w:t>kultivující systém DRG, budou dostupné všem relevantním subjektům v resortu a budou využívány pro krátkodobé i</w:t>
            </w:r>
            <w:r w:rsidRPr="00A955AF" w:rsidR="00741CBA">
              <w:rPr>
                <w:rFonts w:cs="Arial"/>
                <w:color w:val="222222"/>
                <w:sz w:val="24"/>
              </w:rPr>
              <w:t> </w:t>
            </w:r>
            <w:r w:rsidRPr="00A955AF" w:rsidR="00114ED6">
              <w:rPr>
                <w:rFonts w:cs="Arial"/>
                <w:color w:val="222222"/>
                <w:sz w:val="24"/>
              </w:rPr>
              <w:t>dlouhodobé predikce a strategické modely finančních potřeb. Dosud neexistující datové podklady kultivující vykazování a</w:t>
            </w:r>
            <w:r w:rsidRPr="00A955AF" w:rsidR="00741CBA">
              <w:rPr>
                <w:rFonts w:cs="Arial"/>
                <w:color w:val="222222"/>
                <w:sz w:val="24"/>
              </w:rPr>
              <w:t> </w:t>
            </w:r>
            <w:r w:rsidRPr="00A955AF" w:rsidR="00114ED6">
              <w:rPr>
                <w:rFonts w:cs="Arial"/>
                <w:color w:val="222222"/>
                <w:sz w:val="24"/>
              </w:rPr>
              <w:t xml:space="preserve">oceňování výkonů a zdravotních služeb obecně budou k dispozici i pro meziresortní spolupráci. Zdravotní pojišťovny budou s vedením resortu a s poskytovateli zdravotních služeb sdílet stejnou, datově validovanou, informační základnu pro plánování systému úhrad. </w:t>
            </w:r>
            <w:r w:rsidRPr="00A955AF">
              <w:rPr>
                <w:rFonts w:cs="Arial"/>
                <w:color w:val="222222"/>
                <w:sz w:val="24"/>
              </w:rPr>
              <w:t xml:space="preserve"> </w:t>
            </w:r>
          </w:p>
        </w:tc>
      </w:tr>
      <w:tr w14:paraId="1BD4DCF0" w14:textId="77777777" w:rsidTr="009403A5">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FF41F8" w:rsidRPr="00A955AF" w14:paraId="0F832296"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FF41F8" w:rsidRPr="00A955AF" w:rsidP="00F614DD" w14:paraId="37037CBB" w14:textId="1F9F0CB7">
            <w:pPr>
              <w:rPr>
                <w:rFonts w:eastAsiaTheme="minorHAnsi" w:cs="Arial"/>
                <w:color w:val="222222"/>
                <w:sz w:val="24"/>
              </w:rPr>
            </w:pPr>
            <w:r w:rsidRPr="00A955AF">
              <w:rPr>
                <w:rFonts w:cs="Arial"/>
                <w:color w:val="222222"/>
                <w:sz w:val="24"/>
                <w:szCs w:val="22"/>
              </w:rPr>
              <w:t xml:space="preserve">Státní rozpočet, </w:t>
            </w:r>
            <w:r w:rsidRPr="00A955AF" w:rsidR="00AE2BBA">
              <w:rPr>
                <w:rFonts w:cs="Arial"/>
                <w:color w:val="222222"/>
                <w:sz w:val="24"/>
                <w:szCs w:val="22"/>
              </w:rPr>
              <w:t>fondy EU</w:t>
            </w:r>
            <w:r w:rsidR="00F614DD">
              <w:rPr>
                <w:rFonts w:cs="Arial"/>
                <w:color w:val="222222"/>
                <w:sz w:val="24"/>
                <w:szCs w:val="22"/>
              </w:rPr>
              <w:t>, f</w:t>
            </w:r>
            <w:r w:rsidRPr="00A955AF">
              <w:rPr>
                <w:rFonts w:cs="Arial"/>
                <w:color w:val="222222"/>
                <w:sz w:val="24"/>
                <w:szCs w:val="22"/>
              </w:rPr>
              <w:t>ondy zdravotního pojištění a státního rozpočtu na zdravotnictví</w:t>
            </w:r>
          </w:p>
        </w:tc>
      </w:tr>
    </w:tbl>
    <w:p w:rsidR="00B90F50" w:rsidP="00FF41F8" w14:paraId="502CB635" w14:textId="60C602AD">
      <w:pPr>
        <w:pStyle w:val="NormalWeb"/>
        <w:jc w:val="both"/>
        <w:rPr>
          <w:rFonts w:ascii="Arial" w:eastAsia="Times New Roman" w:hAnsi="Arial" w:cs="Arial"/>
          <w:b/>
          <w:color w:val="000000"/>
          <w:sz w:val="20"/>
          <w:szCs w:val="20"/>
        </w:rPr>
      </w:pPr>
    </w:p>
    <w:p w:rsidR="00FF41F8" w:rsidRPr="00A955AF" w:rsidP="00D13FED" w14:paraId="06756590" w14:textId="44ED07C6">
      <w:pPr>
        <w:spacing w:before="0" w:line="264" w:lineRule="auto"/>
        <w:jc w:val="left"/>
        <w:rPr>
          <w:rFonts w:ascii="Arial" w:eastAsia="Times New Roman" w:hAnsi="Arial" w:cs="Arial"/>
          <w:b/>
          <w:color w:val="000000"/>
          <w:sz w:val="20"/>
          <w:szCs w:val="20"/>
          <w:lang w:eastAsia="cs-CZ"/>
        </w:rPr>
      </w:pPr>
      <w:r>
        <w:rPr>
          <w:rFonts w:ascii="Arial" w:eastAsia="Times New Roman" w:hAnsi="Arial" w:cs="Arial"/>
          <w:b/>
          <w:color w:val="000000"/>
          <w:sz w:val="20"/>
          <w:szCs w:val="20"/>
        </w:rPr>
        <w:br w:type="page"/>
      </w:r>
    </w:p>
    <w:p w:rsidR="00C23071" w:rsidRPr="00B90F50" w:rsidP="00C23071" w14:paraId="2ECC43F2" w14:textId="4A18DD8C">
      <w:pPr>
        <w:pStyle w:val="NA2"/>
        <w:jc w:val="both"/>
      </w:pPr>
      <w:bookmarkStart w:id="604" w:name="_Toc256000057"/>
      <w:r>
        <w:t xml:space="preserve">SC 2.5 </w:t>
      </w:r>
      <w:r w:rsidRPr="00B90F50" w:rsidR="00B90F50">
        <w:t>Péče na sociálně zdravotním pomezí</w:t>
      </w:r>
      <w:bookmarkEnd w:id="604"/>
    </w:p>
    <w:p w:rsidR="00C23071" w:rsidRPr="00D13FED" w:rsidP="00D13FED" w14:paraId="784A932A" w14:textId="7F18A706">
      <w:pPr>
        <w:pStyle w:val="Bntext"/>
        <w:ind w:firstLine="0"/>
        <w:rPr>
          <w:rFonts w:asciiTheme="minorHAnsi" w:hAnsiTheme="minorHAnsi" w:cstheme="minorHAnsi"/>
          <w:bCs/>
          <w:sz w:val="24"/>
          <w:szCs w:val="28"/>
          <w:lang w:val="cs-CZ"/>
        </w:rPr>
      </w:pPr>
      <w:r w:rsidRPr="00B90F50">
        <w:rPr>
          <w:rFonts w:asciiTheme="minorHAnsi" w:hAnsiTheme="minorHAnsi" w:cstheme="minorHAnsi"/>
          <w:bCs/>
          <w:sz w:val="24"/>
          <w:szCs w:val="28"/>
          <w:lang w:val="cs-CZ"/>
        </w:rPr>
        <w:t>V ČR přibývá osob, které se dlouhodobě nacházejí v nepříznivém zdravotním stavu, což zvyšuje jejich nároky na zdravotní a sociální služby poskytované současně, a to v různé intenzitě a</w:t>
      </w:r>
      <w:r>
        <w:rPr>
          <w:rFonts w:asciiTheme="minorHAnsi" w:hAnsiTheme="minorHAnsi" w:cstheme="minorHAnsi"/>
          <w:bCs/>
          <w:sz w:val="24"/>
          <w:szCs w:val="28"/>
          <w:lang w:val="cs-CZ"/>
        </w:rPr>
        <w:t> </w:t>
      </w:r>
      <w:r w:rsidRPr="00B90F50">
        <w:rPr>
          <w:rFonts w:asciiTheme="minorHAnsi" w:hAnsiTheme="minorHAnsi" w:cstheme="minorHAnsi"/>
          <w:bCs/>
          <w:sz w:val="24"/>
          <w:szCs w:val="28"/>
          <w:lang w:val="cs-CZ"/>
        </w:rPr>
        <w:t>měnícím se poměru. Delší doba dožití je často spojena s dlouhým obdobím přítomnosti jedné a nezřídka více chronických chorob, které mají významný negativní dopad na kvalitu života zejména starších lidí, podílejí se výrazně na spotřebě péče z hlediska požadovaných kapacit i financí a vážou rostoucí počet vysoce kvalifikovaných lékařských i nelékařských odborníků. Jedním z výsledných efektů takového vývoje je dlouhodobě nestoupající počet let strávených ve zdraví u populace v ČR v porovnání s jinými rozvinutými zeměmi EU, kde při řešení otázek péče zejména o chronicky nemocné přistoupili k reformám, jejichž základní charakteristikou je integrace péče a její zefektivnění pomocí inovací.  V ČR je dosud (2020) tento problém adresován převážně tradičním extenzivním přístupem: více kapacit v nemocnicích, ambulancích, více lékařů, více sester, přičemž prakticky nedochází k systémovým změnám, které by reagovaly na vývoj v nárocích společnosti na dlouhodobou péči v porovnání s péčí o akutní případy. U chronicky nemocných dochází dále k deficitu soběstačnosti při zajišťování sociálních potřeb, který může v případě jeho nedostatečné vnější saturace vést až k nevratným procesům, které pak násobí nároky na vyžadovanou péči jak ze strany rodiny a blízkých nemocného, tak ze strany poskytovatelů zdravotní péče. Je zřejmé, že je nutné se soustředit jak na lepší koordinaci a rozvoj zdravotní péče zejména o chronicky nemocné, kdy bude zdravotní péče poskytována specializovanými poskytovateli zdravotních služeb v úzké spolupráci s praktickými lékaři, tak na propojení systému zdravotních a</w:t>
      </w:r>
      <w:r>
        <w:rPr>
          <w:rFonts w:asciiTheme="minorHAnsi" w:hAnsiTheme="minorHAnsi" w:cstheme="minorHAnsi"/>
          <w:bCs/>
          <w:sz w:val="24"/>
          <w:szCs w:val="28"/>
          <w:lang w:val="cs-CZ"/>
        </w:rPr>
        <w:t> </w:t>
      </w:r>
      <w:r w:rsidRPr="00B90F50">
        <w:rPr>
          <w:rFonts w:asciiTheme="minorHAnsi" w:hAnsiTheme="minorHAnsi" w:cstheme="minorHAnsi"/>
          <w:bCs/>
          <w:sz w:val="24"/>
          <w:szCs w:val="28"/>
          <w:lang w:val="cs-CZ"/>
        </w:rPr>
        <w:t>sociálních služeb, protože v rámci jejich legislativně i funkčně odděleného poskytování nelze adekvátně reagovat na měnící se potřeby osob s různou mírou závislosti.</w:t>
      </w:r>
      <w:r w:rsidRPr="00B90F50">
        <w:rPr>
          <w:rFonts w:asciiTheme="minorHAnsi" w:hAnsiTheme="minorHAnsi" w:cstheme="minorHAnsi"/>
          <w:sz w:val="24"/>
          <w:szCs w:val="28"/>
        </w:rPr>
        <w:t xml:space="preserve"> </w:t>
      </w:r>
      <w:r w:rsidRPr="00B90F50">
        <w:rPr>
          <w:rFonts w:asciiTheme="minorHAnsi" w:hAnsiTheme="minorHAnsi" w:cstheme="minorHAnsi"/>
          <w:bCs/>
          <w:sz w:val="24"/>
          <w:szCs w:val="28"/>
          <w:lang w:val="cs-CZ"/>
        </w:rPr>
        <w:t xml:space="preserve">Specifický cíl usiluje o to, aby </w:t>
      </w:r>
      <w:r w:rsidRPr="00B90F50">
        <w:rPr>
          <w:rFonts w:asciiTheme="minorHAnsi" w:hAnsiTheme="minorHAnsi" w:cstheme="minorHAnsi"/>
          <w:sz w:val="24"/>
          <w:szCs w:val="28"/>
          <w:lang w:val="cs-CZ"/>
        </w:rPr>
        <w:t>byly</w:t>
      </w:r>
      <w:r w:rsidRPr="00B90F50">
        <w:rPr>
          <w:rFonts w:asciiTheme="minorHAnsi" w:hAnsiTheme="minorHAnsi" w:cstheme="minorHAnsi"/>
          <w:bCs/>
          <w:sz w:val="24"/>
          <w:szCs w:val="28"/>
          <w:lang w:val="cs-CZ"/>
        </w:rPr>
        <w:t xml:space="preserve"> všem obyvatelům ČR dlouhodobě nepříznivém zdravotním stavu (v důsledku chronických</w:t>
      </w:r>
      <w:r>
        <w:rPr>
          <w:rFonts w:asciiTheme="minorHAnsi" w:hAnsiTheme="minorHAnsi" w:cstheme="minorHAnsi"/>
          <w:bCs/>
          <w:sz w:val="24"/>
          <w:szCs w:val="28"/>
          <w:lang w:val="cs-CZ"/>
        </w:rPr>
        <w:t xml:space="preserve"> </w:t>
      </w:r>
      <w:r w:rsidRPr="00B90F50">
        <w:rPr>
          <w:rFonts w:asciiTheme="minorHAnsi" w:hAnsiTheme="minorHAnsi" w:cstheme="minorHAnsi"/>
          <w:bCs/>
          <w:sz w:val="24"/>
          <w:szCs w:val="28"/>
          <w:lang w:val="cs-CZ"/>
        </w:rPr>
        <w:t>a</w:t>
      </w:r>
      <w:r>
        <w:rPr>
          <w:rFonts w:asciiTheme="minorHAnsi" w:hAnsiTheme="minorHAnsi" w:cstheme="minorHAnsi"/>
          <w:bCs/>
          <w:sz w:val="24"/>
          <w:szCs w:val="28"/>
          <w:lang w:val="cs-CZ"/>
        </w:rPr>
        <w:t xml:space="preserve"> </w:t>
      </w:r>
      <w:r w:rsidRPr="00B90F50">
        <w:rPr>
          <w:rFonts w:asciiTheme="minorHAnsi" w:hAnsiTheme="minorHAnsi" w:cstheme="minorHAnsi"/>
          <w:bCs/>
          <w:sz w:val="24"/>
          <w:szCs w:val="28"/>
          <w:lang w:val="cs-CZ"/>
        </w:rPr>
        <w:t>nevyléčitelných chorob, stárnutí apod.), zaručeny spravedlivé příležitosti k</w:t>
      </w:r>
      <w:r>
        <w:rPr>
          <w:rFonts w:asciiTheme="minorHAnsi" w:hAnsiTheme="minorHAnsi" w:cstheme="minorHAnsi"/>
          <w:bCs/>
          <w:sz w:val="24"/>
          <w:szCs w:val="28"/>
          <w:lang w:val="cs-CZ"/>
        </w:rPr>
        <w:t> </w:t>
      </w:r>
      <w:r w:rsidRPr="00B90F50">
        <w:rPr>
          <w:rFonts w:asciiTheme="minorHAnsi" w:hAnsiTheme="minorHAnsi" w:cstheme="minorHAnsi"/>
          <w:bCs/>
          <w:sz w:val="24"/>
          <w:szCs w:val="28"/>
          <w:lang w:val="cs-CZ"/>
        </w:rPr>
        <w:t>užívání zdravotních a sociálních služeb současně, a to v různé intenzitě a měnícím se poměru dle potřeb a ve všech potřebných formách (od ambulantních, terénních, poskytovaných ve vlastním sociálním prostředí, po lůžkové/pobytové, využitelné pro přechodné či trvalé řešení životní situace klienta), a to po celý životní cyklus obyvatel ČR. Široká oblast zahrnuje celé spektrum témat od systémových a regionálních opatření až po cíle stanovené pro vybrané roviny péče o pacienty s potřebou komplexní podpory</w:t>
      </w:r>
      <w:r>
        <w:rPr>
          <w:rFonts w:asciiTheme="minorHAnsi" w:hAnsiTheme="minorHAnsi" w:cstheme="minorHAnsi"/>
          <w:bCs/>
          <w:sz w:val="24"/>
          <w:szCs w:val="28"/>
          <w:lang w:val="cs-CZ"/>
        </w:rPr>
        <w:t>.</w:t>
      </w:r>
    </w:p>
    <w:p w:rsidR="00C23071" w:rsidRPr="00A955AF" w:rsidP="00C23071" w14:paraId="5FFCA4E6" w14:textId="77777777">
      <w:pPr>
        <w:pStyle w:val="Bntext"/>
        <w:ind w:firstLine="0"/>
        <w:rPr>
          <w:rFonts w:ascii="Arial" w:hAnsi="Arial" w:cs="Arial"/>
          <w:sz w:val="20"/>
          <w:szCs w:val="20"/>
          <w:lang w:val="cs-CZ"/>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1A159565"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C23071" w:rsidRPr="00A955AF" w:rsidP="00B56B1A" w14:paraId="7A4EE218"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FFFFCC"/>
            <w:vAlign w:val="center"/>
            <w:hideMark/>
          </w:tcPr>
          <w:p w:rsidR="00C23071" w:rsidRPr="00A955AF" w:rsidP="00B56B1A" w14:paraId="3F44AB0E" w14:textId="02142167">
            <w:pPr>
              <w:spacing w:line="276" w:lineRule="auto"/>
              <w:rPr>
                <w:rFonts w:eastAsiaTheme="minorHAnsi" w:cs="Arial"/>
                <w:b/>
                <w:color w:val="205493"/>
                <w:sz w:val="24"/>
              </w:rPr>
            </w:pPr>
            <w:r>
              <w:rPr>
                <w:rFonts w:cs="Arial"/>
                <w:b/>
                <w:color w:val="205493"/>
                <w:sz w:val="24"/>
              </w:rPr>
              <w:t>2.5 Péče na sociálně zdravotním pomezí</w:t>
            </w:r>
          </w:p>
        </w:tc>
        <w:tc>
          <w:tcPr>
            <w:tcW w:w="929" w:type="dxa"/>
            <w:tcBorders>
              <w:top w:val="single" w:sz="4" w:space="0" w:color="auto"/>
              <w:left w:val="nil"/>
              <w:bottom w:val="single" w:sz="4" w:space="0" w:color="auto"/>
              <w:right w:val="single" w:sz="4" w:space="0" w:color="auto"/>
            </w:tcBorders>
            <w:shd w:val="clear" w:color="auto" w:fill="FFFFCC"/>
            <w:vAlign w:val="center"/>
          </w:tcPr>
          <w:p w:rsidR="00C23071" w:rsidRPr="00A955AF" w:rsidP="00B56B1A" w14:paraId="48630723" w14:textId="1663DA65">
            <w:pPr>
              <w:spacing w:line="276" w:lineRule="auto"/>
              <w:jc w:val="right"/>
              <w:rPr>
                <w:rFonts w:eastAsiaTheme="minorHAnsi" w:cs="Arial"/>
                <w:b/>
                <w:color w:val="205493"/>
                <w:sz w:val="24"/>
              </w:rPr>
            </w:pPr>
          </w:p>
        </w:tc>
      </w:tr>
      <w:tr w14:paraId="5F1FB731" w14:textId="77777777" w:rsidTr="00B56B1A">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491108B3" w14:textId="77777777">
            <w:pPr>
              <w:spacing w:line="276" w:lineRule="auto"/>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0E54E2" w:rsidRPr="000E54E2" w:rsidP="000E54E2" w14:paraId="14392711" w14:textId="38DD0DD7">
            <w:pPr>
              <w:spacing w:line="276" w:lineRule="auto"/>
              <w:ind w:left="743" w:hanging="709"/>
              <w:rPr>
                <w:rFonts w:cs="Arial"/>
                <w:sz w:val="24"/>
              </w:rPr>
            </w:pPr>
            <w:r w:rsidRPr="000E54E2">
              <w:rPr>
                <w:rFonts w:cs="Arial"/>
                <w:sz w:val="24"/>
              </w:rPr>
              <w:t>2.5.1       Vytvoření systémových nástrojů pro podporu a rozvoj integrované zdravotní a</w:t>
            </w:r>
            <w:r>
              <w:rPr>
                <w:rFonts w:cs="Arial"/>
                <w:sz w:val="24"/>
              </w:rPr>
              <w:t xml:space="preserve"> </w:t>
            </w:r>
            <w:r w:rsidRPr="000E54E2">
              <w:rPr>
                <w:rFonts w:cs="Arial"/>
                <w:sz w:val="24"/>
              </w:rPr>
              <w:t>sociální péče a pro standardizaci mechanismů posilujících funkčnost integrovanýc</w:t>
            </w:r>
            <w:r>
              <w:rPr>
                <w:rFonts w:cs="Arial"/>
                <w:sz w:val="24"/>
              </w:rPr>
              <w:t xml:space="preserve">h </w:t>
            </w:r>
            <w:r w:rsidRPr="000E54E2">
              <w:rPr>
                <w:rFonts w:cs="Arial"/>
                <w:sz w:val="24"/>
              </w:rPr>
              <w:t>zdravotních a sociálních služeb</w:t>
            </w:r>
          </w:p>
          <w:p w:rsidR="000E54E2" w:rsidRPr="000E54E2" w:rsidP="000E54E2" w14:paraId="6F9C79B6" w14:textId="77777777">
            <w:pPr>
              <w:spacing w:line="276" w:lineRule="auto"/>
              <w:ind w:left="743" w:hanging="709"/>
              <w:rPr>
                <w:rFonts w:cs="Arial"/>
                <w:sz w:val="24"/>
              </w:rPr>
            </w:pPr>
            <w:r w:rsidRPr="000E54E2">
              <w:rPr>
                <w:rFonts w:cs="Arial"/>
                <w:sz w:val="24"/>
              </w:rPr>
              <w:t>2.5.2</w:t>
            </w:r>
            <w:r w:rsidRPr="000E54E2">
              <w:rPr>
                <w:rFonts w:cs="Arial"/>
                <w:sz w:val="24"/>
              </w:rPr>
              <w:tab/>
              <w:t>Tvorba a realizace regionálně specifických modelů podpory integrované zdravotní a sociální (dlouhodobé) péče</w:t>
            </w:r>
          </w:p>
          <w:p w:rsidR="000E54E2" w:rsidRPr="000E54E2" w:rsidP="000E54E2" w14:paraId="60F62058" w14:textId="6FCCA084">
            <w:pPr>
              <w:spacing w:line="276" w:lineRule="auto"/>
              <w:ind w:left="743" w:hanging="709"/>
              <w:rPr>
                <w:rFonts w:cs="Arial"/>
                <w:sz w:val="24"/>
              </w:rPr>
            </w:pPr>
            <w:r w:rsidRPr="000E54E2">
              <w:rPr>
                <w:rFonts w:cs="Arial"/>
                <w:sz w:val="24"/>
              </w:rPr>
              <w:t>2.5.3</w:t>
            </w:r>
            <w:r w:rsidRPr="000E54E2">
              <w:rPr>
                <w:rFonts w:cs="Arial"/>
                <w:sz w:val="24"/>
              </w:rPr>
              <w:tab/>
            </w:r>
            <w:r w:rsidR="00A3263B">
              <w:rPr>
                <w:rFonts w:cs="Arial"/>
                <w:sz w:val="24"/>
              </w:rPr>
              <w:t>Posílení r</w:t>
            </w:r>
            <w:r w:rsidRPr="000E54E2">
              <w:rPr>
                <w:rFonts w:cs="Arial"/>
                <w:sz w:val="24"/>
              </w:rPr>
              <w:t>ole praktických lékařů a dalších poskytovatelů zdravotních služeb v procesu poskytování integrované zdravotní a</w:t>
            </w:r>
            <w:r w:rsidR="00D13FED">
              <w:rPr>
                <w:rFonts w:cs="Arial"/>
                <w:sz w:val="24"/>
              </w:rPr>
              <w:t> </w:t>
            </w:r>
            <w:r w:rsidRPr="000E54E2">
              <w:rPr>
                <w:rFonts w:cs="Arial"/>
                <w:sz w:val="24"/>
              </w:rPr>
              <w:t>sociální péče</w:t>
            </w:r>
          </w:p>
          <w:p w:rsidR="000E54E2" w:rsidRPr="000E54E2" w:rsidP="000E54E2" w14:paraId="0A20A17E" w14:textId="60EE0841">
            <w:pPr>
              <w:spacing w:line="276" w:lineRule="auto"/>
              <w:ind w:left="743" w:hanging="709"/>
              <w:rPr>
                <w:rFonts w:cs="Arial"/>
                <w:sz w:val="24"/>
              </w:rPr>
            </w:pPr>
            <w:r w:rsidRPr="000E54E2">
              <w:rPr>
                <w:rFonts w:cs="Arial"/>
                <w:sz w:val="24"/>
              </w:rPr>
              <w:t>2.5.4</w:t>
            </w:r>
            <w:r w:rsidRPr="000E54E2">
              <w:rPr>
                <w:rFonts w:cs="Arial"/>
                <w:sz w:val="24"/>
              </w:rPr>
              <w:tab/>
              <w:t>Zvýšení dostupnosti integrovaných zdravotních a sociálních služeb</w:t>
            </w:r>
          </w:p>
          <w:p w:rsidR="000E54E2" w:rsidRPr="000E54E2" w:rsidP="000E54E2" w14:paraId="4F962E02" w14:textId="26BF9A47">
            <w:pPr>
              <w:spacing w:line="276" w:lineRule="auto"/>
              <w:ind w:left="743" w:hanging="709"/>
              <w:rPr>
                <w:rFonts w:cs="Arial"/>
                <w:sz w:val="24"/>
              </w:rPr>
            </w:pPr>
            <w:r w:rsidRPr="000E54E2">
              <w:rPr>
                <w:rFonts w:cs="Arial"/>
                <w:sz w:val="24"/>
              </w:rPr>
              <w:t>2.5.5</w:t>
            </w:r>
            <w:r w:rsidRPr="000E54E2">
              <w:rPr>
                <w:rFonts w:cs="Arial"/>
                <w:sz w:val="24"/>
              </w:rPr>
              <w:tab/>
              <w:t xml:space="preserve">Zvýšení kvality života pacientů s dlouhodobým chronickým onemocněním </w:t>
            </w:r>
          </w:p>
          <w:p w:rsidR="000E54E2" w:rsidRPr="000E54E2" w:rsidP="000E54E2" w14:paraId="10E37E8F" w14:textId="08882718">
            <w:pPr>
              <w:spacing w:line="276" w:lineRule="auto"/>
              <w:ind w:left="743" w:hanging="709"/>
              <w:rPr>
                <w:rFonts w:cs="Arial"/>
                <w:sz w:val="24"/>
              </w:rPr>
            </w:pPr>
            <w:r w:rsidRPr="000E54E2">
              <w:rPr>
                <w:rFonts w:cs="Arial"/>
                <w:sz w:val="24"/>
              </w:rPr>
              <w:t>2.5.6</w:t>
            </w:r>
            <w:r w:rsidRPr="000E54E2">
              <w:rPr>
                <w:rFonts w:cs="Arial"/>
                <w:sz w:val="24"/>
              </w:rPr>
              <w:tab/>
              <w:t xml:space="preserve">Optimalizace lůžkového fondu a zvýšení dostupnosti následné a dlouhodobé péče </w:t>
            </w:r>
          </w:p>
          <w:p w:rsidR="000E54E2" w:rsidRPr="000E54E2" w:rsidP="000E54E2" w14:paraId="40E1C8B3" w14:textId="1F8E6884">
            <w:pPr>
              <w:spacing w:line="276" w:lineRule="auto"/>
              <w:ind w:left="743" w:hanging="709"/>
              <w:rPr>
                <w:rFonts w:cs="Arial"/>
                <w:sz w:val="24"/>
              </w:rPr>
            </w:pPr>
            <w:r w:rsidRPr="000E54E2">
              <w:rPr>
                <w:rFonts w:cs="Arial"/>
                <w:sz w:val="24"/>
              </w:rPr>
              <w:t>2.5.7</w:t>
            </w:r>
            <w:r w:rsidRPr="000E54E2">
              <w:rPr>
                <w:rFonts w:cs="Arial"/>
                <w:sz w:val="24"/>
              </w:rPr>
              <w:tab/>
              <w:t xml:space="preserve">Posílení péče poskytované v domácím prostředí pacientů </w:t>
            </w:r>
          </w:p>
          <w:p w:rsidR="000E54E2" w:rsidRPr="000E54E2" w:rsidP="000E54E2" w14:paraId="30DD565E" w14:textId="1836D43A">
            <w:pPr>
              <w:spacing w:line="276" w:lineRule="auto"/>
              <w:ind w:left="743" w:hanging="709"/>
              <w:rPr>
                <w:rFonts w:cs="Arial"/>
                <w:sz w:val="24"/>
              </w:rPr>
            </w:pPr>
            <w:r w:rsidRPr="000E54E2">
              <w:rPr>
                <w:rFonts w:cs="Arial"/>
                <w:sz w:val="24"/>
              </w:rPr>
              <w:t>2.5.8</w:t>
            </w:r>
            <w:r w:rsidRPr="000E54E2">
              <w:rPr>
                <w:rFonts w:cs="Arial"/>
                <w:sz w:val="24"/>
              </w:rPr>
              <w:tab/>
            </w:r>
            <w:r w:rsidR="00A3263B">
              <w:rPr>
                <w:rFonts w:cs="Arial"/>
                <w:sz w:val="24"/>
              </w:rPr>
              <w:t>O</w:t>
            </w:r>
            <w:r w:rsidRPr="000E54E2" w:rsidR="00A3263B">
              <w:rPr>
                <w:rFonts w:cs="Arial"/>
                <w:sz w:val="24"/>
              </w:rPr>
              <w:t xml:space="preserve">ptimalizace </w:t>
            </w:r>
            <w:r w:rsidR="00A3263B">
              <w:rPr>
                <w:rFonts w:cs="Arial"/>
                <w:sz w:val="24"/>
              </w:rPr>
              <w:t xml:space="preserve">programů </w:t>
            </w:r>
            <w:r w:rsidRPr="000E54E2">
              <w:rPr>
                <w:rFonts w:cs="Arial"/>
                <w:sz w:val="24"/>
              </w:rPr>
              <w:t>a zvyšování dostupnosti paliativní péče ve všech formách (konziliární paliativní péče v</w:t>
            </w:r>
            <w:r w:rsidR="00D13FED">
              <w:rPr>
                <w:rFonts w:cs="Arial"/>
                <w:sz w:val="24"/>
              </w:rPr>
              <w:t> </w:t>
            </w:r>
            <w:r w:rsidRPr="000E54E2">
              <w:rPr>
                <w:rFonts w:cs="Arial"/>
                <w:sz w:val="24"/>
              </w:rPr>
              <w:t>nemocnicích, mobilní specializovaná PP, domácí péče, hospicová péče)</w:t>
            </w:r>
          </w:p>
          <w:p w:rsidR="00C23071" w:rsidRPr="00A955AF" w:rsidP="000E54E2" w14:paraId="0CACE026" w14:textId="0A787AAF">
            <w:pPr>
              <w:spacing w:line="276" w:lineRule="auto"/>
              <w:ind w:left="743" w:hanging="709"/>
              <w:rPr>
                <w:rFonts w:eastAsiaTheme="minorHAnsi" w:cs="Arial"/>
                <w:sz w:val="24"/>
              </w:rPr>
            </w:pPr>
            <w:r w:rsidRPr="000E54E2">
              <w:rPr>
                <w:rFonts w:cs="Arial"/>
                <w:sz w:val="24"/>
              </w:rPr>
              <w:t>2.5.9</w:t>
            </w:r>
            <w:r w:rsidRPr="000E54E2">
              <w:rPr>
                <w:rFonts w:cs="Arial"/>
                <w:sz w:val="24"/>
              </w:rPr>
              <w:tab/>
            </w:r>
            <w:r w:rsidR="00A3263B">
              <w:rPr>
                <w:rFonts w:cs="Arial"/>
                <w:sz w:val="24"/>
              </w:rPr>
              <w:t>Podpora</w:t>
            </w:r>
            <w:r w:rsidRPr="000E54E2">
              <w:rPr>
                <w:rFonts w:cs="Arial"/>
                <w:sz w:val="24"/>
              </w:rPr>
              <w:t xml:space="preserve"> rodinných příslušníků a jiných laických pečovatelů v dlouhodobé péči</w:t>
            </w:r>
            <w:r w:rsidR="00A3263B">
              <w:rPr>
                <w:rFonts w:cs="Arial"/>
                <w:sz w:val="24"/>
              </w:rPr>
              <w:t xml:space="preserve"> prostřednictvím programů</w:t>
            </w:r>
          </w:p>
        </w:tc>
      </w:tr>
      <w:tr w14:paraId="1150EEFA"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5EC3C524" w14:textId="77777777">
            <w:pPr>
              <w:spacing w:line="276" w:lineRule="auto"/>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0E54E2" w:rsidRPr="000E54E2" w:rsidP="006C359E" w14:paraId="6F503721" w14:textId="490317D7">
            <w:pPr>
              <w:pStyle w:val="NormalWeb"/>
              <w:numPr>
                <w:ilvl w:val="0"/>
                <w:numId w:val="36"/>
              </w:numPr>
              <w:spacing w:before="100" w:beforeAutospacing="1" w:after="100" w:afterAutospacing="1"/>
              <w:jc w:val="both"/>
              <w:rPr>
                <w:rFonts w:eastAsia="Times New Roman" w:asciiTheme="minorHAnsi" w:hAnsiTheme="minorHAnsi" w:cs="Arial"/>
                <w:color w:val="000000"/>
              </w:rPr>
            </w:pPr>
            <w:r w:rsidRPr="000E54E2">
              <w:rPr>
                <w:rFonts w:eastAsia="Times New Roman" w:asciiTheme="minorHAnsi" w:hAnsiTheme="minorHAnsi" w:cs="Arial"/>
                <w:color w:val="000000"/>
              </w:rPr>
              <w:t>Nastavení systémových opatření vedoucích k</w:t>
            </w:r>
            <w:r w:rsidR="00D13FED">
              <w:rPr>
                <w:rFonts w:eastAsia="Times New Roman" w:asciiTheme="minorHAnsi" w:hAnsiTheme="minorHAnsi" w:cs="Arial"/>
                <w:color w:val="000000"/>
              </w:rPr>
              <w:t> </w:t>
            </w:r>
            <w:r w:rsidRPr="000E54E2">
              <w:rPr>
                <w:rFonts w:eastAsia="Times New Roman" w:asciiTheme="minorHAnsi" w:hAnsiTheme="minorHAnsi" w:cs="Arial"/>
                <w:color w:val="000000"/>
              </w:rPr>
              <w:t>propojování a integraci zdravotní a sociální péče o</w:t>
            </w:r>
            <w:r w:rsidR="00D13FED">
              <w:rPr>
                <w:rFonts w:eastAsia="Times New Roman" w:asciiTheme="minorHAnsi" w:hAnsiTheme="minorHAnsi" w:cs="Arial"/>
                <w:color w:val="000000"/>
              </w:rPr>
              <w:t> </w:t>
            </w:r>
            <w:r w:rsidRPr="000E54E2">
              <w:rPr>
                <w:rFonts w:eastAsia="Times New Roman" w:asciiTheme="minorHAnsi" w:hAnsiTheme="minorHAnsi" w:cs="Arial"/>
                <w:color w:val="000000"/>
              </w:rPr>
              <w:t>osoby s potřebou komplexní podpory</w:t>
            </w:r>
          </w:p>
          <w:p w:rsidR="000E54E2" w:rsidRPr="000E54E2" w:rsidP="006C359E" w14:paraId="420163C9" w14:textId="2066008A">
            <w:pPr>
              <w:pStyle w:val="NormalWeb"/>
              <w:numPr>
                <w:ilvl w:val="0"/>
                <w:numId w:val="36"/>
              </w:numPr>
              <w:spacing w:before="100" w:beforeAutospacing="1" w:after="100" w:afterAutospacing="1"/>
              <w:jc w:val="both"/>
              <w:rPr>
                <w:rFonts w:eastAsia="Times New Roman" w:asciiTheme="minorHAnsi" w:hAnsiTheme="minorHAnsi" w:cs="Arial"/>
                <w:color w:val="000000"/>
              </w:rPr>
            </w:pPr>
            <w:r w:rsidRPr="000E54E2">
              <w:rPr>
                <w:rFonts w:eastAsia="Times New Roman" w:asciiTheme="minorHAnsi" w:hAnsiTheme="minorHAnsi" w:cs="Arial"/>
                <w:color w:val="000000"/>
              </w:rPr>
              <w:t>Příprava a realizace základního modelu podpory integrované sociálně zdravotní péče a nástrojů pro kraje</w:t>
            </w:r>
          </w:p>
          <w:p w:rsidR="000E54E2" w:rsidRPr="000E54E2" w:rsidP="006C359E" w14:paraId="129F0763" w14:textId="6EF737A9">
            <w:pPr>
              <w:pStyle w:val="NormalWeb"/>
              <w:numPr>
                <w:ilvl w:val="0"/>
                <w:numId w:val="36"/>
              </w:numPr>
              <w:spacing w:before="100" w:beforeAutospacing="1" w:after="100" w:afterAutospacing="1"/>
              <w:jc w:val="both"/>
              <w:rPr>
                <w:rFonts w:eastAsia="Times New Roman" w:asciiTheme="minorHAnsi" w:hAnsiTheme="minorHAnsi" w:cs="Arial"/>
                <w:color w:val="000000"/>
              </w:rPr>
            </w:pPr>
            <w:r w:rsidRPr="000E54E2">
              <w:rPr>
                <w:rFonts w:eastAsia="Times New Roman" w:asciiTheme="minorHAnsi" w:hAnsiTheme="minorHAnsi" w:cs="Arial"/>
                <w:color w:val="000000"/>
              </w:rPr>
              <w:t>Vznik a rozvoj – multidisciplinárních přístupů v péči o</w:t>
            </w:r>
            <w:r w:rsidR="00D13FED">
              <w:rPr>
                <w:rFonts w:eastAsia="Times New Roman" w:asciiTheme="minorHAnsi" w:hAnsiTheme="minorHAnsi" w:cs="Arial"/>
                <w:color w:val="000000"/>
              </w:rPr>
              <w:t> </w:t>
            </w:r>
            <w:r w:rsidRPr="000E54E2">
              <w:rPr>
                <w:rFonts w:eastAsia="Times New Roman" w:asciiTheme="minorHAnsi" w:hAnsiTheme="minorHAnsi" w:cs="Arial"/>
                <w:color w:val="000000"/>
              </w:rPr>
              <w:t>pacienty s dlouhodobým chronickým onemocněním se zapojením praktických lékařů a dalších poskytovatelů zdravotních služeb</w:t>
            </w:r>
          </w:p>
          <w:p w:rsidR="000E54E2" w:rsidRPr="000E54E2" w:rsidP="006C359E" w14:paraId="5651F620" w14:textId="554DB2F2">
            <w:pPr>
              <w:pStyle w:val="NormalWeb"/>
              <w:numPr>
                <w:ilvl w:val="0"/>
                <w:numId w:val="36"/>
              </w:numPr>
              <w:spacing w:before="100" w:beforeAutospacing="1" w:after="100" w:afterAutospacing="1"/>
              <w:jc w:val="both"/>
              <w:rPr>
                <w:rFonts w:eastAsia="Times New Roman" w:asciiTheme="minorHAnsi" w:hAnsiTheme="minorHAnsi" w:cs="Arial"/>
                <w:color w:val="000000"/>
              </w:rPr>
            </w:pPr>
            <w:r w:rsidRPr="000E54E2">
              <w:rPr>
                <w:rFonts w:eastAsia="Times New Roman" w:asciiTheme="minorHAnsi" w:hAnsiTheme="minorHAnsi" w:cs="Arial"/>
                <w:color w:val="000000"/>
              </w:rPr>
              <w:t>Standardizace multidisciplinární spolupráce a konziliární podpory pro specializované lékařské obory v péči o</w:t>
            </w:r>
            <w:r w:rsidR="00D13FED">
              <w:rPr>
                <w:rFonts w:eastAsia="Times New Roman" w:asciiTheme="minorHAnsi" w:hAnsiTheme="minorHAnsi" w:cs="Arial"/>
                <w:color w:val="000000"/>
              </w:rPr>
              <w:t> </w:t>
            </w:r>
            <w:r w:rsidRPr="000E54E2">
              <w:rPr>
                <w:rFonts w:eastAsia="Times New Roman" w:asciiTheme="minorHAnsi" w:hAnsiTheme="minorHAnsi" w:cs="Arial"/>
                <w:color w:val="000000"/>
              </w:rPr>
              <w:t>pacienty s dlouhodobým chronickým onemocněním</w:t>
            </w:r>
          </w:p>
          <w:p w:rsidR="000E54E2" w:rsidRPr="000E54E2" w:rsidP="006C359E" w14:paraId="730B833D" w14:textId="5AF7827F">
            <w:pPr>
              <w:pStyle w:val="NormalWeb"/>
              <w:numPr>
                <w:ilvl w:val="0"/>
                <w:numId w:val="36"/>
              </w:numPr>
              <w:spacing w:before="100" w:beforeAutospacing="1" w:after="100" w:afterAutospacing="1"/>
              <w:jc w:val="both"/>
              <w:rPr>
                <w:rFonts w:eastAsia="Times New Roman" w:asciiTheme="minorHAnsi" w:hAnsiTheme="minorHAnsi" w:cs="Arial"/>
                <w:color w:val="000000"/>
              </w:rPr>
            </w:pPr>
            <w:r w:rsidRPr="000E54E2">
              <w:rPr>
                <w:rFonts w:eastAsia="Times New Roman" w:asciiTheme="minorHAnsi" w:hAnsiTheme="minorHAnsi" w:cs="Arial"/>
                <w:color w:val="000000"/>
              </w:rPr>
              <w:t>Podpora rozvoje a dostupnosti zdravotní péče o pacienty se vzácným onemocněním</w:t>
            </w:r>
          </w:p>
          <w:p w:rsidR="00C23071" w:rsidRPr="000E54E2" w:rsidP="006C359E" w14:paraId="59F118CA" w14:textId="6C831438">
            <w:pPr>
              <w:pStyle w:val="NormalWeb"/>
              <w:numPr>
                <w:ilvl w:val="0"/>
                <w:numId w:val="36"/>
              </w:numPr>
              <w:spacing w:before="100" w:beforeAutospacing="1" w:after="100" w:afterAutospacing="1"/>
              <w:jc w:val="both"/>
              <w:rPr>
                <w:rFonts w:eastAsia="Times New Roman" w:asciiTheme="minorHAnsi" w:hAnsiTheme="minorHAnsi" w:cs="Arial"/>
                <w:color w:val="000000"/>
              </w:rPr>
            </w:pPr>
            <w:r w:rsidRPr="000E54E2">
              <w:rPr>
                <w:rFonts w:eastAsia="Times New Roman" w:asciiTheme="minorHAnsi" w:hAnsiTheme="minorHAnsi" w:cs="Arial"/>
                <w:color w:val="000000"/>
              </w:rPr>
              <w:t>Detailní analýza lůžkové kapacity a její struktury ve</w:t>
            </w:r>
            <w:r w:rsidR="00D13FED">
              <w:rPr>
                <w:rFonts w:eastAsia="Times New Roman" w:asciiTheme="minorHAnsi" w:hAnsiTheme="minorHAnsi" w:cs="Arial"/>
                <w:color w:val="000000"/>
              </w:rPr>
              <w:t> </w:t>
            </w:r>
            <w:r w:rsidRPr="000E54E2">
              <w:rPr>
                <w:rFonts w:eastAsia="Times New Roman" w:asciiTheme="minorHAnsi" w:hAnsiTheme="minorHAnsi" w:cs="Arial"/>
                <w:color w:val="000000"/>
              </w:rPr>
              <w:t>vybraných regionech ČR</w:t>
            </w:r>
          </w:p>
        </w:tc>
      </w:tr>
      <w:tr w14:paraId="30E54DC7"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5AB6A334"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2B9FEA1E" w14:textId="2B8264FE">
            <w:pPr>
              <w:spacing w:line="276" w:lineRule="auto"/>
              <w:rPr>
                <w:rFonts w:eastAsiaTheme="minorHAnsi" w:cs="Arial"/>
                <w:sz w:val="24"/>
              </w:rPr>
            </w:pPr>
            <w:r w:rsidRPr="00A955AF">
              <w:rPr>
                <w:rFonts w:cs="Arial"/>
                <w:sz w:val="24"/>
              </w:rPr>
              <w:t>MZ</w:t>
            </w:r>
            <w:r w:rsidR="000E54E2">
              <w:rPr>
                <w:rFonts w:cs="Arial"/>
                <w:sz w:val="24"/>
              </w:rPr>
              <w:t>D – vrchní ředitel sekce zdravotní péče</w:t>
            </w:r>
          </w:p>
        </w:tc>
      </w:tr>
      <w:tr w14:paraId="10F5666B"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4683E33D"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C23071" w:rsidP="00B56B1A" w14:paraId="4CB16B09" w14:textId="6E921855">
            <w:pPr>
              <w:spacing w:line="276" w:lineRule="auto"/>
              <w:rPr>
                <w:rFonts w:cs="Arial"/>
                <w:sz w:val="24"/>
              </w:rPr>
            </w:pPr>
            <w:r>
              <w:rPr>
                <w:rFonts w:cs="Arial"/>
                <w:sz w:val="24"/>
              </w:rPr>
              <w:t xml:space="preserve">ÚZIS, SÚKL, IPVZ, NCO NZO, NÚDZ, </w:t>
            </w:r>
            <w:r w:rsidRPr="00A955AF">
              <w:rPr>
                <w:rFonts w:cs="Arial"/>
                <w:sz w:val="24"/>
              </w:rPr>
              <w:t xml:space="preserve">MPSV, MMR, MSp, MŠMT, MV, </w:t>
            </w:r>
            <w:r>
              <w:rPr>
                <w:rFonts w:cs="Arial"/>
                <w:sz w:val="24"/>
              </w:rPr>
              <w:t xml:space="preserve">ČLS JEP, </w:t>
            </w:r>
            <w:r w:rsidRPr="00A955AF">
              <w:rPr>
                <w:rFonts w:cs="Arial"/>
                <w:sz w:val="24"/>
              </w:rPr>
              <w:t>kraje, obce, nevládní sektor, zdravotní pojišťovny, pacientské organizace, Svaz měst a</w:t>
            </w:r>
            <w:r>
              <w:rPr>
                <w:rFonts w:cs="Arial"/>
                <w:sz w:val="24"/>
              </w:rPr>
              <w:t> </w:t>
            </w:r>
            <w:r w:rsidRPr="00A955AF">
              <w:rPr>
                <w:rFonts w:cs="Arial"/>
                <w:sz w:val="24"/>
              </w:rPr>
              <w:t>obcí ČR a Sdružení místních samospráv</w:t>
            </w:r>
            <w:r>
              <w:rPr>
                <w:rFonts w:cs="Arial"/>
                <w:sz w:val="24"/>
              </w:rPr>
              <w:t>,</w:t>
            </w:r>
            <w:r w:rsidRPr="00A955AF">
              <w:rPr>
                <w:rFonts w:cs="Arial"/>
                <w:sz w:val="24"/>
              </w:rPr>
              <w:t xml:space="preserve"> </w:t>
            </w:r>
            <w:r w:rsidRPr="00B93A8A">
              <w:rPr>
                <w:rFonts w:cs="Arial"/>
                <w:sz w:val="24"/>
              </w:rPr>
              <w:t>Asociace krajů ČR,</w:t>
            </w:r>
            <w:r>
              <w:rPr>
                <w:rFonts w:cs="Arial"/>
                <w:color w:val="auto"/>
                <w:szCs w:val="22"/>
              </w:rPr>
              <w:t xml:space="preserve"> </w:t>
            </w:r>
            <w:r w:rsidRPr="00B93A8A">
              <w:rPr>
                <w:rFonts w:cs="Arial"/>
                <w:sz w:val="24"/>
              </w:rPr>
              <w:t xml:space="preserve">NNO, poskytovatelé zdravotních </w:t>
            </w:r>
            <w:r w:rsidRPr="00B93A8A">
              <w:rPr>
                <w:rFonts w:cs="Arial"/>
                <w:sz w:val="24"/>
              </w:rPr>
              <w:t>a</w:t>
            </w:r>
            <w:r>
              <w:rPr>
                <w:rFonts w:cs="Arial"/>
                <w:sz w:val="24"/>
              </w:rPr>
              <w:t> </w:t>
            </w:r>
            <w:r w:rsidRPr="00B93A8A">
              <w:rPr>
                <w:rFonts w:cs="Arial"/>
                <w:sz w:val="24"/>
              </w:rPr>
              <w:t>sociálních služeb</w:t>
            </w:r>
            <w:r>
              <w:rPr>
                <w:rFonts w:cs="Arial"/>
                <w:sz w:val="24"/>
              </w:rPr>
              <w:t xml:space="preserve">, </w:t>
            </w:r>
            <w:r w:rsidRPr="008A62BC">
              <w:rPr>
                <w:rFonts w:cs="Arial"/>
                <w:sz w:val="24"/>
              </w:rPr>
              <w:t>odborná veřejnost, akademická sféra, zdravotní pojišťovny</w:t>
            </w:r>
            <w:r>
              <w:rPr>
                <w:rFonts w:cs="Arial"/>
                <w:sz w:val="24"/>
              </w:rPr>
              <w:t xml:space="preserve">, </w:t>
            </w:r>
            <w:r w:rsidR="000E54E2">
              <w:rPr>
                <w:rFonts w:cs="Arial"/>
                <w:sz w:val="24"/>
              </w:rPr>
              <w:t>profesní organizace</w:t>
            </w:r>
          </w:p>
          <w:p w:rsidR="00C23071" w:rsidRPr="00A955AF" w:rsidP="00B56B1A" w14:paraId="4D6403DF" w14:textId="77777777">
            <w:pPr>
              <w:spacing w:line="276" w:lineRule="auto"/>
              <w:rPr>
                <w:rFonts w:eastAsiaTheme="minorHAnsi" w:cs="Arial"/>
                <w:sz w:val="24"/>
              </w:rPr>
            </w:pPr>
          </w:p>
        </w:tc>
      </w:tr>
      <w:tr w14:paraId="240B3A73" w14:textId="77777777" w:rsidTr="00B56B1A">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3166D9A2"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51B7EF9F" w14:textId="46EBA249">
            <w:pPr>
              <w:rPr>
                <w:rFonts w:cs="Arial"/>
                <w:sz w:val="24"/>
              </w:rPr>
            </w:pPr>
            <w:r w:rsidRPr="00A955AF">
              <w:rPr>
                <w:rFonts w:cs="Arial"/>
                <w:sz w:val="24"/>
              </w:rPr>
              <w:t>1.1</w:t>
            </w:r>
            <w:r w:rsidR="000E54E2">
              <w:rPr>
                <w:rFonts w:cs="Arial"/>
                <w:sz w:val="24"/>
              </w:rPr>
              <w:t xml:space="preserve"> Primární prevence a ochrana veřejného zdraví</w:t>
            </w:r>
          </w:p>
          <w:p w:rsidR="00C23071" w:rsidRPr="00A955AF" w:rsidP="00B56B1A" w14:paraId="18708373" w14:textId="08B5220F">
            <w:pPr>
              <w:ind w:left="743" w:hanging="743"/>
              <w:rPr>
                <w:rFonts w:cs="Arial"/>
                <w:sz w:val="24"/>
              </w:rPr>
            </w:pPr>
            <w:r>
              <w:rPr>
                <w:rFonts w:eastAsiaTheme="minorHAnsi" w:cs="Arial"/>
                <w:sz w:val="24"/>
              </w:rPr>
              <w:t>2.1 Reforma primární péče</w:t>
            </w:r>
          </w:p>
          <w:p w:rsidR="00C23071" w:rsidRPr="00A955AF" w:rsidP="00B56B1A" w14:paraId="2F6FA0B4" w14:textId="797A2B0C">
            <w:pPr>
              <w:rPr>
                <w:rFonts w:cs="Arial"/>
                <w:sz w:val="24"/>
              </w:rPr>
            </w:pPr>
            <w:r w:rsidRPr="00A955AF">
              <w:rPr>
                <w:rFonts w:cs="Arial"/>
                <w:sz w:val="24"/>
              </w:rPr>
              <w:t>2.2</w:t>
            </w:r>
            <w:r w:rsidR="000E54E2">
              <w:rPr>
                <w:rFonts w:cs="Arial"/>
                <w:sz w:val="24"/>
              </w:rPr>
              <w:t xml:space="preserve"> </w:t>
            </w:r>
            <w:r w:rsidRPr="00A955AF">
              <w:rPr>
                <w:rFonts w:cs="Arial"/>
                <w:sz w:val="24"/>
              </w:rPr>
              <w:t>Personální stabilizace resortu zdravotnictví</w:t>
            </w:r>
          </w:p>
          <w:p w:rsidR="00C23071" w:rsidRPr="00A955AF" w:rsidP="00B56B1A" w14:paraId="6874EFA2" w14:textId="4F0F037A">
            <w:pPr>
              <w:rPr>
                <w:rFonts w:cs="Arial"/>
                <w:sz w:val="24"/>
              </w:rPr>
            </w:pPr>
            <w:r w:rsidRPr="00A955AF">
              <w:rPr>
                <w:rFonts w:cs="Arial"/>
                <w:sz w:val="24"/>
              </w:rPr>
              <w:t>2.3</w:t>
            </w:r>
            <w:r w:rsidR="000E54E2">
              <w:rPr>
                <w:rFonts w:cs="Arial"/>
                <w:sz w:val="24"/>
              </w:rPr>
              <w:t xml:space="preserve"> </w:t>
            </w:r>
            <w:r w:rsidRPr="00A955AF">
              <w:rPr>
                <w:rFonts w:cs="Arial"/>
                <w:sz w:val="24"/>
              </w:rPr>
              <w:t>Digitalizace zdravotnictví</w:t>
            </w:r>
          </w:p>
          <w:p w:rsidR="00C23071" w:rsidP="00B56B1A" w14:paraId="15BF3311" w14:textId="1970E33A">
            <w:pPr>
              <w:spacing w:line="276" w:lineRule="auto"/>
              <w:rPr>
                <w:rFonts w:cs="Arial"/>
                <w:sz w:val="24"/>
              </w:rPr>
            </w:pPr>
            <w:r w:rsidRPr="00A955AF">
              <w:rPr>
                <w:rFonts w:cs="Arial"/>
                <w:sz w:val="24"/>
              </w:rPr>
              <w:t>2.4</w:t>
            </w:r>
            <w:r w:rsidR="000E54E2">
              <w:rPr>
                <w:rFonts w:cs="Arial"/>
                <w:sz w:val="24"/>
              </w:rPr>
              <w:t xml:space="preserve"> </w:t>
            </w:r>
            <w:r w:rsidRPr="00A955AF">
              <w:rPr>
                <w:rFonts w:cs="Arial"/>
                <w:sz w:val="24"/>
              </w:rPr>
              <w:t>Optimalizace systému úhrad ve zdravotnictví</w:t>
            </w:r>
          </w:p>
          <w:p w:rsidR="000E54E2" w:rsidP="00B56B1A" w14:paraId="7E5EE9A0" w14:textId="77777777">
            <w:pPr>
              <w:spacing w:line="276" w:lineRule="auto"/>
              <w:rPr>
                <w:rFonts w:cs="Arial"/>
                <w:sz w:val="24"/>
              </w:rPr>
            </w:pPr>
            <w:r>
              <w:rPr>
                <w:rFonts w:cs="Arial"/>
                <w:sz w:val="24"/>
              </w:rPr>
              <w:t>2.6 Péče o duševní zdraví</w:t>
            </w:r>
          </w:p>
          <w:p w:rsidR="000E54E2" w:rsidP="00B56B1A" w14:paraId="074C346A" w14:textId="77777777">
            <w:pPr>
              <w:spacing w:line="276" w:lineRule="auto"/>
              <w:rPr>
                <w:rFonts w:cs="Arial"/>
                <w:sz w:val="24"/>
              </w:rPr>
            </w:pPr>
            <w:r>
              <w:rPr>
                <w:rFonts w:cs="Arial"/>
                <w:sz w:val="24"/>
              </w:rPr>
              <w:t>2.7 Specializovaná zdravotní péče</w:t>
            </w:r>
          </w:p>
          <w:p w:rsidR="000E54E2" w:rsidRPr="00A955AF" w:rsidP="00B56B1A" w14:paraId="6919F650" w14:textId="75BC7767">
            <w:pPr>
              <w:spacing w:line="276" w:lineRule="auto"/>
              <w:rPr>
                <w:rFonts w:eastAsiaTheme="minorHAnsi" w:cs="Arial"/>
                <w:sz w:val="24"/>
              </w:rPr>
            </w:pPr>
            <w:r>
              <w:rPr>
                <w:rFonts w:cs="Arial"/>
                <w:sz w:val="24"/>
              </w:rPr>
              <w:t xml:space="preserve">2.8 </w:t>
            </w:r>
            <w:r w:rsidRPr="005F5FC5" w:rsidR="005F5FC5">
              <w:rPr>
                <w:rFonts w:cs="Arial"/>
                <w:sz w:val="24"/>
              </w:rPr>
              <w:t>Zvýšení kvality poskytovaných zdravotních služeb v</w:t>
            </w:r>
            <w:r w:rsidR="005F5FC5">
              <w:rPr>
                <w:rFonts w:cs="Arial"/>
                <w:sz w:val="24"/>
              </w:rPr>
              <w:t> </w:t>
            </w:r>
            <w:r w:rsidRPr="005F5FC5" w:rsidR="005F5FC5">
              <w:rPr>
                <w:rFonts w:cs="Arial"/>
                <w:sz w:val="24"/>
              </w:rPr>
              <w:t>ČR</w:t>
            </w:r>
          </w:p>
        </w:tc>
      </w:tr>
      <w:tr w14:paraId="7A9E5625"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5DCE0A05"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44633D27" w14:textId="77777777">
            <w:pPr>
              <w:tabs>
                <w:tab w:val="num" w:pos="585"/>
              </w:tabs>
              <w:overflowPunct w:val="0"/>
              <w:autoSpaceDE w:val="0"/>
              <w:autoSpaceDN w:val="0"/>
              <w:adjustRightInd w:val="0"/>
              <w:rPr>
                <w:rFonts w:cs="Arial"/>
                <w:sz w:val="24"/>
              </w:rPr>
            </w:pPr>
            <w:r w:rsidRPr="00A955AF">
              <w:rPr>
                <w:rFonts w:cs="Arial"/>
                <w:sz w:val="24"/>
              </w:rPr>
              <w:t xml:space="preserve"> Na úrovni dopadu: </w:t>
            </w:r>
          </w:p>
          <w:p w:rsidR="00C23071" w:rsidRPr="00A955AF" w:rsidP="006C359E" w14:paraId="2E2DEB1E" w14:textId="77777777">
            <w:pPr>
              <w:pStyle w:val="ListParagraph"/>
              <w:numPr>
                <w:ilvl w:val="0"/>
                <w:numId w:val="32"/>
              </w:numPr>
              <w:tabs>
                <w:tab w:val="num" w:pos="585"/>
              </w:tabs>
              <w:overflowPunct w:val="0"/>
              <w:spacing w:before="0"/>
              <w:contextualSpacing/>
              <w:rPr>
                <w:rFonts w:cs="Arial"/>
                <w:sz w:val="24"/>
                <w:szCs w:val="24"/>
              </w:rPr>
            </w:pPr>
            <w:r w:rsidRPr="00A955AF">
              <w:rPr>
                <w:rFonts w:cs="Arial"/>
                <w:sz w:val="24"/>
                <w:szCs w:val="24"/>
              </w:rPr>
              <w:t>Počet lůžek následné a dlouhodobé péče</w:t>
            </w:r>
          </w:p>
          <w:p w:rsidR="00C23071" w:rsidRPr="00A955AF" w:rsidP="006C359E" w14:paraId="32A1B198" w14:textId="77777777">
            <w:pPr>
              <w:pStyle w:val="ListParagraph"/>
              <w:numPr>
                <w:ilvl w:val="0"/>
                <w:numId w:val="32"/>
              </w:numPr>
              <w:tabs>
                <w:tab w:val="num" w:pos="585"/>
              </w:tabs>
              <w:overflowPunct w:val="0"/>
              <w:spacing w:before="0"/>
              <w:contextualSpacing/>
              <w:rPr>
                <w:rFonts w:cs="Arial"/>
                <w:sz w:val="24"/>
                <w:szCs w:val="24"/>
              </w:rPr>
            </w:pPr>
            <w:r w:rsidRPr="00A955AF">
              <w:rPr>
                <w:rFonts w:cs="Arial"/>
                <w:sz w:val="24"/>
                <w:szCs w:val="24"/>
              </w:rPr>
              <w:t>Počet pacientů léčených v domácí péči</w:t>
            </w:r>
          </w:p>
          <w:p w:rsidR="00C23071" w:rsidRPr="00A955AF" w:rsidP="00B56B1A" w14:paraId="0026E9F1" w14:textId="77777777">
            <w:pPr>
              <w:tabs>
                <w:tab w:val="num" w:pos="585"/>
              </w:tabs>
              <w:overflowPunct w:val="0"/>
              <w:autoSpaceDE w:val="0"/>
              <w:autoSpaceDN w:val="0"/>
              <w:adjustRightInd w:val="0"/>
              <w:rPr>
                <w:rFonts w:cs="Arial"/>
                <w:sz w:val="24"/>
              </w:rPr>
            </w:pPr>
            <w:r w:rsidRPr="00A955AF">
              <w:rPr>
                <w:rFonts w:cs="Arial"/>
                <w:sz w:val="24"/>
              </w:rPr>
              <w:t>Na úrovni výsledků/výstupů:</w:t>
            </w:r>
          </w:p>
          <w:p w:rsidR="00C23071" w:rsidRPr="00A955AF" w:rsidP="006C359E" w14:paraId="6FE96E3B" w14:textId="77777777">
            <w:pPr>
              <w:pStyle w:val="ListParagraph"/>
              <w:numPr>
                <w:ilvl w:val="0"/>
                <w:numId w:val="31"/>
              </w:numPr>
              <w:tabs>
                <w:tab w:val="num" w:pos="585"/>
              </w:tabs>
              <w:overflowPunct w:val="0"/>
              <w:spacing w:before="0"/>
              <w:contextualSpacing/>
              <w:rPr>
                <w:rFonts w:cs="Arial"/>
                <w:sz w:val="24"/>
                <w:szCs w:val="24"/>
              </w:rPr>
            </w:pPr>
            <w:r w:rsidRPr="00A955AF">
              <w:rPr>
                <w:rFonts w:cs="Arial"/>
                <w:sz w:val="24"/>
                <w:szCs w:val="24"/>
              </w:rPr>
              <w:t xml:space="preserve">Počet podpořených poskytovatelů v nově nastaveném systému zdravotně sociálních služeb  </w:t>
            </w:r>
          </w:p>
          <w:p w:rsidR="00C23071" w:rsidRPr="000E54E2" w:rsidP="006C359E" w14:paraId="75E36D20" w14:textId="47BD066C">
            <w:pPr>
              <w:pStyle w:val="ListParagraph"/>
              <w:numPr>
                <w:ilvl w:val="0"/>
                <w:numId w:val="31"/>
              </w:numPr>
              <w:tabs>
                <w:tab w:val="num" w:pos="585"/>
              </w:tabs>
              <w:overflowPunct w:val="0"/>
              <w:spacing w:before="0"/>
              <w:contextualSpacing/>
              <w:rPr>
                <w:rFonts w:cs="Arial"/>
                <w:sz w:val="24"/>
                <w:szCs w:val="24"/>
              </w:rPr>
            </w:pPr>
            <w:r w:rsidRPr="00A955AF">
              <w:rPr>
                <w:rFonts w:cs="Arial"/>
                <w:sz w:val="24"/>
                <w:szCs w:val="24"/>
              </w:rPr>
              <w:t xml:space="preserve">Počet podpořených poskytovatelů paliativní péče </w:t>
            </w:r>
          </w:p>
          <w:p w:rsidR="00C23071" w:rsidRPr="00A955AF" w:rsidP="006C359E" w14:paraId="30DE53D2" w14:textId="77777777">
            <w:pPr>
              <w:pStyle w:val="ListParagraph"/>
              <w:numPr>
                <w:ilvl w:val="0"/>
                <w:numId w:val="31"/>
              </w:numPr>
              <w:tabs>
                <w:tab w:val="num" w:pos="585"/>
              </w:tabs>
              <w:overflowPunct w:val="0"/>
              <w:spacing w:before="0"/>
              <w:contextualSpacing/>
              <w:rPr>
                <w:rFonts w:eastAsiaTheme="minorHAnsi" w:cs="Arial"/>
                <w:sz w:val="24"/>
                <w:szCs w:val="24"/>
              </w:rPr>
            </w:pPr>
            <w:r w:rsidRPr="00A955AF">
              <w:rPr>
                <w:rFonts w:cs="Arial"/>
                <w:sz w:val="24"/>
                <w:szCs w:val="24"/>
              </w:rPr>
              <w:t>Počet realizovaných programů posilujících roli pečovatelů v dlouhodobé péči</w:t>
            </w:r>
          </w:p>
          <w:p w:rsidR="00C23071" w:rsidRPr="00A955AF" w:rsidP="006C359E" w14:paraId="5C42680B" w14:textId="77777777">
            <w:pPr>
              <w:pStyle w:val="ListParagraph"/>
              <w:numPr>
                <w:ilvl w:val="0"/>
                <w:numId w:val="31"/>
              </w:numPr>
              <w:tabs>
                <w:tab w:val="num" w:pos="585"/>
              </w:tabs>
              <w:overflowPunct w:val="0"/>
              <w:spacing w:before="0"/>
              <w:contextualSpacing/>
              <w:rPr>
                <w:rFonts w:eastAsiaTheme="minorHAnsi" w:cs="Arial"/>
                <w:sz w:val="24"/>
                <w:szCs w:val="24"/>
              </w:rPr>
            </w:pPr>
            <w:r w:rsidRPr="00A955AF">
              <w:rPr>
                <w:rFonts w:cs="Arial"/>
                <w:sz w:val="24"/>
                <w:szCs w:val="24"/>
              </w:rPr>
              <w:t xml:space="preserve">Počet vytvořených regionálních modelů integrované péče  </w:t>
            </w:r>
          </w:p>
        </w:tc>
      </w:tr>
      <w:tr w14:paraId="16B88962"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275BB5B7"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63B35" w:rsidP="00B56B1A" w14:paraId="5ED77BA4" w14:textId="2037180B">
            <w:pPr>
              <w:spacing w:line="276" w:lineRule="auto"/>
              <w:rPr>
                <w:sz w:val="24"/>
              </w:rPr>
            </w:pPr>
            <w:r w:rsidRPr="00BF108D">
              <w:rPr>
                <w:sz w:val="24"/>
              </w:rPr>
              <w:t xml:space="preserve">Zdravotní systém ČR se potýká s problematikou polymorbidních pacientů, kteří se opakovaně navracejí do systému zdravotní péče. </w:t>
            </w:r>
            <w:r>
              <w:rPr>
                <w:sz w:val="24"/>
              </w:rPr>
              <w:t xml:space="preserve">Potřeby těchto osob se neomezují jen na zdravotní složku, ale je nutné řešit i jejich sociální problémy. </w:t>
            </w:r>
          </w:p>
          <w:p w:rsidR="00B90F50" w:rsidRPr="00D63B35" w:rsidP="00D63B35" w14:paraId="0456F318" w14:textId="02E6BA9D">
            <w:pPr>
              <w:spacing w:line="276" w:lineRule="auto"/>
              <w:rPr>
                <w:rFonts w:cs="Arial"/>
                <w:sz w:val="24"/>
              </w:rPr>
            </w:pPr>
            <w:r>
              <w:rPr>
                <w:sz w:val="24"/>
              </w:rPr>
              <w:t>Integrovaná péče je komplexním systémem péče nabízejícím možnosti plánování, realizace, koordinace a hodnocení v uceleném pohledu na individuální potřeby pacienta a poskytující mu potřebnou míru podpory napříč mnoha rovinami jeho života. V horizontální rovině je vnímána jako spolupráce poskytovatelů na stejné úrovni a zahrnuje intenzivní spolupráci praktických lékařů a</w:t>
            </w:r>
            <w:r w:rsidR="00D13FED">
              <w:rPr>
                <w:sz w:val="24"/>
              </w:rPr>
              <w:t> </w:t>
            </w:r>
            <w:r>
              <w:rPr>
                <w:sz w:val="24"/>
              </w:rPr>
              <w:t xml:space="preserve">specialistů s multidisciplinárními týmy. Ve vertikální rovině je péče poskytována různými poskytovateli na různých úrovních péče. </w:t>
            </w:r>
            <w:r w:rsidRPr="00A955AF">
              <w:rPr>
                <w:rFonts w:cs="Arial"/>
                <w:sz w:val="24"/>
              </w:rPr>
              <w:t xml:space="preserve">Oddělený systém zdravotních a sociálních služeb, jejichž propojení je těžkopádné, mnohdy s legislativními překážkami, charakterizuje nedostatečná saturace zdravotních a sociálních potřeb pacientů </w:t>
            </w:r>
            <w:r w:rsidRPr="00A955AF">
              <w:rPr>
                <w:rFonts w:cs="Arial"/>
                <w:sz w:val="24"/>
              </w:rPr>
              <w:t>s různou mírou nutné podpory. Již nyní existuje počet potřebných pacientů mimo systém, marně hledajících optimální zdravotní a sociální služby, s chybějícími informacemi.</w:t>
            </w:r>
            <w:r>
              <w:t xml:space="preserve"> </w:t>
            </w:r>
            <w:r w:rsidRPr="003A3A20">
              <w:rPr>
                <w:rFonts w:cs="Arial"/>
                <w:sz w:val="24"/>
              </w:rPr>
              <w:t>Pacienti se nemohou dostatečně zapojit do rozhodování</w:t>
            </w:r>
            <w:r>
              <w:rPr>
                <w:rFonts w:cs="Arial"/>
                <w:sz w:val="24"/>
              </w:rPr>
              <w:t>.</w:t>
            </w:r>
            <w:r w:rsidRPr="00A955AF">
              <w:rPr>
                <w:rFonts w:cs="Arial"/>
                <w:sz w:val="24"/>
              </w:rPr>
              <w:t xml:space="preserve"> Efektivní organizaci práce brání absence kontaktního opěrného bodu, nebo koordinátora služeb nebo průvodce pacienta systémem. Existují systémové bariéry bránící vzniku, rozvoji a fungování služeb s meziresortním přesahem ve vlastním prostředí klientů. Legislativa i modely financování zdravotní a sociální části alokují zdroje (finanční i lidské) do institucí, kde je péče nákladnější, a hlavně do značné míry snižuje kvalitu života osob institucionalizovaných, neboť jim odpírá právo na život ve vlastním sociálním prostředí.</w:t>
            </w:r>
          </w:p>
        </w:tc>
      </w:tr>
      <w:tr w14:paraId="3729EF5B"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407B27C7"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4FB1D974" w14:textId="77777777">
            <w:pPr>
              <w:rPr>
                <w:rFonts w:eastAsiaTheme="minorHAnsi" w:cs="Arial"/>
                <w:sz w:val="24"/>
              </w:rPr>
            </w:pPr>
            <w:r w:rsidRPr="00A955AF">
              <w:rPr>
                <w:rFonts w:cs="Arial"/>
                <w:sz w:val="24"/>
              </w:rPr>
              <w:t xml:space="preserve">Funkčně a legislativně propojený systém zdravotně sociálních služeb pro všechny věkové kategorie pacientů, umožňující individuální nastavení zdravotně sociálních služeb podle aktuálních potřeb pacienta. Systém je plně transparentní pro pacienty (z hlediska nároku na péči a podmínek jejího poskytování) a poskytovatele (z hlediska vytvoření podmínek pro poskytování) a splňuje oficiálně nastavené kvalitativní požadavky, které jsou pravidelně přezkoumávány. Zdravotně sociální služby jsou místně i časově dostupné všem potřebným pacientům bez ohledu na jejich věk, pohlaví či sociální status. Jsou vytvořena kontaktní informační a podpůrná místa pro pacienty, jejich rodiny a blízké s vazbami na poskytovatele zdravotně sociálních služeb. </w:t>
            </w:r>
          </w:p>
          <w:p w:rsidR="00C23071" w:rsidP="00B56B1A" w14:paraId="74F02103" w14:textId="5A7A9435">
            <w:pPr>
              <w:rPr>
                <w:rFonts w:cs="Arial"/>
                <w:sz w:val="24"/>
              </w:rPr>
            </w:pPr>
            <w:r>
              <w:rPr>
                <w:rFonts w:cs="Arial"/>
                <w:sz w:val="24"/>
              </w:rPr>
              <w:t>D</w:t>
            </w:r>
            <w:r w:rsidRPr="00A955AF">
              <w:rPr>
                <w:rFonts w:cs="Arial"/>
                <w:sz w:val="24"/>
              </w:rPr>
              <w:t>o roku 203</w:t>
            </w:r>
            <w:r>
              <w:rPr>
                <w:rFonts w:cs="Arial"/>
                <w:sz w:val="24"/>
              </w:rPr>
              <w:t>5</w:t>
            </w:r>
            <w:r w:rsidRPr="00A955AF">
              <w:rPr>
                <w:rFonts w:cs="Arial"/>
                <w:sz w:val="24"/>
              </w:rPr>
              <w:t xml:space="preserve"> jsou všem občanům ČR v dlouhodobě nepříznivém zdravotním stavu (v důsledku chronických a nevyléčitelných chorob, stárnutí apod.), zaručeny rovné příležitosti k užívání zdravotních a sociálních služeb současně, a to v různé intenzitě a měnícím se poměru</w:t>
            </w:r>
            <w:r>
              <w:rPr>
                <w:rFonts w:cs="Arial"/>
                <w:sz w:val="24"/>
              </w:rPr>
              <w:t xml:space="preserve"> podle </w:t>
            </w:r>
            <w:r w:rsidRPr="00A955AF">
              <w:rPr>
                <w:rFonts w:cs="Arial"/>
                <w:sz w:val="24"/>
              </w:rPr>
              <w:t>potřeb a ve všech potřebných formách (od ambulantních, terénních, poskytovaných ve vlastním sociálním prostředí, po lůžkové/pobytové, využitelné pro přechodné či trvalé řešení životní situace klienta).</w:t>
            </w:r>
          </w:p>
          <w:p w:rsidR="00C23071" w:rsidRPr="00EF025D" w:rsidP="00B56B1A" w14:paraId="30CDB3E5" w14:textId="312DD0E6">
            <w:pPr>
              <w:spacing w:line="276" w:lineRule="auto"/>
              <w:rPr>
                <w:rFonts w:cs="Arial"/>
                <w:sz w:val="24"/>
              </w:rPr>
            </w:pPr>
            <w:r w:rsidRPr="00825DE4">
              <w:rPr>
                <w:rFonts w:cs="Arial"/>
                <w:sz w:val="24"/>
              </w:rPr>
              <w:t xml:space="preserve">Cílem je tedy zajistit optimální dostupnost </w:t>
            </w:r>
            <w:r w:rsidR="00D63B35">
              <w:rPr>
                <w:rFonts w:cs="Arial"/>
                <w:sz w:val="24"/>
              </w:rPr>
              <w:t>sociálně zdravotní</w:t>
            </w:r>
            <w:r w:rsidRPr="00825DE4">
              <w:rPr>
                <w:rFonts w:cs="Arial"/>
                <w:sz w:val="24"/>
              </w:rPr>
              <w:t xml:space="preserve"> péče o chronicky a</w:t>
            </w:r>
            <w:r>
              <w:rPr>
                <w:rFonts w:cs="Arial"/>
                <w:sz w:val="24"/>
              </w:rPr>
              <w:t> </w:t>
            </w:r>
            <w:r w:rsidRPr="00825DE4">
              <w:rPr>
                <w:rFonts w:cs="Arial"/>
                <w:sz w:val="24"/>
              </w:rPr>
              <w:t>dlouhodobě nemocné pacienty a vyrovnávání disparit v jednotlivých regionech. Podpora této péče by se projevila i na zkvalitnění zdravotní péče o pacienty s méně častými či</w:t>
            </w:r>
            <w:r>
              <w:rPr>
                <w:rFonts w:cs="Arial"/>
                <w:sz w:val="24"/>
              </w:rPr>
              <w:t> </w:t>
            </w:r>
            <w:r w:rsidRPr="00825DE4">
              <w:rPr>
                <w:rFonts w:cs="Arial"/>
                <w:sz w:val="24"/>
              </w:rPr>
              <w:t>vzácnými diagnózami a v neposlední řadě by přispěla k vyšší dostupnosti specializované následné péče (geriatrické, rehabilitační a paliativní) s cílem zvýšit kvality života chronicky a nevyléčitelně nemocných pacientů.</w:t>
            </w:r>
          </w:p>
          <w:p w:rsidR="00C23071" w:rsidRPr="00A955AF" w:rsidP="00B56B1A" w14:paraId="5E7B3194" w14:textId="77777777">
            <w:pPr>
              <w:spacing w:line="276" w:lineRule="auto"/>
              <w:rPr>
                <w:rFonts w:eastAsiaTheme="minorHAnsi" w:cs="Arial"/>
                <w:sz w:val="24"/>
              </w:rPr>
            </w:pPr>
          </w:p>
        </w:tc>
      </w:tr>
      <w:tr w14:paraId="31445304"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C23071" w:rsidRPr="00A955AF" w:rsidP="00B56B1A" w14:paraId="5ED041CF"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C23071" w:rsidRPr="00520F1D" w:rsidP="00B56B1A" w14:paraId="76799489" w14:textId="5A13A5E2">
            <w:pPr>
              <w:rPr>
                <w:rFonts w:cs="Arial"/>
                <w:sz w:val="24"/>
              </w:rPr>
            </w:pPr>
            <w:r w:rsidRPr="00A955AF">
              <w:rPr>
                <w:rFonts w:cs="Arial"/>
                <w:sz w:val="24"/>
                <w:szCs w:val="22"/>
              </w:rPr>
              <w:t xml:space="preserve">Státní rozpočet, fondy EU, </w:t>
            </w:r>
            <w:r w:rsidRPr="0070747B" w:rsidR="00DF14C9">
              <w:rPr>
                <w:rFonts w:cs="Arial"/>
                <w:sz w:val="24"/>
                <w:szCs w:val="22"/>
              </w:rPr>
              <w:t>Program švýcarsko-české spolupráce</w:t>
            </w:r>
            <w:r w:rsidRPr="00A955AF">
              <w:rPr>
                <w:rFonts w:cs="Arial"/>
                <w:sz w:val="24"/>
                <w:szCs w:val="22"/>
              </w:rPr>
              <w:t>,</w:t>
            </w:r>
            <w:r w:rsidR="00D63B35">
              <w:rPr>
                <w:rFonts w:cs="Arial"/>
                <w:sz w:val="24"/>
                <w:szCs w:val="22"/>
              </w:rPr>
              <w:t xml:space="preserve"> fondy ZP</w:t>
            </w:r>
            <w:r w:rsidRPr="00A955AF">
              <w:rPr>
                <w:rFonts w:cs="Arial"/>
                <w:sz w:val="24"/>
                <w:szCs w:val="22"/>
              </w:rPr>
              <w:t xml:space="preserve"> </w:t>
            </w:r>
            <w:r w:rsidRPr="00A955AF">
              <w:rPr>
                <w:rFonts w:cs="Arial"/>
                <w:sz w:val="24"/>
              </w:rPr>
              <w:t xml:space="preserve">a další donoři. </w:t>
            </w:r>
          </w:p>
        </w:tc>
      </w:tr>
    </w:tbl>
    <w:p w:rsidR="00C23071" w:rsidP="00C23071" w14:paraId="2531950D" w14:textId="77777777">
      <w:pPr>
        <w:pStyle w:val="Podkapitola11"/>
      </w:pPr>
      <w:r w:rsidRPr="00A955AF">
        <w:br w:type="page"/>
      </w:r>
    </w:p>
    <w:p w:rsidR="00404EA9" w:rsidRPr="00404EA9" w:rsidP="0056446D" w14:paraId="220927F0" w14:textId="508C63CB">
      <w:pPr>
        <w:pStyle w:val="NA2"/>
      </w:pPr>
      <w:bookmarkStart w:id="605" w:name="_Toc256000059"/>
      <w:r>
        <w:t xml:space="preserve">SC 2.6 </w:t>
      </w:r>
      <w:r w:rsidRPr="00D63B35" w:rsidR="006B7070">
        <w:t>Péče o duševní zdraví</w:t>
      </w:r>
      <w:bookmarkEnd w:id="605"/>
    </w:p>
    <w:p w:rsidR="00404EA9" w:rsidRPr="00461857" w:rsidP="00404EA9" w14:paraId="37B4C67C" w14:textId="3FC4B4E5">
      <w:pPr>
        <w:pStyle w:val="Text"/>
        <w:spacing w:line="240" w:lineRule="auto"/>
        <w:ind w:left="0"/>
        <w:rPr>
          <w:rFonts w:asciiTheme="minorHAnsi" w:hAnsiTheme="minorHAnsi" w:cstheme="minorHAnsi"/>
          <w:color w:val="auto"/>
          <w:sz w:val="24"/>
          <w:szCs w:val="24"/>
        </w:rPr>
      </w:pPr>
      <w:r w:rsidRPr="00461857">
        <w:rPr>
          <w:rFonts w:cs="Times New Roman"/>
          <w:sz w:val="24"/>
          <w:szCs w:val="24"/>
        </w:rPr>
        <w:t>P</w:t>
      </w:r>
      <w:r w:rsidRPr="00461857">
        <w:rPr>
          <w:color w:val="auto"/>
          <w:sz w:val="24"/>
          <w:szCs w:val="24"/>
        </w:rPr>
        <w:t xml:space="preserve">roblémy s duševním zdravím jsou příčinou přibližně jedné třetiny roků poznamenaných disabilitou v důsledku všech onemocnění a duševní onemocnění dohromady způsobují zátěž přibližně 15 % DALY (Disability Adjusted Life Years), což je srovnatelné s onemocněními onkologickými. </w:t>
      </w:r>
      <w:r w:rsidRPr="00461857">
        <w:rPr>
          <w:rFonts w:asciiTheme="minorHAnsi" w:hAnsiTheme="minorHAnsi" w:cstheme="minorHAnsi"/>
          <w:color w:val="auto"/>
          <w:sz w:val="24"/>
          <w:szCs w:val="24"/>
        </w:rPr>
        <w:t>Je nutné zaměřit se na udržení duševního zdraví celé populace, tedy doplnit k dosavadnímu přístupu významný aspekt prevence a časné intervence. Implementační plán pro příští desetiletí přináší návod, jak řešit problémové oblasti, které nemohly být podchyceny předem, dokud se nezhmotnily v</w:t>
      </w:r>
      <w:r>
        <w:rPr>
          <w:rFonts w:asciiTheme="minorHAnsi" w:hAnsiTheme="minorHAnsi" w:cstheme="minorHAnsi"/>
          <w:color w:val="auto"/>
          <w:sz w:val="24"/>
          <w:szCs w:val="24"/>
        </w:rPr>
        <w:t> </w:t>
      </w:r>
      <w:r w:rsidRPr="00461857">
        <w:rPr>
          <w:rFonts w:asciiTheme="minorHAnsi" w:hAnsiTheme="minorHAnsi" w:cstheme="minorHAnsi"/>
          <w:color w:val="auto"/>
          <w:sz w:val="24"/>
          <w:szCs w:val="24"/>
        </w:rPr>
        <w:t>konkrétní podobě během realizace projektů reformy psychiatrie. Nejdůležitějšími z těchto otázek, respektive problémových oblastí, je legislativní a</w:t>
      </w:r>
      <w:r w:rsidR="007E3FBE">
        <w:rPr>
          <w:rFonts w:asciiTheme="minorHAnsi" w:hAnsiTheme="minorHAnsi" w:cstheme="minorHAnsi"/>
          <w:color w:val="auto"/>
          <w:sz w:val="24"/>
          <w:szCs w:val="24"/>
        </w:rPr>
        <w:t> </w:t>
      </w:r>
      <w:r w:rsidRPr="00461857">
        <w:rPr>
          <w:rFonts w:asciiTheme="minorHAnsi" w:hAnsiTheme="minorHAnsi" w:cstheme="minorHAnsi"/>
          <w:color w:val="auto"/>
          <w:sz w:val="24"/>
          <w:szCs w:val="24"/>
        </w:rPr>
        <w:t>finanční ošetření zdravotně</w:t>
      </w:r>
      <w:r w:rsidR="00871905">
        <w:rPr>
          <w:rFonts w:asciiTheme="minorHAnsi" w:hAnsiTheme="minorHAnsi" w:cstheme="minorHAnsi"/>
          <w:color w:val="auto"/>
          <w:sz w:val="24"/>
          <w:szCs w:val="24"/>
        </w:rPr>
        <w:t xml:space="preserve"> </w:t>
      </w:r>
      <w:r w:rsidRPr="00461857">
        <w:rPr>
          <w:rFonts w:asciiTheme="minorHAnsi" w:hAnsiTheme="minorHAnsi" w:cstheme="minorHAnsi"/>
          <w:color w:val="auto"/>
          <w:sz w:val="24"/>
          <w:szCs w:val="24"/>
        </w:rPr>
        <w:t>sociálního pomezí, problematika vysokého rizika chudoby u lidí se závažnými duševními nemocemi, rozvoj a změna systému poskytování péče o děti v riziku nebo s již rozvinutými duševními obtížemi, definice a rozvoj systému péče o potenciálně nebezpečné pacienty/klienty a pacienty/klienty v ochranné léčbě, krizová péče a již zmíněná oblast prevence, která, pokud není adekvátně podpořena, přináší do systému péče nadměrnou zátěž ve formě plně rozvinutých preventabilních nemocí</w:t>
      </w:r>
      <w:r>
        <w:rPr>
          <w:rFonts w:asciiTheme="minorHAnsi" w:hAnsiTheme="minorHAnsi" w:cstheme="minorHAnsi"/>
          <w:color w:val="auto"/>
          <w:sz w:val="24"/>
          <w:szCs w:val="24"/>
        </w:rPr>
        <w:t>.</w:t>
      </w:r>
      <w:r w:rsidRPr="00461857">
        <w:rPr>
          <w:rFonts w:asciiTheme="minorHAnsi" w:hAnsiTheme="minorHAnsi" w:cstheme="minorHAnsi"/>
          <w:color w:val="auto"/>
          <w:sz w:val="24"/>
          <w:szCs w:val="24"/>
        </w:rPr>
        <w:t xml:space="preserve"> Všechny výše identifikované oblasti současně vyžadují výrazné zapojení relevantních rezortů (MPSV, MŠMT, MMR, MSp), jako i</w:t>
      </w:r>
      <w:r>
        <w:rPr>
          <w:rFonts w:asciiTheme="minorHAnsi" w:hAnsiTheme="minorHAnsi" w:cstheme="minorHAnsi"/>
          <w:color w:val="auto"/>
          <w:sz w:val="24"/>
          <w:szCs w:val="24"/>
        </w:rPr>
        <w:t> </w:t>
      </w:r>
      <w:r w:rsidRPr="00461857">
        <w:rPr>
          <w:rFonts w:asciiTheme="minorHAnsi" w:hAnsiTheme="minorHAnsi" w:cstheme="minorHAnsi"/>
          <w:color w:val="auto"/>
          <w:sz w:val="24"/>
          <w:szCs w:val="24"/>
        </w:rPr>
        <w:t xml:space="preserve">krajů. Z tohoto důvodu byl zpracován Národní akční plán pro duševní zdraví 2020–2030, který byl vládou ČR schválen dne 27. ledna 2020 usnesením číslo 76/2020. </w:t>
      </w:r>
    </w:p>
    <w:p w:rsidR="00404EA9" w:rsidRPr="00852B75" w:rsidP="00404EA9" w14:paraId="0B61D548" w14:textId="04510CE7">
      <w:pPr>
        <w:rPr>
          <w:rFonts w:eastAsia="Calibri" w:cstheme="minorHAnsi"/>
          <w:color w:val="000000"/>
          <w:sz w:val="24"/>
          <w:szCs w:val="28"/>
          <w:u w:color="000000"/>
          <w:bdr w:val="nil"/>
        </w:rPr>
      </w:pPr>
      <w:r w:rsidRPr="00852B75">
        <w:rPr>
          <w:rFonts w:cstheme="minorHAnsi"/>
          <w:sz w:val="24"/>
          <w:szCs w:val="28"/>
        </w:rPr>
        <w:t>Součástí péče o duševní zdraví je i</w:t>
      </w:r>
      <w:r w:rsidRPr="00852B75">
        <w:rPr>
          <w:rFonts w:cstheme="minorHAnsi"/>
          <w:b/>
          <w:sz w:val="24"/>
          <w:szCs w:val="28"/>
        </w:rPr>
        <w:t xml:space="preserve"> </w:t>
      </w:r>
      <w:r w:rsidRPr="00852B75">
        <w:rPr>
          <w:rFonts w:cstheme="minorHAnsi"/>
          <w:sz w:val="24"/>
          <w:szCs w:val="28"/>
        </w:rPr>
        <w:t xml:space="preserve">oblast prevence sebevražd, která byla rovněž zpracována v samostatném strategickém dokumentu – v Národním akčním plánu prevence sebevražd 2019–2030 (dále jen „NAPPS“), který je stanovuje konkrétní postupy pro naplňování jednotlivých strategických cílů ve formě specifických cílů a opatření. </w:t>
      </w:r>
      <w:r w:rsidRPr="00852B75">
        <w:rPr>
          <w:rFonts w:eastAsia="Calibri" w:cstheme="minorHAnsi"/>
          <w:color w:val="000000"/>
          <w:sz w:val="24"/>
          <w:szCs w:val="28"/>
          <w:u w:color="000000"/>
          <w:bdr w:val="nil"/>
        </w:rPr>
        <w:t xml:space="preserve">NAPPS zároveň přispívá k plnění cílů, které vytyčila Organizace spojených národů (OSN), tzv. Sustainable Development Goals. </w:t>
      </w:r>
    </w:p>
    <w:p w:rsidR="00404EA9" w:rsidRPr="00852B75" w:rsidP="00404EA9" w14:paraId="433FDA49" w14:textId="77777777">
      <w:pPr>
        <w:rPr>
          <w:rFonts w:cstheme="minorHAnsi"/>
          <w:sz w:val="24"/>
          <w:szCs w:val="28"/>
        </w:rPr>
      </w:pPr>
      <w:r w:rsidRPr="00852B75">
        <w:rPr>
          <w:rFonts w:cstheme="minorHAnsi"/>
          <w:sz w:val="24"/>
          <w:szCs w:val="28"/>
        </w:rPr>
        <w:t xml:space="preserve">S výše uvedeným je v souladu i oblast péče o osoby trpící demencí. V reakci na zvyšující se prevalenci demence v České republice a nutnost aktivně podporovat osvětu, prevenci, zvyšovat dostupnost včasné diagnostiky a následné zdravotní i sociální podpory </w:t>
      </w:r>
      <w:r w:rsidRPr="00852B75">
        <w:rPr>
          <w:rFonts w:cstheme="minorHAnsi"/>
          <w:sz w:val="24"/>
          <w:szCs w:val="28"/>
        </w:rPr>
        <w:br/>
        <w:t xml:space="preserve">pro lidi žijící s demencí a jejich pečující vznikl </w:t>
      </w:r>
      <w:r w:rsidRPr="00852B75">
        <w:rPr>
          <w:rFonts w:cstheme="minorHAnsi"/>
          <w:iCs/>
          <w:sz w:val="24"/>
          <w:szCs w:val="28"/>
        </w:rPr>
        <w:t xml:space="preserve">Národní akční plán pro Alzheimerovu nemoc </w:t>
      </w:r>
      <w:r w:rsidRPr="00852B75">
        <w:rPr>
          <w:rFonts w:cstheme="minorHAnsi"/>
          <w:iCs/>
          <w:sz w:val="24"/>
          <w:szCs w:val="28"/>
        </w:rPr>
        <w:br/>
        <w:t>a obdobná onemocnění pro roky 2020–2030</w:t>
      </w:r>
      <w:r w:rsidRPr="00852B75">
        <w:rPr>
          <w:rFonts w:cstheme="minorHAnsi"/>
          <w:sz w:val="24"/>
          <w:szCs w:val="28"/>
        </w:rPr>
        <w:t xml:space="preserve"> (dále jen NAPAN), jehož opatření byla zpracována do tohoto implementačního plánu.</w:t>
      </w:r>
      <w:r w:rsidRPr="00852B75">
        <w:rPr>
          <w:rFonts w:eastAsia="Calibri" w:cstheme="minorHAnsi"/>
          <w:color w:val="000000"/>
          <w:sz w:val="24"/>
          <w:szCs w:val="28"/>
          <w:u w:color="000000"/>
          <w:bdr w:val="nil"/>
        </w:rPr>
        <w:t xml:space="preserve"> Česká republika se skrze Národní akční plán pro </w:t>
      </w:r>
      <w:r w:rsidRPr="00852B75">
        <w:rPr>
          <w:rFonts w:cstheme="minorHAnsi"/>
          <w:sz w:val="24"/>
          <w:szCs w:val="28"/>
        </w:rPr>
        <w:t xml:space="preserve">Alzheimerovu nemoc a obdobná onemocnění pro roky 2020–2030 (NAPAN) připojuje k výzvě Světové zdravotnické organizace, která v roce 2017 vyhlásila demenci prioritou veřejného zdraví [CITE]. </w:t>
      </w:r>
    </w:p>
    <w:p w:rsidR="00852B75" w:rsidP="00852B75" w14:paraId="5526FEE2" w14:textId="3C990CAE">
      <w:pPr>
        <w:rPr>
          <w:rFonts w:cs="Arial"/>
          <w:sz w:val="24"/>
        </w:rPr>
      </w:pPr>
      <w:r>
        <w:rPr>
          <w:rFonts w:cs="Arial"/>
          <w:sz w:val="24"/>
        </w:rPr>
        <w:t>R</w:t>
      </w:r>
      <w:r w:rsidRPr="00852B75" w:rsidR="00404EA9">
        <w:rPr>
          <w:rFonts w:cs="Arial"/>
          <w:sz w:val="24"/>
        </w:rPr>
        <w:t>eforma péče o duševní zdraví byla započata v minulém programovém období za podpory fondů EU na základě schválené Strategie reformy psychiatrické péče (2014). Ta svou šíří záběru vyžaduje mnohem více času než jedno programové období. V současné době, na základě doposud provedených reformních opatření, je zřejmé, že pro zajištění komplexní péče o</w:t>
      </w:r>
      <w:r w:rsidR="00D13FED">
        <w:rPr>
          <w:rFonts w:cs="Arial"/>
          <w:sz w:val="24"/>
        </w:rPr>
        <w:t> </w:t>
      </w:r>
      <w:r w:rsidRPr="00852B75" w:rsidR="00404EA9">
        <w:rPr>
          <w:rFonts w:cs="Arial"/>
          <w:sz w:val="24"/>
        </w:rPr>
        <w:t>duševní zdraví je nutné se zaměřit na problematiku šířeji, tedy na udržení duševního zdraví jako takového. Znamená to nejenom dopracovat (hlavně z hlediska legislativy a financování) funkční model přesunu klientů z velkých lůžkových institucí do komunity v rámci zdravotně sociálního multidisciplinárního modelu péče, ale tuto péči doplnit i o aspekt prevence a časné intervence.</w:t>
      </w:r>
    </w:p>
    <w:p w:rsidR="00404EA9" w:rsidP="0056446D" w14:paraId="32DD2549" w14:textId="77777777">
      <w:pPr>
        <w:rPr>
          <w:rFonts w:cs="Arial"/>
          <w:sz w:val="24"/>
        </w:rPr>
      </w:pPr>
    </w:p>
    <w:p w:rsidR="0056446D" w:rsidRPr="00A955AF" w:rsidP="0056446D" w14:paraId="7CBD37C7" w14:textId="77777777">
      <w:pPr>
        <w:pStyle w:val="Bntext"/>
        <w:ind w:firstLine="0"/>
        <w:rPr>
          <w:rFonts w:ascii="Arial" w:hAnsi="Arial" w:cs="Arial"/>
          <w:sz w:val="20"/>
          <w:szCs w:val="20"/>
          <w:lang w:val="cs-CZ"/>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395C938D"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56446D" w:rsidRPr="00A955AF" w:rsidP="00B56B1A" w14:paraId="0211C003"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FFFFCC"/>
            <w:vAlign w:val="center"/>
            <w:hideMark/>
          </w:tcPr>
          <w:p w:rsidR="0056446D" w:rsidRPr="00A955AF" w:rsidP="00B56B1A" w14:paraId="7DFFEA29" w14:textId="0BED4E00">
            <w:pPr>
              <w:spacing w:line="276" w:lineRule="auto"/>
              <w:rPr>
                <w:rFonts w:eastAsiaTheme="minorHAnsi" w:cs="Arial"/>
                <w:b/>
                <w:color w:val="205493"/>
                <w:sz w:val="24"/>
              </w:rPr>
            </w:pPr>
            <w:r>
              <w:rPr>
                <w:rFonts w:cs="Arial"/>
                <w:b/>
                <w:color w:val="205493"/>
                <w:sz w:val="24"/>
              </w:rPr>
              <w:t>2.6 Péče o duševní zdraví</w:t>
            </w:r>
          </w:p>
        </w:tc>
        <w:tc>
          <w:tcPr>
            <w:tcW w:w="929" w:type="dxa"/>
            <w:tcBorders>
              <w:top w:val="single" w:sz="4" w:space="0" w:color="auto"/>
              <w:left w:val="nil"/>
              <w:bottom w:val="single" w:sz="4" w:space="0" w:color="auto"/>
              <w:right w:val="single" w:sz="4" w:space="0" w:color="auto"/>
            </w:tcBorders>
            <w:shd w:val="clear" w:color="auto" w:fill="FFFFCC"/>
            <w:vAlign w:val="center"/>
          </w:tcPr>
          <w:p w:rsidR="0056446D" w:rsidRPr="00A955AF" w:rsidP="00B56B1A" w14:paraId="5DC71424" w14:textId="29D61EAF">
            <w:pPr>
              <w:spacing w:line="276" w:lineRule="auto"/>
              <w:jc w:val="right"/>
              <w:rPr>
                <w:rFonts w:eastAsiaTheme="minorHAnsi" w:cs="Arial"/>
                <w:b/>
                <w:color w:val="205493"/>
                <w:sz w:val="24"/>
              </w:rPr>
            </w:pPr>
          </w:p>
        </w:tc>
      </w:tr>
      <w:tr w14:paraId="34212E4C" w14:textId="77777777" w:rsidTr="00852B75">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2F956655" w14:textId="77777777">
            <w:pPr>
              <w:spacing w:line="276" w:lineRule="auto"/>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852B75" w:rsidRPr="00852B75" w:rsidP="00470E35" w14:paraId="5EA30468" w14:textId="28FD60C6">
            <w:pPr>
              <w:spacing w:line="276" w:lineRule="auto"/>
              <w:ind w:left="743" w:hanging="709"/>
              <w:rPr>
                <w:rFonts w:eastAsiaTheme="minorHAnsi" w:cs="Arial"/>
                <w:sz w:val="24"/>
              </w:rPr>
            </w:pPr>
            <w:r w:rsidRPr="00852B75">
              <w:rPr>
                <w:rFonts w:eastAsiaTheme="minorHAnsi" w:cs="Arial"/>
                <w:sz w:val="24"/>
              </w:rPr>
              <w:t>2.6.1</w:t>
            </w:r>
            <w:r w:rsidRPr="00852B75">
              <w:rPr>
                <w:rFonts w:eastAsiaTheme="minorHAnsi" w:cs="Arial"/>
                <w:sz w:val="24"/>
              </w:rPr>
              <w:tab/>
              <w:t>Zlepšení řízení a poskytování péče v oblasti duševního zdraví vedené spolehlivými informacemi a vědomostmi</w:t>
            </w:r>
          </w:p>
          <w:p w:rsidR="00852B75" w:rsidRPr="00852B75" w:rsidP="00470E35" w14:paraId="506F41BC" w14:textId="1B764853">
            <w:pPr>
              <w:spacing w:line="276" w:lineRule="auto"/>
              <w:ind w:left="743" w:hanging="709"/>
              <w:rPr>
                <w:rFonts w:eastAsiaTheme="minorHAnsi" w:cs="Arial"/>
                <w:sz w:val="24"/>
              </w:rPr>
            </w:pPr>
            <w:r w:rsidRPr="00852B75">
              <w:rPr>
                <w:rFonts w:eastAsiaTheme="minorHAnsi" w:cs="Arial"/>
                <w:sz w:val="24"/>
              </w:rPr>
              <w:t>2.6.2</w:t>
            </w:r>
            <w:r w:rsidRPr="00852B75">
              <w:rPr>
                <w:rFonts w:eastAsiaTheme="minorHAnsi" w:cs="Arial"/>
                <w:sz w:val="24"/>
              </w:rPr>
              <w:tab/>
              <w:t>Zajištění srovnatelných šancí na duševní zdraví pro každého člověka v průběhu celého jeho života od narození až do seniorského věku</w:t>
            </w:r>
          </w:p>
          <w:p w:rsidR="00852B75" w:rsidRPr="00852B75" w:rsidP="00852B75" w14:paraId="5739B232" w14:textId="422E4E83">
            <w:pPr>
              <w:spacing w:line="276" w:lineRule="auto"/>
              <w:ind w:left="743" w:hanging="709"/>
              <w:rPr>
                <w:rFonts w:eastAsiaTheme="minorHAnsi" w:cs="Arial"/>
                <w:sz w:val="24"/>
              </w:rPr>
            </w:pPr>
            <w:r w:rsidRPr="00852B75">
              <w:rPr>
                <w:rFonts w:eastAsiaTheme="minorHAnsi" w:cs="Arial"/>
                <w:sz w:val="24"/>
              </w:rPr>
              <w:t>2.6.3</w:t>
            </w:r>
            <w:r w:rsidRPr="00852B75">
              <w:rPr>
                <w:rFonts w:eastAsiaTheme="minorHAnsi" w:cs="Arial"/>
                <w:sz w:val="24"/>
              </w:rPr>
              <w:tab/>
              <w:t xml:space="preserve"> Zajištění, aby lidská práva osob s obtížemi v oblasti duševního zdraví byla plně respektována, chráněna a</w:t>
            </w:r>
            <w:r w:rsidR="00D13FED">
              <w:rPr>
                <w:rFonts w:eastAsiaTheme="minorHAnsi" w:cs="Arial"/>
                <w:sz w:val="24"/>
              </w:rPr>
              <w:t> </w:t>
            </w:r>
            <w:r w:rsidRPr="00852B75">
              <w:rPr>
                <w:rFonts w:eastAsiaTheme="minorHAnsi" w:cs="Arial"/>
                <w:sz w:val="24"/>
              </w:rPr>
              <w:t>podporována</w:t>
            </w:r>
          </w:p>
          <w:p w:rsidR="00852B75" w:rsidRPr="00852B75" w:rsidP="00470E35" w14:paraId="5AEC9E60" w14:textId="1F11E6AA">
            <w:pPr>
              <w:spacing w:line="276" w:lineRule="auto"/>
              <w:ind w:left="743" w:hanging="709"/>
              <w:rPr>
                <w:rFonts w:eastAsiaTheme="minorHAnsi" w:cs="Arial"/>
                <w:sz w:val="24"/>
              </w:rPr>
            </w:pPr>
            <w:r w:rsidRPr="00852B75">
              <w:rPr>
                <w:rFonts w:eastAsiaTheme="minorHAnsi" w:cs="Arial"/>
                <w:sz w:val="24"/>
              </w:rPr>
              <w:t>2.6.4</w:t>
            </w:r>
            <w:r w:rsidRPr="00852B75">
              <w:rPr>
                <w:rFonts w:eastAsiaTheme="minorHAnsi" w:cs="Arial"/>
                <w:sz w:val="24"/>
              </w:rPr>
              <w:tab/>
              <w:t>Zajištění plné dostupnosti služeb v oblasti duševního zdraví v čase, místě, kapacitě i ceně, zajištění jejich dostupnosti v</w:t>
            </w:r>
            <w:r w:rsidR="00D13FED">
              <w:rPr>
                <w:rFonts w:eastAsiaTheme="minorHAnsi" w:cs="Arial"/>
                <w:sz w:val="24"/>
              </w:rPr>
              <w:t> </w:t>
            </w:r>
            <w:r w:rsidRPr="00852B75">
              <w:rPr>
                <w:rFonts w:eastAsiaTheme="minorHAnsi" w:cs="Arial"/>
                <w:sz w:val="24"/>
              </w:rPr>
              <w:t>komunitě dle potřeby</w:t>
            </w:r>
          </w:p>
          <w:p w:rsidR="00852B75" w:rsidRPr="00852B75" w:rsidP="00470E35" w14:paraId="792EAC70" w14:textId="585E1FE4">
            <w:pPr>
              <w:spacing w:line="276" w:lineRule="auto"/>
              <w:ind w:left="743" w:hanging="709"/>
              <w:rPr>
                <w:rFonts w:eastAsiaTheme="minorHAnsi" w:cs="Arial"/>
                <w:sz w:val="24"/>
              </w:rPr>
            </w:pPr>
            <w:r w:rsidRPr="00852B75">
              <w:rPr>
                <w:rFonts w:eastAsiaTheme="minorHAnsi" w:cs="Arial"/>
                <w:sz w:val="24"/>
              </w:rPr>
              <w:t>2.6.5</w:t>
            </w:r>
            <w:r w:rsidRPr="00852B75">
              <w:rPr>
                <w:rFonts w:eastAsiaTheme="minorHAnsi" w:cs="Arial"/>
                <w:sz w:val="24"/>
              </w:rPr>
              <w:tab/>
              <w:t>Budování systémů péče o duševní zdraví pracujících v dobře koordinované partnerské spolupráci s ostatními sektory, včetně rovného přístupu k péči o somatické zdraví a</w:t>
            </w:r>
            <w:r w:rsidR="00D13FED">
              <w:rPr>
                <w:rFonts w:eastAsiaTheme="minorHAnsi" w:cs="Arial"/>
                <w:sz w:val="24"/>
              </w:rPr>
              <w:t> </w:t>
            </w:r>
            <w:r w:rsidRPr="00852B75">
              <w:rPr>
                <w:rFonts w:eastAsiaTheme="minorHAnsi" w:cs="Arial"/>
                <w:sz w:val="24"/>
              </w:rPr>
              <w:t>začlenění / návratu do společnosti</w:t>
            </w:r>
          </w:p>
          <w:p w:rsidR="00852B75" w:rsidRPr="00852B75" w:rsidP="00852B75" w14:paraId="0E9A389B" w14:textId="7696518A">
            <w:pPr>
              <w:spacing w:line="276" w:lineRule="auto"/>
              <w:ind w:left="743" w:hanging="709"/>
              <w:rPr>
                <w:rFonts w:eastAsiaTheme="minorHAnsi" w:cs="Arial"/>
                <w:sz w:val="24"/>
              </w:rPr>
            </w:pPr>
            <w:r w:rsidRPr="00852B75">
              <w:rPr>
                <w:rFonts w:eastAsiaTheme="minorHAnsi" w:cs="Arial"/>
                <w:sz w:val="24"/>
              </w:rPr>
              <w:t>2.6.6</w:t>
            </w:r>
            <w:r w:rsidRPr="00852B75">
              <w:rPr>
                <w:rFonts w:eastAsiaTheme="minorHAnsi" w:cs="Arial"/>
                <w:sz w:val="24"/>
              </w:rPr>
              <w:tab/>
              <w:t>Zavádění systémových opatření pro podporu lidí s</w:t>
            </w:r>
            <w:r w:rsidR="00D13FED">
              <w:rPr>
                <w:rFonts w:eastAsiaTheme="minorHAnsi" w:cs="Arial"/>
                <w:sz w:val="24"/>
              </w:rPr>
              <w:t> </w:t>
            </w:r>
            <w:r w:rsidRPr="00852B75">
              <w:rPr>
                <w:rFonts w:eastAsiaTheme="minorHAnsi" w:cs="Arial"/>
                <w:sz w:val="24"/>
              </w:rPr>
              <w:t xml:space="preserve">intelektovým znevýhodněním a chováním náročným na péči </w:t>
            </w:r>
          </w:p>
          <w:p w:rsidR="00852B75" w:rsidRPr="00852B75" w:rsidP="00470E35" w14:paraId="66D401B0" w14:textId="78EE7B94">
            <w:pPr>
              <w:spacing w:line="276" w:lineRule="auto"/>
              <w:ind w:left="743" w:hanging="709"/>
              <w:rPr>
                <w:rFonts w:eastAsiaTheme="minorHAnsi" w:cs="Arial"/>
                <w:sz w:val="24"/>
              </w:rPr>
            </w:pPr>
            <w:r w:rsidRPr="00852B75">
              <w:rPr>
                <w:rFonts w:eastAsiaTheme="minorHAnsi" w:cs="Arial"/>
                <w:sz w:val="24"/>
              </w:rPr>
              <w:t>2.6.7</w:t>
            </w:r>
            <w:r w:rsidRPr="00852B75">
              <w:rPr>
                <w:rFonts w:eastAsiaTheme="minorHAnsi" w:cs="Arial"/>
                <w:sz w:val="24"/>
              </w:rPr>
              <w:tab/>
              <w:t>Preventivní intervence a opatření prevence sebevražd a</w:t>
            </w:r>
            <w:r w:rsidR="00D13FED">
              <w:rPr>
                <w:rFonts w:eastAsiaTheme="minorHAnsi" w:cs="Arial"/>
                <w:sz w:val="24"/>
              </w:rPr>
              <w:t> </w:t>
            </w:r>
            <w:r w:rsidRPr="00852B75">
              <w:rPr>
                <w:rFonts w:eastAsiaTheme="minorHAnsi" w:cs="Arial"/>
                <w:sz w:val="24"/>
              </w:rPr>
              <w:t>sebepoškozování jsou běžnou komponentou v oblasti prevence v rámci veřejného zdraví</w:t>
            </w:r>
          </w:p>
          <w:p w:rsidR="00852B75" w:rsidRPr="00852B75" w:rsidP="00470E35" w14:paraId="50C0A086" w14:textId="07748DCB">
            <w:pPr>
              <w:spacing w:line="276" w:lineRule="auto"/>
              <w:ind w:left="743" w:hanging="709"/>
              <w:rPr>
                <w:rFonts w:eastAsiaTheme="minorHAnsi" w:cs="Arial"/>
                <w:sz w:val="24"/>
              </w:rPr>
            </w:pPr>
            <w:r w:rsidRPr="00852B75">
              <w:rPr>
                <w:rFonts w:eastAsiaTheme="minorHAnsi" w:cs="Arial"/>
                <w:sz w:val="24"/>
              </w:rPr>
              <w:t>2.6.8  Služby v oblasti duševního zdraví a služby sociální péče, určené pro poskytnutí pomoci člověku procházejícímu krizí, jsou dostupné časem, místem, kapacitou i cenou a jsou k</w:t>
            </w:r>
            <w:r w:rsidR="00D13FED">
              <w:rPr>
                <w:rFonts w:eastAsiaTheme="minorHAnsi" w:cs="Arial"/>
                <w:sz w:val="24"/>
              </w:rPr>
              <w:t> </w:t>
            </w:r>
            <w:r w:rsidRPr="00852B75">
              <w:rPr>
                <w:rFonts w:eastAsiaTheme="minorHAnsi" w:cs="Arial"/>
                <w:sz w:val="24"/>
              </w:rPr>
              <w:t>dispozici v komunitě podle potřeby, je ustanovena dobrá praxe předávání klientů mezi těmito službami a služby samotné poskytují péči založenou na důkazech</w:t>
            </w:r>
          </w:p>
          <w:p w:rsidR="00852B75" w:rsidRPr="00852B75" w:rsidP="00470E35" w14:paraId="5A6C2C16" w14:textId="123873F6">
            <w:pPr>
              <w:spacing w:line="276" w:lineRule="auto"/>
              <w:ind w:left="743" w:hanging="709"/>
              <w:rPr>
                <w:rFonts w:eastAsiaTheme="minorHAnsi" w:cs="Arial"/>
                <w:sz w:val="24"/>
              </w:rPr>
            </w:pPr>
            <w:r w:rsidRPr="00852B75">
              <w:rPr>
                <w:rFonts w:eastAsiaTheme="minorHAnsi" w:cs="Arial"/>
                <w:sz w:val="24"/>
              </w:rPr>
              <w:t>2.6.9</w:t>
            </w:r>
            <w:r w:rsidRPr="00852B75">
              <w:rPr>
                <w:rFonts w:eastAsiaTheme="minorHAnsi" w:cs="Arial"/>
                <w:sz w:val="24"/>
              </w:rPr>
              <w:tab/>
              <w:t xml:space="preserve">Problematika sebepoškozování, sebevražednosti a možnosti prevence jsou součástí vzdělávání relevantních profesí </w:t>
            </w:r>
            <w:r w:rsidRPr="00852B75" w:rsidR="00E22AF8">
              <w:rPr>
                <w:rFonts w:eastAsiaTheme="minorHAnsi" w:cs="Arial"/>
                <w:sz w:val="24"/>
              </w:rPr>
              <w:t>a</w:t>
            </w:r>
            <w:r w:rsidR="007E3FBE">
              <w:rPr>
                <w:rFonts w:eastAsiaTheme="minorHAnsi" w:cs="Arial"/>
                <w:sz w:val="24"/>
              </w:rPr>
              <w:t> </w:t>
            </w:r>
            <w:r w:rsidR="00E22AF8">
              <w:rPr>
                <w:rFonts w:eastAsiaTheme="minorHAnsi" w:cs="Arial"/>
                <w:sz w:val="24"/>
              </w:rPr>
              <w:t>běžným</w:t>
            </w:r>
            <w:r w:rsidRPr="00852B75">
              <w:rPr>
                <w:rFonts w:eastAsiaTheme="minorHAnsi" w:cs="Arial"/>
                <w:sz w:val="24"/>
              </w:rPr>
              <w:t xml:space="preserve"> prvkem v osvětových kampaních</w:t>
            </w:r>
          </w:p>
          <w:p w:rsidR="00852B75" w:rsidRPr="00852B75" w:rsidP="00852B75" w14:paraId="02E428E1" w14:textId="77777777">
            <w:pPr>
              <w:spacing w:line="276" w:lineRule="auto"/>
              <w:ind w:left="743" w:hanging="709"/>
              <w:rPr>
                <w:rFonts w:eastAsiaTheme="minorHAnsi" w:cs="Arial"/>
                <w:sz w:val="24"/>
              </w:rPr>
            </w:pPr>
            <w:r w:rsidRPr="00852B75">
              <w:rPr>
                <w:rFonts w:eastAsiaTheme="minorHAnsi" w:cs="Arial"/>
                <w:sz w:val="24"/>
              </w:rPr>
              <w:t>2.6.10 Prevence sebevražd a sebepoškozování a koordinace aktivit v této oblasti vychází ze spolehlivých informací a vědomostí</w:t>
            </w:r>
          </w:p>
          <w:p w:rsidR="00852B75" w:rsidRPr="00852B75" w:rsidP="00852B75" w14:paraId="0600EDE6" w14:textId="350AAE92">
            <w:pPr>
              <w:spacing w:line="276" w:lineRule="auto"/>
              <w:ind w:left="743" w:hanging="709"/>
              <w:rPr>
                <w:rFonts w:eastAsiaTheme="minorHAnsi" w:cs="Arial"/>
                <w:sz w:val="24"/>
              </w:rPr>
            </w:pPr>
            <w:r w:rsidRPr="00852B75">
              <w:rPr>
                <w:rFonts w:eastAsiaTheme="minorHAnsi" w:cs="Arial"/>
                <w:sz w:val="24"/>
              </w:rPr>
              <w:t>2.6.11 Doporučené</w:t>
            </w:r>
            <w:r w:rsidRPr="00852B75">
              <w:rPr>
                <w:rFonts w:eastAsiaTheme="minorHAnsi" w:cs="Arial"/>
                <w:sz w:val="24"/>
              </w:rPr>
              <w:t xml:space="preserve"> postupy a síť služeb pro diagnostiku a léčbu demence</w:t>
            </w:r>
          </w:p>
          <w:p w:rsidR="00852B75" w:rsidRPr="00852B75" w:rsidP="00852B75" w14:paraId="6CB33FD6" w14:textId="77777777">
            <w:pPr>
              <w:spacing w:line="276" w:lineRule="auto"/>
              <w:ind w:left="743" w:hanging="709"/>
              <w:rPr>
                <w:rFonts w:eastAsiaTheme="minorHAnsi" w:cs="Arial"/>
                <w:sz w:val="24"/>
              </w:rPr>
            </w:pPr>
            <w:r w:rsidRPr="00852B75">
              <w:rPr>
                <w:rFonts w:eastAsiaTheme="minorHAnsi" w:cs="Arial"/>
                <w:sz w:val="24"/>
              </w:rPr>
              <w:t>2.6.12. Vzdělávání v oblasti demence</w:t>
            </w:r>
          </w:p>
          <w:p w:rsidR="00852B75" w:rsidRPr="00852B75" w:rsidP="00852B75" w14:paraId="33A4D6D1" w14:textId="77777777">
            <w:pPr>
              <w:spacing w:line="276" w:lineRule="auto"/>
              <w:ind w:left="743" w:hanging="709"/>
              <w:rPr>
                <w:rFonts w:eastAsiaTheme="minorHAnsi" w:cs="Arial"/>
                <w:sz w:val="24"/>
              </w:rPr>
            </w:pPr>
            <w:r w:rsidRPr="00852B75">
              <w:rPr>
                <w:rFonts w:eastAsiaTheme="minorHAnsi" w:cs="Arial"/>
                <w:sz w:val="24"/>
              </w:rPr>
              <w:t>2.6.13. Epidemiologie a výzkum v oblasti demence</w:t>
            </w:r>
          </w:p>
          <w:p w:rsidR="00852B75" w:rsidRPr="00852B75" w:rsidP="00852B75" w14:paraId="55D1D1A3" w14:textId="77777777">
            <w:pPr>
              <w:spacing w:line="276" w:lineRule="auto"/>
              <w:ind w:left="743" w:hanging="709"/>
              <w:rPr>
                <w:rFonts w:eastAsiaTheme="minorHAnsi" w:cs="Arial"/>
                <w:sz w:val="24"/>
              </w:rPr>
            </w:pPr>
            <w:r w:rsidRPr="00852B75">
              <w:rPr>
                <w:rFonts w:eastAsiaTheme="minorHAnsi" w:cs="Arial"/>
                <w:sz w:val="24"/>
              </w:rPr>
              <w:t>2.6.14. Povědomí o demenci a prevence</w:t>
            </w:r>
          </w:p>
          <w:p w:rsidR="0056446D" w:rsidRPr="00A955AF" w:rsidP="00852B75" w14:paraId="20C802D3" w14:textId="6D643F84">
            <w:pPr>
              <w:spacing w:line="276" w:lineRule="auto"/>
              <w:ind w:left="743" w:hanging="709"/>
              <w:rPr>
                <w:rFonts w:eastAsiaTheme="minorHAnsi" w:cs="Arial"/>
                <w:sz w:val="24"/>
              </w:rPr>
            </w:pPr>
            <w:r w:rsidRPr="00852B75">
              <w:rPr>
                <w:rFonts w:eastAsiaTheme="minorHAnsi" w:cs="Arial"/>
                <w:sz w:val="24"/>
              </w:rPr>
              <w:t>2. 6. 15. Ochrana práv osob žijících s demencí</w:t>
            </w:r>
          </w:p>
        </w:tc>
      </w:tr>
      <w:tr w14:paraId="36E0842B"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77F9E4AF" w14:textId="77777777">
            <w:pPr>
              <w:spacing w:line="276" w:lineRule="auto"/>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70E35" w:rsidP="006C359E" w14:paraId="7C947F27" w14:textId="77777777">
            <w:pPr>
              <w:pStyle w:val="NormalWeb"/>
              <w:numPr>
                <w:ilvl w:val="0"/>
                <w:numId w:val="36"/>
              </w:numPr>
              <w:spacing w:before="100" w:beforeAutospacing="1" w:after="100" w:afterAutospacing="1"/>
              <w:jc w:val="both"/>
              <w:rPr>
                <w:rFonts w:asciiTheme="minorHAnsi" w:hAnsiTheme="minorHAnsi" w:cs="Arial"/>
                <w:color w:val="000000"/>
              </w:rPr>
            </w:pPr>
            <w:r w:rsidRPr="00470E35">
              <w:rPr>
                <w:rFonts w:asciiTheme="minorHAnsi" w:hAnsiTheme="minorHAnsi" w:cs="Arial"/>
                <w:color w:val="000000"/>
              </w:rPr>
              <w:t>Podpořit prevenci a včasnou intervenci v oblasti duševního zdraví v průběhu celého života</w:t>
            </w:r>
          </w:p>
          <w:p w:rsidR="0056446D" w:rsidRPr="00A955AF" w:rsidP="006C359E" w14:paraId="67741749" w14:textId="34B56B24">
            <w:pPr>
              <w:pStyle w:val="NormalWeb"/>
              <w:numPr>
                <w:ilvl w:val="0"/>
                <w:numId w:val="36"/>
              </w:numPr>
              <w:spacing w:before="100" w:beforeAutospacing="1" w:after="100" w:afterAutospacing="1"/>
              <w:jc w:val="both"/>
              <w:rPr>
                <w:rFonts w:asciiTheme="minorHAnsi" w:hAnsiTheme="minorHAnsi" w:cs="Arial"/>
                <w:color w:val="000000"/>
              </w:rPr>
            </w:pPr>
            <w:r w:rsidRPr="00A955AF">
              <w:rPr>
                <w:rFonts w:asciiTheme="minorHAnsi" w:hAnsiTheme="minorHAnsi" w:cs="Arial"/>
                <w:color w:val="000000"/>
              </w:rPr>
              <w:t>další rozvoj CDZ pro osoby se závažným duševním onemocněním, pro děti s duševním onemocněním či s</w:t>
            </w:r>
            <w:r w:rsidR="00D13FED">
              <w:rPr>
                <w:rFonts w:asciiTheme="minorHAnsi" w:hAnsiTheme="minorHAnsi" w:cs="Arial"/>
                <w:color w:val="000000"/>
              </w:rPr>
              <w:t> </w:t>
            </w:r>
            <w:r w:rsidRPr="00A955AF">
              <w:rPr>
                <w:rFonts w:asciiTheme="minorHAnsi" w:hAnsiTheme="minorHAnsi" w:cs="Arial"/>
                <w:color w:val="000000"/>
              </w:rPr>
              <w:t>rizikem jeho rozvoje, multidisciplinární týmy v oblasti závislostní problematiky a v oblasti forenzní problematiky, a realizace de-institucionalizace (vč. rozvoje akutní péče v psychiatrických a pediatrických odděleních všeobecných nemocnic</w:t>
            </w:r>
            <w:r w:rsidRPr="00A955AF">
              <w:t xml:space="preserve"> </w:t>
            </w:r>
            <w:r w:rsidRPr="00A955AF">
              <w:rPr>
                <w:rFonts w:asciiTheme="minorHAnsi" w:hAnsiTheme="minorHAnsi" w:cs="Arial"/>
                <w:color w:val="000000"/>
              </w:rPr>
              <w:t>a v psychiatrických nemocnicích)</w:t>
            </w:r>
          </w:p>
          <w:p w:rsidR="0056446D" w:rsidRPr="00A955AF" w:rsidP="006C359E" w14:paraId="26D34FA2" w14:textId="77777777">
            <w:pPr>
              <w:pStyle w:val="NormalWeb"/>
              <w:numPr>
                <w:ilvl w:val="0"/>
                <w:numId w:val="36"/>
              </w:numPr>
              <w:spacing w:before="100" w:beforeAutospacing="1" w:after="100" w:afterAutospacing="1"/>
              <w:jc w:val="both"/>
              <w:rPr>
                <w:rFonts w:asciiTheme="minorHAnsi" w:hAnsiTheme="minorHAnsi" w:cs="Arial"/>
                <w:color w:val="000000"/>
              </w:rPr>
            </w:pPr>
            <w:r w:rsidRPr="00A955AF">
              <w:rPr>
                <w:rFonts w:asciiTheme="minorHAnsi" w:hAnsiTheme="minorHAnsi" w:cs="Arial"/>
                <w:color w:val="000000"/>
              </w:rPr>
              <w:t>Pilotní projekty inovativních metod v poskytování péče v oblasti duševního zdraví</w:t>
            </w:r>
            <w:r>
              <w:rPr>
                <w:rStyle w:val="FootnoteReference"/>
                <w:rFonts w:asciiTheme="minorHAnsi" w:hAnsiTheme="minorHAnsi" w:cs="Arial"/>
                <w:color w:val="000000"/>
              </w:rPr>
              <w:footnoteReference w:id="64"/>
            </w:r>
            <w:r w:rsidRPr="00A955AF">
              <w:rPr>
                <w:rFonts w:asciiTheme="minorHAnsi" w:hAnsiTheme="minorHAnsi" w:cs="Arial"/>
                <w:color w:val="000000"/>
              </w:rPr>
              <w:t>, modelu „recovery house“, „mother and baby unit“, podpora duševního zdraví v zaměstnání, dětské duševní zdraví a psychosociální výchova ve vzdělávacím systému, multidisciplinární týmy pro osoby trpící demencí, pro forenzní léčbu</w:t>
            </w:r>
          </w:p>
          <w:p w:rsidR="0056446D" w:rsidP="006C359E" w14:paraId="37A0CF97" w14:textId="77777777">
            <w:pPr>
              <w:pStyle w:val="NormalWeb"/>
              <w:numPr>
                <w:ilvl w:val="0"/>
                <w:numId w:val="36"/>
              </w:numPr>
              <w:spacing w:before="100" w:beforeAutospacing="1" w:after="100" w:afterAutospacing="1"/>
              <w:jc w:val="both"/>
              <w:rPr>
                <w:rFonts w:asciiTheme="minorHAnsi" w:hAnsiTheme="minorHAnsi" w:cs="Arial"/>
                <w:color w:val="000000"/>
              </w:rPr>
            </w:pPr>
            <w:r w:rsidRPr="00470E35">
              <w:rPr>
                <w:rFonts w:asciiTheme="minorHAnsi" w:hAnsiTheme="minorHAnsi" w:cs="Arial"/>
                <w:color w:val="000000"/>
              </w:rPr>
              <w:t>Zajištění podkladů pro rozhodování o omezování dostupnosti prostředků pro vykonání sebevraždy</w:t>
            </w:r>
          </w:p>
          <w:p w:rsidR="00470E35" w:rsidP="006C359E" w14:paraId="669C215C" w14:textId="390A1EA6">
            <w:pPr>
              <w:pStyle w:val="NormalWeb"/>
              <w:numPr>
                <w:ilvl w:val="0"/>
                <w:numId w:val="36"/>
              </w:numPr>
              <w:spacing w:before="100" w:beforeAutospacing="1" w:after="100" w:afterAutospacing="1"/>
              <w:jc w:val="both"/>
              <w:rPr>
                <w:rFonts w:asciiTheme="minorHAnsi" w:hAnsiTheme="minorHAnsi" w:cs="Arial"/>
                <w:color w:val="000000"/>
              </w:rPr>
            </w:pPr>
            <w:r w:rsidRPr="00470E35">
              <w:rPr>
                <w:rFonts w:asciiTheme="minorHAnsi" w:hAnsiTheme="minorHAnsi" w:cs="Arial"/>
                <w:color w:val="000000"/>
              </w:rPr>
              <w:t>Integrovat péči o duševní zdraví do kompetencí praktických lékařů, zapojení do péče o pacienty s</w:t>
            </w:r>
            <w:r w:rsidR="00D13FED">
              <w:rPr>
                <w:rFonts w:asciiTheme="minorHAnsi" w:hAnsiTheme="minorHAnsi" w:cs="Arial"/>
                <w:color w:val="000000"/>
              </w:rPr>
              <w:t> </w:t>
            </w:r>
            <w:r w:rsidRPr="00470E35">
              <w:rPr>
                <w:rFonts w:asciiTheme="minorHAnsi" w:hAnsiTheme="minorHAnsi" w:cs="Arial"/>
                <w:color w:val="000000"/>
              </w:rPr>
              <w:t>demencí a zajistit péči o nemocné s psychosomatickou problematikou a psychologickou a psychiatrickou péči o</w:t>
            </w:r>
            <w:r w:rsidR="00D13FED">
              <w:rPr>
                <w:rFonts w:asciiTheme="minorHAnsi" w:hAnsiTheme="minorHAnsi" w:cs="Arial"/>
                <w:color w:val="000000"/>
              </w:rPr>
              <w:t> </w:t>
            </w:r>
            <w:r w:rsidRPr="00470E35">
              <w:rPr>
                <w:rFonts w:asciiTheme="minorHAnsi" w:hAnsiTheme="minorHAnsi" w:cs="Arial"/>
                <w:color w:val="000000"/>
              </w:rPr>
              <w:t>somaticky nemocné</w:t>
            </w:r>
          </w:p>
          <w:p w:rsidR="00470E35" w:rsidP="006C359E" w14:paraId="0107865C" w14:textId="59352944">
            <w:pPr>
              <w:pStyle w:val="NormalWeb"/>
              <w:numPr>
                <w:ilvl w:val="0"/>
                <w:numId w:val="36"/>
              </w:numPr>
              <w:spacing w:before="100" w:beforeAutospacing="1" w:after="100" w:afterAutospacing="1"/>
              <w:rPr>
                <w:rFonts w:asciiTheme="minorHAnsi" w:hAnsiTheme="minorHAnsi" w:cs="Arial"/>
                <w:color w:val="000000"/>
              </w:rPr>
            </w:pPr>
            <w:r w:rsidRPr="00470E35">
              <w:rPr>
                <w:rFonts w:asciiTheme="minorHAnsi" w:hAnsiTheme="minorHAnsi" w:cs="Arial"/>
                <w:color w:val="000000"/>
              </w:rPr>
              <w:t>Vytvoření jednotného doporučeného postupu s mezioborovou platností pro diagnostiku, léčbu a péči o</w:t>
            </w:r>
            <w:r w:rsidR="00D13FED">
              <w:rPr>
                <w:rFonts w:asciiTheme="minorHAnsi" w:hAnsiTheme="minorHAnsi" w:cs="Arial"/>
                <w:color w:val="000000"/>
              </w:rPr>
              <w:t> </w:t>
            </w:r>
            <w:r w:rsidRPr="00470E35">
              <w:rPr>
                <w:rFonts w:asciiTheme="minorHAnsi" w:hAnsiTheme="minorHAnsi" w:cs="Arial"/>
                <w:color w:val="000000"/>
              </w:rPr>
              <w:t>osoby žijící s</w:t>
            </w:r>
            <w:r>
              <w:rPr>
                <w:rFonts w:asciiTheme="minorHAnsi" w:hAnsiTheme="minorHAnsi" w:cs="Arial"/>
                <w:color w:val="000000"/>
              </w:rPr>
              <w:t> </w:t>
            </w:r>
            <w:r w:rsidRPr="00470E35">
              <w:rPr>
                <w:rFonts w:asciiTheme="minorHAnsi" w:hAnsiTheme="minorHAnsi" w:cs="Arial"/>
                <w:color w:val="000000"/>
              </w:rPr>
              <w:t>demencí</w:t>
            </w:r>
          </w:p>
          <w:p w:rsidR="00470E35" w:rsidRPr="00470E35" w:rsidP="006C359E" w14:paraId="408D41CF" w14:textId="56B1E0BD">
            <w:pPr>
              <w:pStyle w:val="NormalWeb"/>
              <w:numPr>
                <w:ilvl w:val="0"/>
                <w:numId w:val="36"/>
              </w:numPr>
              <w:spacing w:before="100" w:beforeAutospacing="1" w:after="100" w:afterAutospacing="1"/>
              <w:rPr>
                <w:rFonts w:asciiTheme="minorHAnsi" w:hAnsiTheme="minorHAnsi" w:cs="Arial"/>
                <w:color w:val="000000"/>
              </w:rPr>
            </w:pPr>
            <w:r w:rsidRPr="00470E35">
              <w:rPr>
                <w:rFonts w:asciiTheme="minorHAnsi" w:hAnsiTheme="minorHAnsi" w:cs="Arial"/>
                <w:color w:val="000000"/>
              </w:rPr>
              <w:t>Dotvoření víceúrovňové sítě péče</w:t>
            </w:r>
          </w:p>
          <w:p w:rsidR="00470E35" w:rsidRPr="00470E35" w:rsidP="006C359E" w14:paraId="0622748D" w14:textId="77777777">
            <w:pPr>
              <w:pStyle w:val="NormalWeb"/>
              <w:numPr>
                <w:ilvl w:val="0"/>
                <w:numId w:val="36"/>
              </w:numPr>
              <w:spacing w:before="100" w:beforeAutospacing="1" w:after="100" w:afterAutospacing="1"/>
              <w:rPr>
                <w:rFonts w:asciiTheme="minorHAnsi" w:hAnsiTheme="minorHAnsi" w:cs="Arial"/>
                <w:color w:val="000000"/>
              </w:rPr>
            </w:pPr>
            <w:r w:rsidRPr="00470E35">
              <w:rPr>
                <w:rFonts w:asciiTheme="minorHAnsi" w:hAnsiTheme="minorHAnsi" w:cs="Arial"/>
                <w:color w:val="000000"/>
              </w:rPr>
              <w:t>Vytvoření podmínek pro setrvání nemocných s demencí co nejdéle ve vlastním sociálním prostředí</w:t>
            </w:r>
          </w:p>
          <w:p w:rsidR="00470E35" w:rsidRPr="00A955AF" w:rsidP="00470E35" w14:paraId="0648EE09" w14:textId="002554FB">
            <w:pPr>
              <w:pStyle w:val="NormalWeb"/>
              <w:spacing w:before="100" w:beforeAutospacing="1" w:after="100" w:afterAutospacing="1"/>
              <w:ind w:left="1080"/>
              <w:rPr>
                <w:rFonts w:asciiTheme="minorHAnsi" w:hAnsiTheme="minorHAnsi" w:cs="Arial"/>
                <w:color w:val="000000"/>
              </w:rPr>
            </w:pPr>
          </w:p>
        </w:tc>
      </w:tr>
      <w:tr w14:paraId="35C03FD5"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5F89E1A4"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47A23B0D" w14:textId="4F6E6CC6">
            <w:pPr>
              <w:spacing w:line="276" w:lineRule="auto"/>
              <w:rPr>
                <w:rFonts w:eastAsiaTheme="minorHAnsi" w:cs="Arial"/>
                <w:sz w:val="24"/>
              </w:rPr>
            </w:pPr>
            <w:r w:rsidRPr="00A955AF">
              <w:rPr>
                <w:rFonts w:cs="Arial"/>
                <w:sz w:val="24"/>
              </w:rPr>
              <w:t>MZ</w:t>
            </w:r>
            <w:r>
              <w:rPr>
                <w:rFonts w:cs="Arial"/>
                <w:sz w:val="24"/>
              </w:rPr>
              <w:t>D – vrchní</w:t>
            </w:r>
            <w:r w:rsidR="00470E35">
              <w:rPr>
                <w:rFonts w:cs="Arial"/>
                <w:sz w:val="24"/>
              </w:rPr>
              <w:t xml:space="preserve"> ředitel sekce zdravotní péče</w:t>
            </w:r>
          </w:p>
        </w:tc>
      </w:tr>
      <w:tr w14:paraId="239400FD"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0E0BD34C"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56446D" w:rsidP="00B56B1A" w14:paraId="76B5BEFB" w14:textId="677CF6F6">
            <w:pPr>
              <w:spacing w:line="276" w:lineRule="auto"/>
              <w:rPr>
                <w:rFonts w:cs="Arial"/>
                <w:sz w:val="24"/>
              </w:rPr>
            </w:pPr>
            <w:r>
              <w:rPr>
                <w:rFonts w:cs="Arial"/>
                <w:sz w:val="24"/>
              </w:rPr>
              <w:t xml:space="preserve">ÚZIS, SÚKL, IPVZ, NCO NZO, NÚDZ, </w:t>
            </w:r>
            <w:r w:rsidRPr="00A955AF">
              <w:rPr>
                <w:rFonts w:cs="Arial"/>
                <w:sz w:val="24"/>
              </w:rPr>
              <w:t xml:space="preserve">MPSV, MMR, MSp, MŠMT, MV, </w:t>
            </w:r>
            <w:r>
              <w:rPr>
                <w:rFonts w:cs="Arial"/>
                <w:sz w:val="24"/>
              </w:rPr>
              <w:t xml:space="preserve">ČLS JEP, </w:t>
            </w:r>
            <w:r w:rsidRPr="00A955AF">
              <w:rPr>
                <w:rFonts w:cs="Arial"/>
                <w:sz w:val="24"/>
              </w:rPr>
              <w:t xml:space="preserve">kraje, obce, nevládní sektor, zdravotní pojišťovny, </w:t>
            </w:r>
            <w:r w:rsidRPr="00A955AF">
              <w:rPr>
                <w:rFonts w:cs="Arial"/>
                <w:sz w:val="24"/>
              </w:rPr>
              <w:t>pacientské organizace, Svaz měst a</w:t>
            </w:r>
            <w:r>
              <w:rPr>
                <w:rFonts w:cs="Arial"/>
                <w:sz w:val="24"/>
              </w:rPr>
              <w:t> </w:t>
            </w:r>
            <w:r w:rsidRPr="00A955AF">
              <w:rPr>
                <w:rFonts w:cs="Arial"/>
                <w:sz w:val="24"/>
              </w:rPr>
              <w:t>obcí ČR a Sdružení místních samospráv</w:t>
            </w:r>
            <w:r>
              <w:rPr>
                <w:rFonts w:cs="Arial"/>
                <w:sz w:val="24"/>
              </w:rPr>
              <w:t>,</w:t>
            </w:r>
            <w:r w:rsidRPr="00A955AF">
              <w:rPr>
                <w:rFonts w:cs="Arial"/>
                <w:sz w:val="24"/>
              </w:rPr>
              <w:t xml:space="preserve"> </w:t>
            </w:r>
            <w:r w:rsidRPr="00B93A8A">
              <w:rPr>
                <w:rFonts w:cs="Arial"/>
                <w:sz w:val="24"/>
              </w:rPr>
              <w:t>Asociace krajů ČR,</w:t>
            </w:r>
            <w:r>
              <w:rPr>
                <w:rFonts w:cs="Arial"/>
                <w:color w:val="auto"/>
                <w:szCs w:val="22"/>
              </w:rPr>
              <w:t xml:space="preserve"> </w:t>
            </w:r>
            <w:r w:rsidRPr="00B93A8A">
              <w:rPr>
                <w:rFonts w:cs="Arial"/>
                <w:sz w:val="24"/>
              </w:rPr>
              <w:t>NNO, poskytovatelé zdravotních a</w:t>
            </w:r>
            <w:r>
              <w:rPr>
                <w:rFonts w:cs="Arial"/>
                <w:sz w:val="24"/>
              </w:rPr>
              <w:t> </w:t>
            </w:r>
            <w:r w:rsidRPr="00B93A8A">
              <w:rPr>
                <w:rFonts w:cs="Arial"/>
                <w:sz w:val="24"/>
              </w:rPr>
              <w:t>sociálních služeb</w:t>
            </w:r>
            <w:r>
              <w:rPr>
                <w:rFonts w:cs="Arial"/>
                <w:sz w:val="24"/>
              </w:rPr>
              <w:t xml:space="preserve">, </w:t>
            </w:r>
            <w:r w:rsidRPr="008A62BC">
              <w:rPr>
                <w:rFonts w:cs="Arial"/>
                <w:sz w:val="24"/>
              </w:rPr>
              <w:t>odborná veřejnost, akademická sféra, zdravotní pojišťovny</w:t>
            </w:r>
            <w:r>
              <w:rPr>
                <w:rFonts w:cs="Arial"/>
                <w:sz w:val="24"/>
              </w:rPr>
              <w:t xml:space="preserve">, </w:t>
            </w:r>
          </w:p>
          <w:p w:rsidR="0056446D" w:rsidRPr="00A955AF" w:rsidP="00B56B1A" w14:paraId="356CA21D" w14:textId="77777777">
            <w:pPr>
              <w:spacing w:line="276" w:lineRule="auto"/>
              <w:rPr>
                <w:rFonts w:eastAsiaTheme="minorHAnsi" w:cs="Arial"/>
                <w:sz w:val="24"/>
              </w:rPr>
            </w:pPr>
          </w:p>
        </w:tc>
      </w:tr>
      <w:tr w14:paraId="7A38FC56" w14:textId="77777777" w:rsidTr="00B56B1A">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7FF6A433"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470E35" w:rsidRPr="00470E35" w:rsidP="00470E35" w14:paraId="463640E7" w14:textId="3C7ED7F3">
            <w:pPr>
              <w:rPr>
                <w:rFonts w:cs="Arial"/>
                <w:sz w:val="24"/>
              </w:rPr>
            </w:pPr>
            <w:r>
              <w:rPr>
                <w:rFonts w:cs="Arial"/>
                <w:sz w:val="24"/>
              </w:rPr>
              <w:t xml:space="preserve">1.1 </w:t>
            </w:r>
            <w:r w:rsidRPr="00470E35">
              <w:rPr>
                <w:rFonts w:cs="Arial"/>
                <w:sz w:val="24"/>
              </w:rPr>
              <w:t>Primární prevence a ochrana veřejného zdraví</w:t>
            </w:r>
          </w:p>
          <w:p w:rsidR="00470E35" w:rsidP="00B56B1A" w14:paraId="72F2B28D" w14:textId="2FE163FB">
            <w:pPr>
              <w:rPr>
                <w:rFonts w:cs="Arial"/>
                <w:sz w:val="24"/>
              </w:rPr>
            </w:pPr>
            <w:r w:rsidRPr="00470E35">
              <w:rPr>
                <w:rFonts w:cs="Arial"/>
                <w:sz w:val="24"/>
              </w:rPr>
              <w:t>1.2 Sekundární prevence a screeningové programy</w:t>
            </w:r>
          </w:p>
          <w:p w:rsidR="0056446D" w:rsidRPr="00A955AF" w:rsidP="00470E35" w14:paraId="6F8CDABA" w14:textId="717472F7">
            <w:pPr>
              <w:rPr>
                <w:rFonts w:cs="Arial"/>
                <w:sz w:val="24"/>
              </w:rPr>
            </w:pPr>
            <w:r>
              <w:rPr>
                <w:rFonts w:cs="Arial"/>
                <w:sz w:val="24"/>
              </w:rPr>
              <w:t xml:space="preserve">2.1 </w:t>
            </w:r>
            <w:r w:rsidRPr="00A955AF">
              <w:rPr>
                <w:rFonts w:cs="Arial"/>
                <w:sz w:val="24"/>
              </w:rPr>
              <w:t>Reforma primární péče</w:t>
            </w:r>
          </w:p>
          <w:p w:rsidR="0056446D" w:rsidRPr="00A955AF" w:rsidP="00B56B1A" w14:paraId="09B008DC" w14:textId="36EDD7F5">
            <w:pPr>
              <w:rPr>
                <w:rFonts w:cs="Arial"/>
                <w:sz w:val="24"/>
              </w:rPr>
            </w:pPr>
            <w:r w:rsidRPr="00A955AF">
              <w:rPr>
                <w:rFonts w:cs="Arial"/>
                <w:sz w:val="24"/>
              </w:rPr>
              <w:t>2.2</w:t>
            </w:r>
            <w:r w:rsidR="00470E35">
              <w:rPr>
                <w:rFonts w:cs="Arial"/>
                <w:sz w:val="24"/>
              </w:rPr>
              <w:t xml:space="preserve"> </w:t>
            </w:r>
            <w:r w:rsidRPr="00A955AF">
              <w:rPr>
                <w:rFonts w:cs="Arial"/>
                <w:sz w:val="24"/>
              </w:rPr>
              <w:t>Personální stabilizace resortu zdravotnictví</w:t>
            </w:r>
          </w:p>
          <w:p w:rsidR="0056446D" w:rsidRPr="00A955AF" w:rsidP="00B56B1A" w14:paraId="415099FE" w14:textId="7AB1D967">
            <w:pPr>
              <w:rPr>
                <w:rFonts w:cs="Arial"/>
                <w:sz w:val="24"/>
              </w:rPr>
            </w:pPr>
            <w:r w:rsidRPr="00A955AF">
              <w:rPr>
                <w:rFonts w:cs="Arial"/>
                <w:sz w:val="24"/>
              </w:rPr>
              <w:t>2.3</w:t>
            </w:r>
            <w:r w:rsidR="00470E35">
              <w:rPr>
                <w:rFonts w:cs="Arial"/>
                <w:sz w:val="24"/>
              </w:rPr>
              <w:t xml:space="preserve"> </w:t>
            </w:r>
            <w:r w:rsidRPr="00A955AF">
              <w:rPr>
                <w:rFonts w:cs="Arial"/>
                <w:sz w:val="24"/>
              </w:rPr>
              <w:t>Digitalizace zdravotnictví</w:t>
            </w:r>
          </w:p>
          <w:p w:rsidR="0056446D" w:rsidP="00B56B1A" w14:paraId="7F129BAB" w14:textId="55E7D469">
            <w:pPr>
              <w:spacing w:line="276" w:lineRule="auto"/>
              <w:rPr>
                <w:rFonts w:cs="Arial"/>
                <w:sz w:val="24"/>
              </w:rPr>
            </w:pPr>
            <w:r w:rsidRPr="00A955AF">
              <w:rPr>
                <w:rFonts w:cs="Arial"/>
                <w:sz w:val="24"/>
              </w:rPr>
              <w:t>2.4</w:t>
            </w:r>
            <w:r w:rsidR="00470E35">
              <w:rPr>
                <w:rFonts w:cs="Arial"/>
                <w:sz w:val="24"/>
              </w:rPr>
              <w:t xml:space="preserve"> </w:t>
            </w:r>
            <w:r w:rsidRPr="00A955AF">
              <w:rPr>
                <w:rFonts w:cs="Arial"/>
                <w:sz w:val="24"/>
              </w:rPr>
              <w:t>Optimalizace systému úhrad ve zdravotnictví</w:t>
            </w:r>
          </w:p>
          <w:p w:rsidR="00470E35" w:rsidP="00B56B1A" w14:paraId="4346C22A" w14:textId="77777777">
            <w:pPr>
              <w:spacing w:line="276" w:lineRule="auto"/>
              <w:rPr>
                <w:rFonts w:cs="Arial"/>
                <w:sz w:val="24"/>
              </w:rPr>
            </w:pPr>
            <w:r>
              <w:rPr>
                <w:rFonts w:cs="Arial"/>
                <w:sz w:val="24"/>
              </w:rPr>
              <w:t>2.5 Péče na sociálně zdravotním pomezí</w:t>
            </w:r>
          </w:p>
          <w:p w:rsidR="00470E35" w:rsidRPr="00A955AF" w:rsidP="00B56B1A" w14:paraId="4C307658" w14:textId="401B17D4">
            <w:pPr>
              <w:spacing w:line="276" w:lineRule="auto"/>
              <w:rPr>
                <w:rFonts w:eastAsiaTheme="minorHAnsi" w:cs="Arial"/>
                <w:sz w:val="24"/>
              </w:rPr>
            </w:pPr>
            <w:r>
              <w:rPr>
                <w:rFonts w:cs="Arial"/>
                <w:sz w:val="24"/>
              </w:rPr>
              <w:t xml:space="preserve">2.8 </w:t>
            </w:r>
            <w:r w:rsidRPr="005F5FC5" w:rsidR="005F5FC5">
              <w:rPr>
                <w:rFonts w:cs="Arial"/>
                <w:sz w:val="24"/>
              </w:rPr>
              <w:t>Zvýšení kvality poskytovaných zdravotních služeb v</w:t>
            </w:r>
            <w:r w:rsidR="005F5FC5">
              <w:rPr>
                <w:rFonts w:cs="Arial"/>
                <w:sz w:val="24"/>
              </w:rPr>
              <w:t> </w:t>
            </w:r>
            <w:r w:rsidRPr="005F5FC5" w:rsidR="005F5FC5">
              <w:rPr>
                <w:rFonts w:cs="Arial"/>
                <w:sz w:val="24"/>
              </w:rPr>
              <w:t>ČR</w:t>
            </w:r>
          </w:p>
        </w:tc>
      </w:tr>
      <w:tr w14:paraId="73520095"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77355E6F"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5574B771" w14:textId="77777777">
            <w:pPr>
              <w:tabs>
                <w:tab w:val="num" w:pos="585"/>
              </w:tabs>
              <w:overflowPunct w:val="0"/>
              <w:autoSpaceDE w:val="0"/>
              <w:autoSpaceDN w:val="0"/>
              <w:adjustRightInd w:val="0"/>
              <w:rPr>
                <w:rFonts w:cs="Arial"/>
                <w:sz w:val="24"/>
              </w:rPr>
            </w:pPr>
            <w:r w:rsidRPr="00A955AF">
              <w:rPr>
                <w:rFonts w:cs="Arial"/>
                <w:sz w:val="24"/>
              </w:rPr>
              <w:t xml:space="preserve"> Na úrovni dopadu: </w:t>
            </w:r>
          </w:p>
          <w:p w:rsidR="00EC63BF" w:rsidRPr="00EC63BF" w:rsidP="006C359E" w14:paraId="77CA9537" w14:textId="77777777">
            <w:pPr>
              <w:pStyle w:val="ListParagraph"/>
              <w:numPr>
                <w:ilvl w:val="0"/>
                <w:numId w:val="32"/>
              </w:numPr>
              <w:tabs>
                <w:tab w:val="num" w:pos="585"/>
              </w:tabs>
              <w:overflowPunct w:val="0"/>
              <w:rPr>
                <w:rFonts w:cs="Arial"/>
                <w:sz w:val="24"/>
              </w:rPr>
            </w:pPr>
            <w:r w:rsidRPr="00EC63BF">
              <w:rPr>
                <w:rFonts w:cs="Arial"/>
                <w:sz w:val="24"/>
                <w:szCs w:val="24"/>
              </w:rPr>
              <w:t xml:space="preserve">Počet rehospitalizací </w:t>
            </w:r>
          </w:p>
          <w:p w:rsidR="00EC63BF" w:rsidRPr="00EC63BF" w:rsidP="006C359E" w14:paraId="1A5A7F5E" w14:textId="77777777">
            <w:pPr>
              <w:pStyle w:val="ListParagraph"/>
              <w:numPr>
                <w:ilvl w:val="0"/>
                <w:numId w:val="32"/>
              </w:numPr>
              <w:overflowPunct w:val="0"/>
              <w:rPr>
                <w:rFonts w:cs="Arial"/>
                <w:sz w:val="24"/>
              </w:rPr>
            </w:pPr>
            <w:r w:rsidRPr="00EC63BF">
              <w:rPr>
                <w:rFonts w:cs="Arial"/>
                <w:sz w:val="24"/>
              </w:rPr>
              <w:t>Pokrytí ambulantními psychiatrickými službami</w:t>
            </w:r>
          </w:p>
          <w:p w:rsidR="00EC63BF" w:rsidRPr="00EC63BF" w:rsidP="006C359E" w14:paraId="63964E3B" w14:textId="1CD50B6C">
            <w:pPr>
              <w:pStyle w:val="ListParagraph"/>
              <w:numPr>
                <w:ilvl w:val="0"/>
                <w:numId w:val="32"/>
              </w:numPr>
              <w:overflowPunct w:val="0"/>
              <w:rPr>
                <w:rFonts w:cs="Arial"/>
                <w:sz w:val="24"/>
              </w:rPr>
            </w:pPr>
            <w:r w:rsidRPr="00EC63BF">
              <w:rPr>
                <w:rFonts w:cs="Arial"/>
                <w:sz w:val="24"/>
              </w:rPr>
              <w:t>Míra sebevražednosti do 61 dnů od psychiatrické hospitalizace podle pohlaví</w:t>
            </w:r>
          </w:p>
          <w:p w:rsidR="0056446D" w:rsidRPr="00EC63BF" w:rsidP="00EC63BF" w14:paraId="57B29A0C" w14:textId="31CB6960">
            <w:pPr>
              <w:tabs>
                <w:tab w:val="num" w:pos="585"/>
              </w:tabs>
              <w:overflowPunct w:val="0"/>
              <w:rPr>
                <w:rFonts w:cs="Arial"/>
                <w:sz w:val="24"/>
              </w:rPr>
            </w:pPr>
            <w:r w:rsidRPr="00EC63BF">
              <w:rPr>
                <w:rFonts w:cs="Arial"/>
                <w:sz w:val="24"/>
              </w:rPr>
              <w:t>Na úrovni výsledků/výstupů:</w:t>
            </w:r>
          </w:p>
          <w:p w:rsidR="00EC63BF" w:rsidRPr="00EC63BF" w:rsidP="006C359E" w14:paraId="4208FDF9" w14:textId="426D215B">
            <w:pPr>
              <w:pStyle w:val="ListParagraph"/>
              <w:numPr>
                <w:ilvl w:val="0"/>
                <w:numId w:val="31"/>
              </w:numPr>
              <w:overflowPunct w:val="0"/>
              <w:spacing w:before="0"/>
              <w:contextualSpacing/>
              <w:rPr>
                <w:rFonts w:cs="Arial"/>
                <w:sz w:val="24"/>
                <w:szCs w:val="24"/>
              </w:rPr>
            </w:pPr>
            <w:r w:rsidRPr="00EC63BF">
              <w:rPr>
                <w:rFonts w:cs="Arial"/>
                <w:sz w:val="24"/>
                <w:szCs w:val="24"/>
              </w:rPr>
              <w:t>Počet systémů reportování a monitorování kvality péče o</w:t>
            </w:r>
            <w:r w:rsidR="00D13FED">
              <w:rPr>
                <w:rFonts w:cs="Arial"/>
                <w:sz w:val="24"/>
                <w:szCs w:val="24"/>
              </w:rPr>
              <w:t> </w:t>
            </w:r>
            <w:r w:rsidRPr="00EC63BF">
              <w:rPr>
                <w:rFonts w:cs="Arial"/>
                <w:sz w:val="24"/>
                <w:szCs w:val="24"/>
              </w:rPr>
              <w:t xml:space="preserve">duševní zdraví ve vazbě na vynakládané prostředky  </w:t>
            </w:r>
          </w:p>
          <w:p w:rsidR="00EC63BF" w:rsidP="006C359E" w14:paraId="587DD0D8" w14:textId="77777777">
            <w:pPr>
              <w:pStyle w:val="ListParagraph"/>
              <w:numPr>
                <w:ilvl w:val="0"/>
                <w:numId w:val="31"/>
              </w:numPr>
              <w:overflowPunct w:val="0"/>
              <w:spacing w:before="0"/>
              <w:contextualSpacing/>
              <w:rPr>
                <w:rFonts w:cs="Arial"/>
                <w:sz w:val="24"/>
                <w:szCs w:val="24"/>
              </w:rPr>
            </w:pPr>
            <w:r w:rsidRPr="00EC63BF">
              <w:rPr>
                <w:rFonts w:cs="Arial"/>
                <w:sz w:val="24"/>
                <w:szCs w:val="24"/>
              </w:rPr>
              <w:t xml:space="preserve">Počet datových základen a informačních systémů sledujících oblast péče o duševně nemocné </w:t>
            </w:r>
          </w:p>
          <w:p w:rsidR="00EC63BF" w:rsidP="006C359E" w14:paraId="36CADEF0" w14:textId="4001C860">
            <w:pPr>
              <w:pStyle w:val="ListParagraph"/>
              <w:numPr>
                <w:ilvl w:val="0"/>
                <w:numId w:val="31"/>
              </w:numPr>
              <w:overflowPunct w:val="0"/>
              <w:spacing w:before="0"/>
              <w:contextualSpacing/>
              <w:rPr>
                <w:rFonts w:cs="Arial"/>
                <w:sz w:val="24"/>
                <w:szCs w:val="24"/>
              </w:rPr>
            </w:pPr>
            <w:r w:rsidRPr="00EC63BF">
              <w:rPr>
                <w:rFonts w:cs="Arial"/>
                <w:sz w:val="24"/>
                <w:szCs w:val="24"/>
              </w:rPr>
              <w:t>Technologická zařízení využitelná pro zvýšení bezpečnosti seniorů s demencí</w:t>
            </w:r>
          </w:p>
          <w:p w:rsidR="00EC63BF" w:rsidP="006C359E" w14:paraId="175DC922" w14:textId="05B08191">
            <w:pPr>
              <w:pStyle w:val="ListParagraph"/>
              <w:numPr>
                <w:ilvl w:val="0"/>
                <w:numId w:val="31"/>
              </w:numPr>
              <w:overflowPunct w:val="0"/>
              <w:spacing w:before="0"/>
              <w:contextualSpacing/>
              <w:rPr>
                <w:rFonts w:cs="Arial"/>
                <w:sz w:val="24"/>
                <w:szCs w:val="24"/>
              </w:rPr>
            </w:pPr>
            <w:r w:rsidRPr="00EC63BF">
              <w:rPr>
                <w:rFonts w:cs="Arial"/>
                <w:sz w:val="24"/>
                <w:szCs w:val="24"/>
              </w:rPr>
              <w:t>Vzdělávací programy v rámci destigmatizačních opatření</w:t>
            </w:r>
          </w:p>
          <w:p w:rsidR="0056446D" w:rsidRPr="00EC63BF" w:rsidP="006C359E" w14:paraId="5D03BC0C" w14:textId="6373926C">
            <w:pPr>
              <w:pStyle w:val="ListParagraph"/>
              <w:numPr>
                <w:ilvl w:val="0"/>
                <w:numId w:val="31"/>
              </w:numPr>
              <w:overflowPunct w:val="0"/>
              <w:spacing w:before="0"/>
              <w:contextualSpacing/>
              <w:rPr>
                <w:rFonts w:cs="Arial"/>
                <w:sz w:val="24"/>
                <w:szCs w:val="24"/>
              </w:rPr>
            </w:pPr>
            <w:r w:rsidRPr="00EC63BF">
              <w:rPr>
                <w:rFonts w:cs="Arial"/>
                <w:sz w:val="24"/>
                <w:szCs w:val="24"/>
              </w:rPr>
              <w:t>Počet regionálních center domácí péče</w:t>
            </w:r>
          </w:p>
        </w:tc>
      </w:tr>
      <w:tr w14:paraId="1949B545"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2BED475F"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A52155" w:rsidRPr="00D13FED" w:rsidP="00D13FED" w14:paraId="358E9AF6" w14:textId="6A6DFF66">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A52155">
              <w:rPr>
                <w:rFonts w:cs="Arial"/>
                <w:sz w:val="24"/>
              </w:rPr>
              <w:t>Dlouho opomíjeným tématem je v české populaci výskyt duševních onemocnění, který přímo ovlivňuje přibližně 21 % obyvatel ČR. Problémy s duševním zdravím jsou příčinou přibližně jedné třetiny všech roků poznamenaných disabilitou v důsledku onemocnění a</w:t>
            </w:r>
            <w:r w:rsidR="00D13FED">
              <w:rPr>
                <w:rFonts w:cs="Arial"/>
                <w:sz w:val="24"/>
              </w:rPr>
              <w:t> </w:t>
            </w:r>
            <w:r w:rsidRPr="00A52155">
              <w:rPr>
                <w:rFonts w:cs="Arial"/>
                <w:sz w:val="24"/>
              </w:rPr>
              <w:t xml:space="preserve">deprese je přitom globálně nejčastějším důvodem života v disabilitě.  Lidé s vážným průběhem duševního onemocnění často žijí v chudobě, jsou stigmatizováni a diskriminováni a dožívají se významně nižšího věku než běžná populace. Lidé s duševním onemocněním také častěji zneužívají alkohol a jiné návykové látky. Jsou častěji traumatizováni, resp. viktimizováni, což přispívá </w:t>
            </w:r>
            <w:r w:rsidRPr="00A52155">
              <w:rPr>
                <w:rFonts w:cs="Arial"/>
                <w:sz w:val="24"/>
              </w:rPr>
              <w:t xml:space="preserve">k vyššímu riziku jejich agrese. Narůstá potřeba pedopsychiatrické </w:t>
            </w:r>
            <w:r w:rsidRPr="00D13FED">
              <w:rPr>
                <w:rFonts w:eastAsia="Times New Roman" w:asciiTheme="minorHAnsi" w:hAnsiTheme="minorHAnsi" w:cs="Arial"/>
                <w:color w:val="auto"/>
                <w:sz w:val="24"/>
                <w:szCs w:val="24"/>
                <w:bdr w:val="none" w:sz="0" w:space="0" w:color="auto"/>
                <w:lang w:eastAsia="cs-CZ"/>
              </w:rPr>
              <w:t>péče. Sebevraždu spáchají v ČR každý den přibližně čtyři lidé.</w:t>
            </w:r>
          </w:p>
          <w:p w:rsidR="00A52155" w:rsidRPr="00D13FED" w:rsidP="00D13FED" w14:paraId="55AA6B2B" w14:textId="00C86ED2">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R</w:t>
            </w:r>
            <w:r w:rsidRPr="00D13FED" w:rsidR="00852B75">
              <w:rPr>
                <w:rFonts w:eastAsia="Times New Roman" w:asciiTheme="minorHAnsi" w:hAnsiTheme="minorHAnsi" w:cs="Arial"/>
                <w:color w:val="auto"/>
                <w:sz w:val="24"/>
                <w:szCs w:val="24"/>
                <w:bdr w:val="none" w:sz="0" w:space="0" w:color="auto"/>
                <w:lang w:eastAsia="cs-CZ"/>
              </w:rPr>
              <w:t>eforma péče o duševní zdraví byla započata v minulém programovém období za podpory fondů EU na základě schválené Strategie reformy psychiatrické péče (2014). Ta svou šíří záběru vyžaduje mnohem více času než jedno programové období. V</w:t>
            </w:r>
            <w:r w:rsidRPr="00D13FED" w:rsidR="00D13FED">
              <w:rPr>
                <w:rFonts w:eastAsia="Times New Roman" w:asciiTheme="minorHAnsi" w:hAnsiTheme="minorHAnsi" w:cs="Arial"/>
                <w:color w:val="auto"/>
                <w:sz w:val="24"/>
                <w:szCs w:val="24"/>
                <w:bdr w:val="none" w:sz="0" w:space="0" w:color="auto"/>
                <w:lang w:eastAsia="cs-CZ"/>
              </w:rPr>
              <w:t> </w:t>
            </w:r>
            <w:r w:rsidRPr="00D13FED" w:rsidR="00852B75">
              <w:rPr>
                <w:rFonts w:eastAsia="Times New Roman" w:asciiTheme="minorHAnsi" w:hAnsiTheme="minorHAnsi" w:cs="Arial"/>
                <w:color w:val="auto"/>
                <w:sz w:val="24"/>
                <w:szCs w:val="24"/>
                <w:bdr w:val="none" w:sz="0" w:space="0" w:color="auto"/>
                <w:lang w:eastAsia="cs-CZ"/>
              </w:rPr>
              <w:t>současné době, na základě doposud provedených reformních opatření, je zřejmé, že pro zajištění komplexní péče o duševní zdraví je nutné se zaměřit na problematiku šířeji, tedy na udržení duševního zdraví jako takového.</w:t>
            </w:r>
          </w:p>
          <w:p w:rsidR="00A52155" w:rsidRPr="00A52155" w:rsidP="00B56B1A" w14:paraId="48D7C913" w14:textId="1FB7F52E">
            <w:pPr>
              <w:spacing w:line="276" w:lineRule="auto"/>
              <w:rPr>
                <w:rFonts w:cs="Arial"/>
                <w:sz w:val="24"/>
              </w:rPr>
            </w:pPr>
          </w:p>
        </w:tc>
      </w:tr>
      <w:tr w14:paraId="47840397"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3BBBE9F7"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EC63BF" w:rsidRPr="00D13FED" w:rsidP="00D13FED" w14:paraId="5F625E41" w14:textId="34D184FA">
            <w:pPr>
              <w:pStyle w:val="Text"/>
              <w:spacing w:line="240" w:lineRule="auto"/>
              <w:ind w:left="0"/>
              <w:rPr>
                <w:rFonts w:eastAsia="Times New Roman" w:asciiTheme="minorHAnsi" w:hAnsiTheme="minorHAnsi" w:cs="Arial"/>
                <w:color w:val="auto"/>
                <w:sz w:val="24"/>
                <w:szCs w:val="24"/>
                <w:bdr w:val="none" w:sz="0" w:space="0" w:color="auto"/>
                <w:lang w:eastAsia="cs-CZ"/>
              </w:rPr>
            </w:pPr>
            <w:r w:rsidRPr="00461857">
              <w:rPr>
                <w:rFonts w:eastAsia="Times New Roman" w:asciiTheme="minorHAnsi" w:hAnsiTheme="minorHAnsi" w:cs="Arial"/>
                <w:color w:val="auto"/>
                <w:sz w:val="24"/>
                <w:szCs w:val="24"/>
                <w:bdr w:val="none" w:sz="0" w:space="0" w:color="auto"/>
                <w:lang w:eastAsia="cs-CZ"/>
              </w:rPr>
              <w:t>Zkušenosti ze zahraničí a hlavně pak i z doposud realizovaných změn v oblasti duševního zdraví, jako i požadavky z oblasti dodržování lidských práv a zajištění vyšší efektivity péče vyžadují, aby bylo pokračováno v reformě psychiatrie tak, aby do roku 203</w:t>
            </w:r>
            <w:r>
              <w:rPr>
                <w:rFonts w:eastAsia="Times New Roman" w:asciiTheme="minorHAnsi" w:hAnsiTheme="minorHAnsi" w:cs="Arial"/>
                <w:color w:val="auto"/>
                <w:sz w:val="24"/>
                <w:szCs w:val="24"/>
                <w:bdr w:val="none" w:sz="0" w:space="0" w:color="auto"/>
                <w:lang w:eastAsia="cs-CZ"/>
              </w:rPr>
              <w:t>5</w:t>
            </w:r>
            <w:r w:rsidRPr="00461857">
              <w:rPr>
                <w:rFonts w:eastAsia="Times New Roman" w:asciiTheme="minorHAnsi" w:hAnsiTheme="minorHAnsi" w:cs="Arial"/>
                <w:color w:val="auto"/>
                <w:sz w:val="24"/>
                <w:szCs w:val="24"/>
                <w:bdr w:val="none" w:sz="0" w:space="0" w:color="auto"/>
                <w:lang w:eastAsia="cs-CZ"/>
              </w:rPr>
              <w:t xml:space="preserve"> bylo těžiště péče o duševní zdraví přesunuto z velkokapacitních zařízení zdravotních služeb následné lůžkové péče, kde jsou lidé se závažnými duševními onemocněními hospitalizováni i déle než 20 let, přesunuto do komunitní péče, tj. péče poskytované v přirozeném prostředí lidí s duševním onemocněním. </w:t>
            </w:r>
          </w:p>
          <w:p w:rsidR="0056446D" w:rsidRPr="00D13FED" w:rsidP="00D13FED" w14:paraId="4CAA9787" w14:textId="0B914720">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cs="Arial"/>
                <w:color w:val="auto"/>
                <w:sz w:val="24"/>
                <w:lang w:eastAsia="cs-CZ"/>
              </w:rPr>
            </w:pPr>
            <w:r w:rsidRPr="00D13FED">
              <w:rPr>
                <w:rFonts w:eastAsia="Times New Roman" w:asciiTheme="minorHAnsi" w:hAnsiTheme="minorHAnsi" w:cs="Arial"/>
                <w:color w:val="auto"/>
                <w:sz w:val="24"/>
                <w:szCs w:val="24"/>
                <w:bdr w:val="none" w:sz="0" w:space="0" w:color="auto"/>
                <w:lang w:eastAsia="cs-CZ"/>
              </w:rPr>
              <w:t>V roce 203</w:t>
            </w:r>
            <w:r w:rsidRPr="00D13FED" w:rsidR="00852B75">
              <w:rPr>
                <w:rFonts w:eastAsia="Times New Roman" w:asciiTheme="minorHAnsi" w:hAnsiTheme="minorHAnsi" w:cs="Arial"/>
                <w:color w:val="auto"/>
                <w:sz w:val="24"/>
                <w:szCs w:val="24"/>
                <w:bdr w:val="none" w:sz="0" w:space="0" w:color="auto"/>
                <w:lang w:eastAsia="cs-CZ"/>
              </w:rPr>
              <w:t>5</w:t>
            </w:r>
            <w:r w:rsidRPr="00D13FED">
              <w:rPr>
                <w:rFonts w:eastAsia="Times New Roman" w:asciiTheme="minorHAnsi" w:hAnsiTheme="minorHAnsi" w:cs="Arial"/>
                <w:color w:val="auto"/>
                <w:sz w:val="24"/>
                <w:szCs w:val="24"/>
                <w:bdr w:val="none" w:sz="0" w:space="0" w:color="auto"/>
                <w:lang w:eastAsia="cs-CZ"/>
              </w:rPr>
              <w:t xml:space="preserve"> je kvalitní péče v oblasti duševního zdraví poskytována všem lidem v riziku s duševním onemocněním bez rozdílu, je dostupná jak místem, tak rozsahem služeb, založená na multidisciplinárním přístupu, koordinovaná a komplexně pokrývající všechny potřeby, efektivní a inovativní, s důrazem na rehabilitaci a brzký návrat do běžného života, a především na dodržování lidských práv. U běžné populace jsou duševní onemocnění „normalizována“, vnímána jako běžná a léčitelná. Pozornost je věnovaná prevenci a včasné intervenci, která zamezí rozvoji a posléze chronifikaci a dlouhodobým následkům duševních obtíží.</w:t>
            </w:r>
            <w:r w:rsidRPr="00D13FED">
              <w:rPr>
                <w:rFonts w:eastAsia="Times New Roman" w:cs="Arial"/>
                <w:color w:val="auto"/>
                <w:sz w:val="24"/>
                <w:lang w:eastAsia="cs-CZ"/>
              </w:rPr>
              <w:t xml:space="preserve"> </w:t>
            </w:r>
          </w:p>
        </w:tc>
      </w:tr>
      <w:tr w14:paraId="01D5E059"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56446D" w:rsidRPr="00A955AF" w:rsidP="00B56B1A" w14:paraId="2E8A80C3"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56446D" w:rsidRPr="00520F1D" w:rsidP="00B56B1A" w14:paraId="127A8891" w14:textId="18EBCEAA">
            <w:pPr>
              <w:rPr>
                <w:rFonts w:cs="Arial"/>
                <w:sz w:val="24"/>
              </w:rPr>
            </w:pPr>
            <w:r w:rsidRPr="00A955AF">
              <w:rPr>
                <w:rFonts w:cs="Arial"/>
                <w:sz w:val="24"/>
                <w:szCs w:val="22"/>
              </w:rPr>
              <w:t xml:space="preserve">Státní rozpočet, fondy EU, </w:t>
            </w:r>
            <w:r w:rsidRPr="008F2CA4" w:rsidR="008F2CA4">
              <w:rPr>
                <w:rFonts w:cs="Arial"/>
                <w:sz w:val="24"/>
                <w:szCs w:val="22"/>
              </w:rPr>
              <w:t>Fondy EHP/Norska</w:t>
            </w:r>
            <w:r w:rsidRPr="00A955AF">
              <w:rPr>
                <w:rFonts w:cs="Arial"/>
                <w:sz w:val="24"/>
                <w:szCs w:val="22"/>
              </w:rPr>
              <w:t xml:space="preserve">, </w:t>
            </w:r>
            <w:r w:rsidRPr="00A955AF">
              <w:rPr>
                <w:rFonts w:cs="Arial"/>
                <w:sz w:val="24"/>
              </w:rPr>
              <w:t xml:space="preserve">a další donoři. </w:t>
            </w:r>
          </w:p>
        </w:tc>
      </w:tr>
    </w:tbl>
    <w:p w:rsidR="00D13FED" w14:paraId="5976709A" w14:textId="77777777">
      <w:pPr>
        <w:spacing w:before="0" w:line="264" w:lineRule="auto"/>
        <w:jc w:val="left"/>
        <w:rPr>
          <w:rFonts w:ascii="Calibri" w:hAnsi="Calibri" w:eastAsiaTheme="majorEastAsia" w:cstheme="majorBidi"/>
          <w:b/>
          <w:color w:val="205493"/>
          <w:sz w:val="28"/>
          <w:szCs w:val="32"/>
          <w:highlight w:val="yellow"/>
        </w:rPr>
      </w:pPr>
      <w:r>
        <w:rPr>
          <w:highlight w:val="yellow"/>
        </w:rPr>
        <w:br w:type="page"/>
      </w:r>
    </w:p>
    <w:p w:rsidR="006B7070" w:rsidRPr="00D37617" w:rsidP="00D63B35" w14:paraId="13C2766F" w14:textId="62FBFC3C">
      <w:pPr>
        <w:pStyle w:val="NA2"/>
      </w:pPr>
      <w:bookmarkStart w:id="606" w:name="_Toc256000060"/>
      <w:r>
        <w:t xml:space="preserve">SC 2.7 </w:t>
      </w:r>
      <w:r w:rsidRPr="00D37617">
        <w:t>Specializovaná zdravotní péče</w:t>
      </w:r>
      <w:bookmarkEnd w:id="606"/>
    </w:p>
    <w:p w:rsidR="00D37617" w:rsidRPr="00D37617" w:rsidP="00D37617" w14:paraId="0A2461B1" w14:textId="4B4A68B1">
      <w:pPr>
        <w:rPr>
          <w:rFonts w:cs="Arial"/>
          <w:sz w:val="24"/>
        </w:rPr>
      </w:pPr>
      <w:r>
        <w:rPr>
          <w:rFonts w:cs="Arial"/>
          <w:sz w:val="24"/>
        </w:rPr>
        <w:t>Specifický cíl</w:t>
      </w:r>
      <w:r w:rsidRPr="00D37617">
        <w:rPr>
          <w:rFonts w:cs="Arial"/>
          <w:sz w:val="24"/>
        </w:rPr>
        <w:t xml:space="preserve"> rozpracovává vybrané oblasti specializované péče, které v rámci systému zdravotních služeb vyžadují zvláštní pozornost. Jedná se o geriatrickou péči, </w:t>
      </w:r>
      <w:r w:rsidR="005F5FC5">
        <w:rPr>
          <w:rFonts w:cs="Arial"/>
          <w:sz w:val="24"/>
        </w:rPr>
        <w:t>kardiologickou péči</w:t>
      </w:r>
      <w:r w:rsidRPr="00D37617">
        <w:rPr>
          <w:rFonts w:cs="Arial"/>
          <w:sz w:val="24"/>
        </w:rPr>
        <w:t>,</w:t>
      </w:r>
      <w:r w:rsidR="005F5FC5">
        <w:rPr>
          <w:rFonts w:cs="Arial"/>
          <w:sz w:val="24"/>
        </w:rPr>
        <w:t xml:space="preserve"> léčebně</w:t>
      </w:r>
      <w:r w:rsidRPr="00D37617">
        <w:rPr>
          <w:rFonts w:cs="Arial"/>
          <w:sz w:val="24"/>
        </w:rPr>
        <w:t xml:space="preserve"> rehabilitační péči, </w:t>
      </w:r>
      <w:r w:rsidR="005F5FC5">
        <w:rPr>
          <w:rFonts w:cs="Arial"/>
          <w:sz w:val="24"/>
        </w:rPr>
        <w:t>prevenci a léčbu obezity</w:t>
      </w:r>
      <w:r w:rsidRPr="00D37617">
        <w:rPr>
          <w:rFonts w:cs="Arial"/>
          <w:sz w:val="24"/>
        </w:rPr>
        <w:t>, onkologickou péči, pediatri</w:t>
      </w:r>
      <w:r w:rsidR="005F5FC5">
        <w:rPr>
          <w:rFonts w:cs="Arial"/>
          <w:sz w:val="24"/>
        </w:rPr>
        <w:t>ckou péči</w:t>
      </w:r>
      <w:r w:rsidRPr="00D37617">
        <w:rPr>
          <w:rFonts w:cs="Arial"/>
          <w:sz w:val="24"/>
        </w:rPr>
        <w:t xml:space="preserve"> a péči o těhotné ženy, ženy při porodu, ženy v poporodním období, novorozence a jejich rodiny. </w:t>
      </w:r>
    </w:p>
    <w:p w:rsidR="00D37617" w:rsidRPr="00D37617" w:rsidP="00D37617" w14:paraId="7ED941C2" w14:textId="0AB4B37D">
      <w:pPr>
        <w:rPr>
          <w:rFonts w:cs="Arial"/>
          <w:sz w:val="24"/>
        </w:rPr>
      </w:pPr>
      <w:r w:rsidRPr="00D37617">
        <w:rPr>
          <w:rFonts w:cs="Arial"/>
          <w:sz w:val="24"/>
        </w:rPr>
        <w:t>Cílem podpory geriatrické péče je ucelené nastavení systému vzdělávání a péče orientovaného na geriatrického pacienta a komplexní nastavení intervencí vedoucích k maximálnímu možnému zlepšení jeho zdravotního stavu, celkové kondice a soběstačnosti (funkčního stavu) při zabezpečení jeho individuálních potřeb, což v konečném důsledku povede k</w:t>
      </w:r>
      <w:r>
        <w:rPr>
          <w:rFonts w:cs="Arial"/>
          <w:sz w:val="24"/>
        </w:rPr>
        <w:t> </w:t>
      </w:r>
      <w:r w:rsidRPr="00D37617">
        <w:rPr>
          <w:rFonts w:cs="Arial"/>
          <w:sz w:val="24"/>
        </w:rPr>
        <w:t>dlouhodobému snižování nákladů na péči. Správnou diagnostikou a správně nastavenou léčbou křehkých a polymorbidních pacientů budou tito schopni trávit více času ve svém sociálním prostředí a méně času v rámci hospitalizací, což povede ke zvýšení dlouhodobé fiskální udržitelnosti a posílení celkového významu komunitní péče a péče v rámci rodiny pacienta.</w:t>
      </w:r>
    </w:p>
    <w:p w:rsidR="00D37617" w:rsidRPr="00D37617" w:rsidP="00D37617" w14:paraId="360E0820" w14:textId="7EA7639B">
      <w:pPr>
        <w:rPr>
          <w:rFonts w:cs="Arial"/>
          <w:sz w:val="24"/>
        </w:rPr>
      </w:pPr>
      <w:r w:rsidRPr="00D37617">
        <w:rPr>
          <w:rFonts w:cs="Arial"/>
          <w:sz w:val="24"/>
        </w:rPr>
        <w:t>Oblast kardiologické péče má za cíl zajistit každému obyvateli České republiky možnost prevence vzniku kardiovaskulárního onemocnění a v případě jeho rozvoje zajistit nejvyšší možnou kvalitu péče a života bez ohledu na geografickou polohu či stadium nemoci. Aktualizuje cíle v rámci prevence, diagnostiky a léčby kardiovaskulárních chorob, navazující multidisciplinární péče, sociálních služeb a paliativní péče. Klíčové je rovněž podnícení zájmu laické veřejnosti o prevenci vč. ochrany a podpory zdraví a zvyšování zdravotní gramotnosti v</w:t>
      </w:r>
      <w:r>
        <w:rPr>
          <w:rFonts w:cs="Arial"/>
          <w:sz w:val="24"/>
        </w:rPr>
        <w:t> </w:t>
      </w:r>
      <w:r w:rsidRPr="00D37617">
        <w:rPr>
          <w:rFonts w:cs="Arial"/>
          <w:sz w:val="24"/>
        </w:rPr>
        <w:t xml:space="preserve">oblasti rizikových faktorů kardiovaskulárních nemocí. </w:t>
      </w:r>
    </w:p>
    <w:p w:rsidR="00D37617" w:rsidRPr="00D37617" w:rsidP="00D37617" w14:paraId="54C0D697" w14:textId="7BDE2816">
      <w:pPr>
        <w:rPr>
          <w:rFonts w:cs="Arial"/>
          <w:sz w:val="24"/>
        </w:rPr>
      </w:pPr>
      <w:r w:rsidRPr="00D37617">
        <w:rPr>
          <w:rFonts w:cs="Arial"/>
          <w:sz w:val="24"/>
        </w:rPr>
        <w:t xml:space="preserve">Oblast </w:t>
      </w:r>
      <w:r w:rsidR="005F5FC5">
        <w:rPr>
          <w:rFonts w:cs="Arial"/>
          <w:sz w:val="24"/>
        </w:rPr>
        <w:t xml:space="preserve">léčebně </w:t>
      </w:r>
      <w:r w:rsidRPr="00D37617">
        <w:rPr>
          <w:rFonts w:cs="Arial"/>
          <w:sz w:val="24"/>
        </w:rPr>
        <w:t xml:space="preserve">rehabilitační péče má za cíl zajistit komplexní přístup zahrnující široké množství terapeutických a ošetřovatelských činností zaměřených především na zvyšování kvality života pacientů jak po akutních stavech, tak v rámci navazující rehabilitační péče. Nezbytná je také multidisciplinární spolupráce orientovaná na dostatečnou koordinaci léčebného procesu, prevenci případných komplikací, edukaci pacienta a zajištění maximální možné kvality jeho života.  </w:t>
      </w:r>
    </w:p>
    <w:p w:rsidR="00D37617" w:rsidRPr="00D37617" w:rsidP="00D37617" w14:paraId="50028586" w14:textId="61FCDAA0">
      <w:pPr>
        <w:rPr>
          <w:rFonts w:cs="Arial"/>
          <w:sz w:val="24"/>
        </w:rPr>
      </w:pPr>
      <w:r w:rsidRPr="00D37617">
        <w:rPr>
          <w:rFonts w:cs="Arial"/>
          <w:sz w:val="24"/>
        </w:rPr>
        <w:t>Cílem prevence a léčby obezity je změnit náhled odborné i laické veřejnosti na obezitu jako na chronické, většinou progredující onemocnění, vyžadující včasnou diagnostiku a komplexní dlouhodobou péči. Obezita a zdravotně závažná nadváha je jednou z nejrozšířenějších civilizačních nemocí a již třetí desetiletí se celosvětově řadí mezi pět nejzávažnějších zdravotních problémů lidstva. Vzhledem ke své prevalenci se řadí k nejzávažnějším rizikovým faktorům kardiovaskulárních onemocnění, diabetu 2. typu a je významným rizikem nádorových onemocnění a dalších běžných chorob. Součástí této změny je zapotřebí uznání potřeby preventivního přístupu k ohroženým populacím včasného záchytu a komplexní léčby již nemocných osob.</w:t>
      </w:r>
    </w:p>
    <w:p w:rsidR="00D37617" w:rsidRPr="00D37617" w:rsidP="00D37617" w14:paraId="0BC9406C" w14:textId="77777777">
      <w:pPr>
        <w:rPr>
          <w:rFonts w:cs="Arial"/>
          <w:sz w:val="24"/>
        </w:rPr>
      </w:pPr>
      <w:r w:rsidRPr="00D37617">
        <w:rPr>
          <w:rFonts w:cs="Arial"/>
          <w:sz w:val="24"/>
        </w:rPr>
        <w:t xml:space="preserve">Realizace onkologické péče v ČR je v souladu se strategií Evropského plánu boje proti rakovině (Europe’s Beating Cancer Plan), který vznikl v roce 2021 a definuje cíl do roku 2030, aby mělo 90 % potřebných pacientů přístup do vysoce specializovaných center onkologické péče. </w:t>
      </w:r>
    </w:p>
    <w:p w:rsidR="00D37617" w:rsidRPr="00D37617" w:rsidP="00D37617" w14:paraId="534493FD" w14:textId="525BC9EF">
      <w:pPr>
        <w:rPr>
          <w:rFonts w:cs="Arial"/>
          <w:sz w:val="24"/>
        </w:rPr>
      </w:pPr>
      <w:r w:rsidRPr="00D37617">
        <w:rPr>
          <w:rFonts w:cs="Arial"/>
          <w:sz w:val="24"/>
        </w:rPr>
        <w:t xml:space="preserve">Implementace probíhá rovněž prostřednictvím </w:t>
      </w:r>
      <w:r w:rsidR="006B2DD3">
        <w:rPr>
          <w:rFonts w:cs="Arial"/>
          <w:sz w:val="24"/>
        </w:rPr>
        <w:t>Ná</w:t>
      </w:r>
      <w:r w:rsidRPr="00D37617">
        <w:rPr>
          <w:rFonts w:cs="Arial"/>
          <w:sz w:val="24"/>
        </w:rPr>
        <w:t>rodního onkologického plánu</w:t>
      </w:r>
      <w:r w:rsidR="006B2DD3">
        <w:rPr>
          <w:rFonts w:cs="Arial"/>
          <w:sz w:val="24"/>
        </w:rPr>
        <w:t xml:space="preserve"> České republiky 2030</w:t>
      </w:r>
      <w:r w:rsidRPr="00D37617">
        <w:rPr>
          <w:rFonts w:cs="Arial"/>
          <w:sz w:val="24"/>
        </w:rPr>
        <w:t xml:space="preserve"> (dále jen „NOPL</w:t>
      </w:r>
      <w:r w:rsidR="006B2DD3">
        <w:rPr>
          <w:rFonts w:cs="Arial"/>
          <w:sz w:val="24"/>
        </w:rPr>
        <w:t xml:space="preserve"> ČR 2030</w:t>
      </w:r>
      <w:r w:rsidRPr="00D37617">
        <w:rPr>
          <w:rFonts w:cs="Arial"/>
          <w:sz w:val="24"/>
        </w:rPr>
        <w:t xml:space="preserve">“), který vychází z Evropského plánu boje proti rakovině. Mezi hlavní cíle patří prevence, včasný záchyt nádorů a soustředění léčby do specializovaných center. </w:t>
      </w:r>
    </w:p>
    <w:p w:rsidR="00D37617" w:rsidRPr="00D37617" w:rsidP="00D37617" w14:paraId="32D9C5B5" w14:textId="32FB93C8">
      <w:pPr>
        <w:rPr>
          <w:rFonts w:cs="Arial"/>
          <w:sz w:val="24"/>
        </w:rPr>
      </w:pPr>
      <w:r w:rsidRPr="00D37617">
        <w:rPr>
          <w:rFonts w:cs="Arial"/>
          <w:sz w:val="24"/>
        </w:rPr>
        <w:t xml:space="preserve">Pediatrie se zabývá péčí o zdraví novorozenců, kojenců, dětí a mladistvých (dále také „děti“). Cílem podpory pediatrické péče je nastavení dlouhodobého směřování v oblasti poskytování </w:t>
      </w:r>
      <w:r w:rsidRPr="00D37617">
        <w:rPr>
          <w:rFonts w:cs="Arial"/>
          <w:sz w:val="24"/>
        </w:rPr>
        <w:t xml:space="preserve">zdravotních služeb dětem všech věkových kategorií. Zaměřuje se na multidisciplinární přístup a komplexnost poskytovaných zdravotních služeb dětem cílených z velké části na prevenci, optimální fyzický a duševní vývoj. Zároveň však s rozvojem diagnostických a léčebných metod je nutné zaměřit komplexní přístup také na chronicky nemocné děti a jejich rodiny. </w:t>
      </w:r>
    </w:p>
    <w:p w:rsidR="00D37617" w:rsidRPr="00D37617" w:rsidP="00D37617" w14:paraId="22DBE7A3" w14:textId="39132FA7">
      <w:pPr>
        <w:rPr>
          <w:rFonts w:cs="Arial"/>
          <w:sz w:val="24"/>
        </w:rPr>
      </w:pPr>
      <w:r w:rsidRPr="00D37617">
        <w:rPr>
          <w:rFonts w:cs="Arial"/>
          <w:sz w:val="24"/>
        </w:rPr>
        <w:t>V oblasti péče těhotné ženy, ženy při porodu, ženy v poporodním období, novorozence a jejich rodiny je snahou MZD nastínit smysluplný program rozvoje péče o tuto cílovou skupinu v</w:t>
      </w:r>
      <w:r>
        <w:rPr>
          <w:rFonts w:cs="Arial"/>
          <w:sz w:val="24"/>
        </w:rPr>
        <w:t> </w:t>
      </w:r>
      <w:r w:rsidRPr="00D37617">
        <w:rPr>
          <w:rFonts w:cs="Arial"/>
          <w:sz w:val="24"/>
        </w:rPr>
        <w:t>následujících letech, a prostřednictvím jednotlivých strategických a specifických cílů navrhnout postupy k poskytování efektivní péče o matku a dítě a posílení postavení všech aktérů, kteří tuto péči poskytují.</w:t>
      </w:r>
    </w:p>
    <w:p w:rsidR="00D37617" w:rsidP="00D37617" w14:paraId="20E8C4A9" w14:textId="77777777">
      <w:pPr>
        <w:rPr>
          <w:rFonts w:cs="Arial"/>
          <w:sz w:val="24"/>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206AFF8A"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D37617" w:rsidRPr="00A955AF" w:rsidP="00B56B1A" w14:paraId="21BF983F"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FFFFCC"/>
            <w:vAlign w:val="center"/>
            <w:hideMark/>
          </w:tcPr>
          <w:p w:rsidR="00D37617" w:rsidRPr="00A955AF" w:rsidP="00B56B1A" w14:paraId="4E406009" w14:textId="614BA4A0">
            <w:pPr>
              <w:spacing w:line="276" w:lineRule="auto"/>
              <w:rPr>
                <w:rFonts w:eastAsiaTheme="minorHAnsi" w:cs="Arial"/>
                <w:b/>
                <w:color w:val="205493"/>
                <w:sz w:val="24"/>
              </w:rPr>
            </w:pPr>
            <w:r>
              <w:rPr>
                <w:rFonts w:cs="Arial"/>
                <w:b/>
                <w:color w:val="205493"/>
                <w:sz w:val="24"/>
              </w:rPr>
              <w:t>2.7 Specializovaná zdravotní péče</w:t>
            </w:r>
          </w:p>
        </w:tc>
        <w:tc>
          <w:tcPr>
            <w:tcW w:w="929" w:type="dxa"/>
            <w:tcBorders>
              <w:top w:val="single" w:sz="4" w:space="0" w:color="auto"/>
              <w:left w:val="nil"/>
              <w:bottom w:val="single" w:sz="4" w:space="0" w:color="auto"/>
              <w:right w:val="single" w:sz="4" w:space="0" w:color="auto"/>
            </w:tcBorders>
            <w:shd w:val="clear" w:color="auto" w:fill="FFFFCC"/>
            <w:vAlign w:val="center"/>
          </w:tcPr>
          <w:p w:rsidR="00D37617" w:rsidRPr="00A955AF" w:rsidP="00B56B1A" w14:paraId="16B1071F" w14:textId="77777777">
            <w:pPr>
              <w:spacing w:line="276" w:lineRule="auto"/>
              <w:jc w:val="right"/>
              <w:rPr>
                <w:rFonts w:eastAsiaTheme="minorHAnsi" w:cs="Arial"/>
                <w:b/>
                <w:color w:val="205493"/>
                <w:sz w:val="24"/>
              </w:rPr>
            </w:pPr>
          </w:p>
        </w:tc>
      </w:tr>
      <w:tr w14:paraId="090CDD76" w14:textId="77777777" w:rsidTr="00B56B1A">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43DA0B5A" w14:textId="77777777">
            <w:pPr>
              <w:spacing w:line="276" w:lineRule="auto"/>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D37617" w:rsidRPr="00D37617" w:rsidP="00D13FED" w14:paraId="4C58D9D5" w14:textId="6B347DF5">
            <w:pPr>
              <w:spacing w:line="276" w:lineRule="auto"/>
              <w:ind w:left="743" w:hanging="709"/>
              <w:rPr>
                <w:rFonts w:eastAsiaTheme="minorHAnsi" w:cs="Arial"/>
                <w:sz w:val="24"/>
              </w:rPr>
            </w:pPr>
            <w:r w:rsidRPr="00D37617">
              <w:rPr>
                <w:rFonts w:eastAsiaTheme="minorHAnsi" w:cs="Arial"/>
                <w:sz w:val="24"/>
              </w:rPr>
              <w:t>2.7.1</w:t>
            </w:r>
            <w:r w:rsidRPr="00D37617">
              <w:rPr>
                <w:rFonts w:eastAsiaTheme="minorHAnsi" w:cs="Arial"/>
                <w:sz w:val="24"/>
              </w:rPr>
              <w:tab/>
              <w:t xml:space="preserve">Podpora geriatrické péče </w:t>
            </w:r>
          </w:p>
          <w:p w:rsidR="00D37617" w:rsidRPr="00D37617" w:rsidP="00D13FED" w14:paraId="0F4396E4" w14:textId="57D108FA">
            <w:pPr>
              <w:spacing w:line="276" w:lineRule="auto"/>
              <w:ind w:left="743" w:hanging="709"/>
              <w:rPr>
                <w:rFonts w:eastAsiaTheme="minorHAnsi" w:cs="Arial"/>
                <w:sz w:val="24"/>
              </w:rPr>
            </w:pPr>
            <w:r w:rsidRPr="00D37617">
              <w:rPr>
                <w:rFonts w:eastAsiaTheme="minorHAnsi" w:cs="Arial"/>
                <w:sz w:val="24"/>
              </w:rPr>
              <w:t>2.7.2</w:t>
            </w:r>
            <w:r w:rsidRPr="00D37617">
              <w:rPr>
                <w:rFonts w:eastAsiaTheme="minorHAnsi" w:cs="Arial"/>
                <w:sz w:val="24"/>
              </w:rPr>
              <w:tab/>
              <w:t>Prevence kardiovaskulárních onemocnění a rozvoj kardiologické péče</w:t>
            </w:r>
          </w:p>
          <w:p w:rsidR="00D37617" w:rsidRPr="00D37617" w:rsidP="00D13FED" w14:paraId="3DD8F760" w14:textId="60919CC5">
            <w:pPr>
              <w:spacing w:line="276" w:lineRule="auto"/>
              <w:ind w:left="743" w:hanging="709"/>
              <w:rPr>
                <w:rFonts w:eastAsiaTheme="minorHAnsi" w:cs="Arial"/>
                <w:sz w:val="24"/>
              </w:rPr>
            </w:pPr>
            <w:r w:rsidRPr="00D37617">
              <w:rPr>
                <w:rFonts w:eastAsiaTheme="minorHAnsi" w:cs="Arial"/>
                <w:sz w:val="24"/>
              </w:rPr>
              <w:t>2.7.3</w:t>
            </w:r>
            <w:r w:rsidRPr="00D37617">
              <w:rPr>
                <w:rFonts w:eastAsiaTheme="minorHAnsi" w:cs="Arial"/>
                <w:sz w:val="24"/>
              </w:rPr>
              <w:tab/>
              <w:t xml:space="preserve"> Zvýšení dostupnosti a kvality </w:t>
            </w:r>
            <w:r w:rsidR="005F5FC5">
              <w:rPr>
                <w:rFonts w:eastAsiaTheme="minorHAnsi" w:cs="Arial"/>
                <w:sz w:val="24"/>
              </w:rPr>
              <w:t xml:space="preserve">léčebně </w:t>
            </w:r>
            <w:r w:rsidRPr="00D37617">
              <w:rPr>
                <w:rFonts w:eastAsiaTheme="minorHAnsi" w:cs="Arial"/>
                <w:sz w:val="24"/>
              </w:rPr>
              <w:t>rehabilitační péče</w:t>
            </w:r>
          </w:p>
          <w:p w:rsidR="00D37617" w:rsidRPr="00D37617" w:rsidP="00D13FED" w14:paraId="06C0CC9D" w14:textId="35179D41">
            <w:pPr>
              <w:spacing w:line="276" w:lineRule="auto"/>
              <w:ind w:left="743" w:hanging="709"/>
              <w:rPr>
                <w:rFonts w:eastAsiaTheme="minorHAnsi" w:cs="Arial"/>
                <w:sz w:val="24"/>
              </w:rPr>
            </w:pPr>
            <w:r w:rsidRPr="00D37617">
              <w:rPr>
                <w:rFonts w:eastAsiaTheme="minorHAnsi" w:cs="Arial"/>
                <w:sz w:val="24"/>
              </w:rPr>
              <w:t>2.7.4</w:t>
            </w:r>
            <w:r w:rsidRPr="00D37617">
              <w:rPr>
                <w:rFonts w:eastAsiaTheme="minorHAnsi" w:cs="Arial"/>
                <w:sz w:val="24"/>
              </w:rPr>
              <w:tab/>
              <w:t>Prevence a léčba obezity</w:t>
            </w:r>
          </w:p>
          <w:p w:rsidR="00D37617" w:rsidRPr="00D37617" w:rsidP="00D13FED" w14:paraId="2D666DD8" w14:textId="65F88FAB">
            <w:pPr>
              <w:spacing w:line="276" w:lineRule="auto"/>
              <w:ind w:left="743" w:hanging="709"/>
              <w:rPr>
                <w:rFonts w:eastAsiaTheme="minorHAnsi" w:cs="Arial"/>
                <w:sz w:val="24"/>
              </w:rPr>
            </w:pPr>
            <w:r w:rsidRPr="00D37617">
              <w:rPr>
                <w:rFonts w:eastAsiaTheme="minorHAnsi" w:cs="Arial"/>
                <w:sz w:val="24"/>
              </w:rPr>
              <w:t>2.7.5</w:t>
            </w:r>
            <w:r w:rsidRPr="00D37617">
              <w:rPr>
                <w:rFonts w:eastAsiaTheme="minorHAnsi" w:cs="Arial"/>
                <w:sz w:val="24"/>
              </w:rPr>
              <w:tab/>
              <w:t xml:space="preserve">Podpora onkologické péče </w:t>
            </w:r>
          </w:p>
          <w:p w:rsidR="00D37617" w:rsidRPr="00D37617" w:rsidP="00D13FED" w14:paraId="462B0759" w14:textId="0BAC70C9">
            <w:pPr>
              <w:spacing w:line="276" w:lineRule="auto"/>
              <w:ind w:left="743" w:hanging="709"/>
              <w:rPr>
                <w:rFonts w:eastAsiaTheme="minorHAnsi" w:cs="Arial"/>
                <w:sz w:val="24"/>
              </w:rPr>
            </w:pPr>
            <w:r w:rsidRPr="00D37617">
              <w:rPr>
                <w:rFonts w:eastAsiaTheme="minorHAnsi" w:cs="Arial"/>
                <w:sz w:val="24"/>
              </w:rPr>
              <w:t>2.7.6</w:t>
            </w:r>
            <w:r w:rsidRPr="00D37617">
              <w:rPr>
                <w:rFonts w:eastAsiaTheme="minorHAnsi" w:cs="Arial"/>
                <w:sz w:val="24"/>
              </w:rPr>
              <w:tab/>
              <w:t>Rozvoj pediatrické péče</w:t>
            </w:r>
          </w:p>
          <w:p w:rsidR="00D37617" w:rsidRPr="00A955AF" w:rsidP="00D13FED" w14:paraId="78810795" w14:textId="0BEB8FFF">
            <w:pPr>
              <w:spacing w:line="276" w:lineRule="auto"/>
              <w:ind w:left="743" w:hanging="709"/>
              <w:rPr>
                <w:rFonts w:eastAsiaTheme="minorHAnsi" w:cs="Arial"/>
                <w:sz w:val="24"/>
              </w:rPr>
            </w:pPr>
            <w:r w:rsidRPr="00D37617">
              <w:rPr>
                <w:rFonts w:eastAsiaTheme="minorHAnsi" w:cs="Arial"/>
                <w:sz w:val="24"/>
              </w:rPr>
              <w:t>2.7.7</w:t>
            </w:r>
            <w:r w:rsidRPr="00D37617">
              <w:rPr>
                <w:rFonts w:eastAsiaTheme="minorHAnsi" w:cs="Arial"/>
                <w:sz w:val="24"/>
              </w:rPr>
              <w:tab/>
              <w:t>Podpora multidisciplinárního přístupu v péči o těhotné ženy, ženy při porodu, ženy v poporodním období, novorozence a</w:t>
            </w:r>
            <w:r w:rsidR="00D13FED">
              <w:rPr>
                <w:rFonts w:eastAsiaTheme="minorHAnsi" w:cs="Arial"/>
                <w:sz w:val="24"/>
              </w:rPr>
              <w:t> </w:t>
            </w:r>
            <w:r w:rsidRPr="00D37617">
              <w:rPr>
                <w:rFonts w:eastAsiaTheme="minorHAnsi" w:cs="Arial"/>
                <w:sz w:val="24"/>
              </w:rPr>
              <w:t>jejich rodiny</w:t>
            </w:r>
          </w:p>
        </w:tc>
      </w:tr>
      <w:tr w14:paraId="1228B189"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4D98B4EF" w14:textId="77777777">
            <w:pPr>
              <w:spacing w:line="276" w:lineRule="auto"/>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RPr="00D37617" w:rsidP="00D13FED" w14:paraId="7E3D7D7A" w14:textId="7BBADD96">
            <w:pPr>
              <w:pStyle w:val="ListParagraph"/>
              <w:numPr>
                <w:ilvl w:val="0"/>
                <w:numId w:val="36"/>
              </w:numPr>
              <w:rPr>
                <w:rFonts w:eastAsiaTheme="minorHAnsi" w:cs="Arial"/>
                <w:bCs w:val="0"/>
                <w:color w:val="000000"/>
                <w:sz w:val="24"/>
                <w:szCs w:val="24"/>
                <w:lang w:eastAsia="cs-CZ"/>
              </w:rPr>
            </w:pPr>
            <w:r w:rsidRPr="00D37617">
              <w:rPr>
                <w:rFonts w:cs="Arial"/>
                <w:color w:val="000000"/>
              </w:rPr>
              <w:t xml:space="preserve">Tvorba </w:t>
            </w:r>
            <w:r w:rsidRPr="00D37617">
              <w:rPr>
                <w:rFonts w:eastAsiaTheme="minorHAnsi" w:cs="Arial"/>
                <w:bCs w:val="0"/>
                <w:color w:val="000000"/>
                <w:sz w:val="24"/>
                <w:szCs w:val="24"/>
                <w:lang w:eastAsia="cs-CZ"/>
              </w:rPr>
              <w:t>Národního plánu rozvoje geriatrické péče</w:t>
            </w:r>
          </w:p>
          <w:p w:rsidR="00D37617" w:rsidRPr="00D37617" w:rsidP="00D13FED" w14:paraId="29C5D25F" w14:textId="5E6900CC">
            <w:pPr>
              <w:pStyle w:val="ListParagraph"/>
              <w:numPr>
                <w:ilvl w:val="0"/>
                <w:numId w:val="36"/>
              </w:numPr>
              <w:rPr>
                <w:rFonts w:eastAsiaTheme="minorHAnsi" w:cs="Arial"/>
                <w:bCs w:val="0"/>
                <w:color w:val="000000"/>
                <w:sz w:val="24"/>
                <w:szCs w:val="24"/>
                <w:lang w:eastAsia="cs-CZ"/>
              </w:rPr>
            </w:pPr>
            <w:r>
              <w:rPr>
                <w:rFonts w:eastAsiaTheme="minorHAnsi" w:cs="Arial"/>
                <w:bCs w:val="0"/>
                <w:color w:val="000000"/>
                <w:sz w:val="24"/>
                <w:szCs w:val="24"/>
                <w:lang w:eastAsia="cs-CZ"/>
              </w:rPr>
              <w:t>V</w:t>
            </w:r>
            <w:r w:rsidRPr="00D37617">
              <w:rPr>
                <w:rFonts w:eastAsiaTheme="minorHAnsi" w:cs="Arial"/>
                <w:bCs w:val="0"/>
                <w:color w:val="000000"/>
                <w:sz w:val="24"/>
                <w:szCs w:val="24"/>
                <w:lang w:eastAsia="cs-CZ"/>
              </w:rPr>
              <w:t>znik modelů pro spolupráci s praktickými lékaři a</w:t>
            </w:r>
            <w:r w:rsidR="00D13FED">
              <w:rPr>
                <w:rFonts w:eastAsiaTheme="minorHAnsi" w:cs="Arial"/>
                <w:bCs w:val="0"/>
                <w:color w:val="000000"/>
                <w:sz w:val="24"/>
                <w:szCs w:val="24"/>
                <w:lang w:eastAsia="cs-CZ"/>
              </w:rPr>
              <w:t> </w:t>
            </w:r>
            <w:r w:rsidRPr="00D37617">
              <w:rPr>
                <w:rFonts w:eastAsiaTheme="minorHAnsi" w:cs="Arial"/>
                <w:bCs w:val="0"/>
                <w:color w:val="000000"/>
                <w:sz w:val="24"/>
                <w:szCs w:val="24"/>
                <w:lang w:eastAsia="cs-CZ"/>
              </w:rPr>
              <w:t>dalšími lékařskými odbornostmi</w:t>
            </w:r>
            <w:r>
              <w:rPr>
                <w:rFonts w:eastAsiaTheme="minorHAnsi" w:cs="Arial"/>
                <w:bCs w:val="0"/>
                <w:color w:val="000000"/>
                <w:sz w:val="24"/>
                <w:szCs w:val="24"/>
                <w:lang w:eastAsia="cs-CZ"/>
              </w:rPr>
              <w:t xml:space="preserve"> (v oblasti geriatrické péče)</w:t>
            </w:r>
          </w:p>
          <w:p w:rsidR="00D37617" w:rsidP="00D13FED" w14:paraId="3DB1C995" w14:textId="65633E12">
            <w:pPr>
              <w:pStyle w:val="NormalWeb"/>
              <w:numPr>
                <w:ilvl w:val="0"/>
                <w:numId w:val="36"/>
              </w:numPr>
              <w:spacing w:before="100" w:beforeAutospacing="1" w:after="100" w:afterAutospacing="1"/>
              <w:jc w:val="both"/>
              <w:rPr>
                <w:rFonts w:asciiTheme="minorHAnsi" w:hAnsiTheme="minorHAnsi" w:cs="Arial"/>
                <w:color w:val="000000"/>
              </w:rPr>
            </w:pPr>
            <w:r w:rsidRPr="00D37617">
              <w:rPr>
                <w:rFonts w:asciiTheme="minorHAnsi" w:hAnsiTheme="minorHAnsi" w:cs="Arial"/>
                <w:color w:val="000000"/>
              </w:rPr>
              <w:t>Monitoring rehospitalizací pacientů a pacientů využívajících domácí zdravotní péči, podpora dostupnosti domácí zdravotní péče pro pacienty s</w:t>
            </w:r>
            <w:r w:rsidR="00D13FED">
              <w:rPr>
                <w:rFonts w:asciiTheme="minorHAnsi" w:hAnsiTheme="minorHAnsi" w:cs="Arial"/>
                <w:color w:val="000000"/>
              </w:rPr>
              <w:t> </w:t>
            </w:r>
            <w:r w:rsidRPr="00D37617">
              <w:rPr>
                <w:rFonts w:asciiTheme="minorHAnsi" w:hAnsiTheme="minorHAnsi" w:cs="Arial"/>
                <w:color w:val="000000"/>
              </w:rPr>
              <w:t>kardiovaskulárním onemocněním</w:t>
            </w:r>
          </w:p>
          <w:p w:rsidR="00D37617" w:rsidP="00D13FED" w14:paraId="01AD3CD8" w14:textId="3D26CC0F">
            <w:pPr>
              <w:pStyle w:val="NormalWeb"/>
              <w:numPr>
                <w:ilvl w:val="0"/>
                <w:numId w:val="36"/>
              </w:numPr>
              <w:spacing w:before="100" w:beforeAutospacing="1" w:after="100" w:afterAutospacing="1"/>
              <w:jc w:val="both"/>
              <w:rPr>
                <w:rFonts w:asciiTheme="minorHAnsi" w:hAnsiTheme="minorHAnsi" w:cs="Arial"/>
                <w:color w:val="000000"/>
              </w:rPr>
            </w:pPr>
            <w:r>
              <w:rPr>
                <w:rFonts w:asciiTheme="minorHAnsi" w:hAnsiTheme="minorHAnsi" w:cs="Arial"/>
                <w:color w:val="000000"/>
              </w:rPr>
              <w:t>N</w:t>
            </w:r>
            <w:r w:rsidRPr="00D37617">
              <w:rPr>
                <w:rFonts w:asciiTheme="minorHAnsi" w:hAnsiTheme="minorHAnsi" w:cs="Arial"/>
                <w:color w:val="000000"/>
              </w:rPr>
              <w:t>astavení provázanosti péče (např. systém sdílení laboratorních a klinických dat,</w:t>
            </w:r>
            <w:r w:rsidR="008F47FA">
              <w:rPr>
                <w:rFonts w:asciiTheme="minorHAnsi" w:hAnsiTheme="minorHAnsi" w:cs="Arial"/>
                <w:color w:val="000000"/>
              </w:rPr>
              <w:t xml:space="preserve"> </w:t>
            </w:r>
            <w:r w:rsidRPr="008F47FA">
              <w:rPr>
                <w:rFonts w:asciiTheme="minorHAnsi" w:hAnsiTheme="minorHAnsi" w:cs="Arial"/>
                <w:color w:val="000000"/>
              </w:rPr>
              <w:t>úprava preskripce pro VPL)</w:t>
            </w:r>
          </w:p>
          <w:p w:rsidR="008F47FA" w:rsidP="00D13FED" w14:paraId="0B367438" w14:textId="1DA1E3B3">
            <w:pPr>
              <w:pStyle w:val="NormalWeb"/>
              <w:numPr>
                <w:ilvl w:val="0"/>
                <w:numId w:val="36"/>
              </w:numPr>
              <w:spacing w:before="100" w:beforeAutospacing="1" w:after="100" w:afterAutospacing="1"/>
              <w:jc w:val="both"/>
              <w:rPr>
                <w:rFonts w:asciiTheme="minorHAnsi" w:hAnsiTheme="minorHAnsi" w:cs="Arial"/>
                <w:color w:val="000000"/>
              </w:rPr>
            </w:pPr>
            <w:r>
              <w:rPr>
                <w:rFonts w:asciiTheme="minorHAnsi" w:hAnsiTheme="minorHAnsi" w:cs="Arial"/>
                <w:color w:val="000000"/>
              </w:rPr>
              <w:t>Rozvoj</w:t>
            </w:r>
            <w:r w:rsidRPr="008F47FA">
              <w:rPr>
                <w:rFonts w:asciiTheme="minorHAnsi" w:hAnsiTheme="minorHAnsi" w:cs="Arial"/>
                <w:color w:val="000000"/>
              </w:rPr>
              <w:t xml:space="preserve"> infrastruktury a vybavení poskytovatelů rehabilitační péče</w:t>
            </w:r>
          </w:p>
          <w:p w:rsidR="008F47FA" w:rsidP="00D13FED" w14:paraId="0105B682" w14:textId="573848A0">
            <w:pPr>
              <w:pStyle w:val="NormalWeb"/>
              <w:numPr>
                <w:ilvl w:val="0"/>
                <w:numId w:val="36"/>
              </w:numPr>
              <w:spacing w:before="100" w:beforeAutospacing="1" w:after="100" w:afterAutospacing="1"/>
              <w:jc w:val="both"/>
              <w:rPr>
                <w:rFonts w:asciiTheme="minorHAnsi" w:hAnsiTheme="minorHAnsi" w:cs="Arial"/>
                <w:color w:val="000000"/>
              </w:rPr>
            </w:pPr>
            <w:r w:rsidRPr="008F47FA">
              <w:rPr>
                <w:rFonts w:asciiTheme="minorHAnsi" w:hAnsiTheme="minorHAnsi" w:cs="Arial"/>
                <w:color w:val="000000"/>
              </w:rPr>
              <w:t>Zpracování Národního plánu prevence a léčby obezity ČR (NPPLO ČR), který bude po přijetí a schválení vládou ČR představovat samostatnou strategii pro oblast obezity.</w:t>
            </w:r>
          </w:p>
          <w:p w:rsidR="008F47FA" w:rsidP="00D13FED" w14:paraId="3076564F" w14:textId="6470FDD0">
            <w:pPr>
              <w:pStyle w:val="NormalWeb"/>
              <w:numPr>
                <w:ilvl w:val="0"/>
                <w:numId w:val="36"/>
              </w:numPr>
              <w:spacing w:before="100" w:beforeAutospacing="1" w:after="100" w:afterAutospacing="1"/>
              <w:jc w:val="both"/>
              <w:rPr>
                <w:rFonts w:asciiTheme="minorHAnsi" w:hAnsiTheme="minorHAnsi" w:cs="Arial"/>
                <w:color w:val="000000"/>
              </w:rPr>
            </w:pPr>
            <w:r w:rsidRPr="008F47FA">
              <w:rPr>
                <w:rFonts w:asciiTheme="minorHAnsi" w:hAnsiTheme="minorHAnsi" w:cs="Arial"/>
                <w:color w:val="000000"/>
              </w:rPr>
              <w:t>Posilování všech fází prevence a předcházení vzniku onkologického onemocnění</w:t>
            </w:r>
          </w:p>
          <w:p w:rsidR="008F47FA" w:rsidP="00D13FED" w14:paraId="1AACF25D" w14:textId="61110B3C">
            <w:pPr>
              <w:pStyle w:val="NormalWeb"/>
              <w:numPr>
                <w:ilvl w:val="0"/>
                <w:numId w:val="36"/>
              </w:numPr>
              <w:spacing w:before="100" w:beforeAutospacing="1" w:after="100" w:afterAutospacing="1"/>
              <w:jc w:val="both"/>
              <w:rPr>
                <w:rFonts w:asciiTheme="minorHAnsi" w:hAnsiTheme="minorHAnsi" w:cs="Arial"/>
                <w:color w:val="000000"/>
              </w:rPr>
            </w:pPr>
            <w:r w:rsidRPr="008F47FA">
              <w:rPr>
                <w:rFonts w:asciiTheme="minorHAnsi" w:hAnsiTheme="minorHAnsi" w:cs="Arial"/>
                <w:color w:val="000000"/>
              </w:rPr>
              <w:t>Vznik a podpora rozvoje multidisciplinárních přístupů v</w:t>
            </w:r>
            <w:r w:rsidR="00D13FED">
              <w:rPr>
                <w:rFonts w:asciiTheme="minorHAnsi" w:hAnsiTheme="minorHAnsi" w:cs="Arial"/>
                <w:color w:val="000000"/>
              </w:rPr>
              <w:t> </w:t>
            </w:r>
            <w:r w:rsidRPr="008F47FA">
              <w:rPr>
                <w:rFonts w:asciiTheme="minorHAnsi" w:hAnsiTheme="minorHAnsi" w:cs="Arial"/>
                <w:color w:val="000000"/>
              </w:rPr>
              <w:t>péči o děti</w:t>
            </w:r>
          </w:p>
          <w:p w:rsidR="008F47FA" w:rsidRPr="008F47FA" w:rsidP="00D13FED" w14:paraId="1B87D044" w14:textId="2CA0A315">
            <w:pPr>
              <w:pStyle w:val="NormalWeb"/>
              <w:numPr>
                <w:ilvl w:val="0"/>
                <w:numId w:val="36"/>
              </w:numPr>
              <w:spacing w:before="100" w:beforeAutospacing="1" w:after="100" w:afterAutospacing="1"/>
              <w:jc w:val="both"/>
              <w:rPr>
                <w:rFonts w:asciiTheme="minorHAnsi" w:hAnsiTheme="minorHAnsi" w:cs="Arial"/>
                <w:color w:val="000000"/>
              </w:rPr>
            </w:pPr>
            <w:r w:rsidRPr="008F47FA">
              <w:rPr>
                <w:rFonts w:asciiTheme="minorHAnsi" w:hAnsiTheme="minorHAnsi" w:cs="Arial"/>
                <w:color w:val="000000"/>
              </w:rPr>
              <w:t>Podpora rozvoje vzniku center porodní asistence</w:t>
            </w:r>
          </w:p>
          <w:p w:rsidR="00D37617" w:rsidRPr="00A955AF" w:rsidP="00D13FED" w14:paraId="172C1B86" w14:textId="45BEA44C">
            <w:pPr>
              <w:pStyle w:val="NormalWeb"/>
              <w:numPr>
                <w:ilvl w:val="0"/>
                <w:numId w:val="36"/>
              </w:numPr>
              <w:spacing w:before="100" w:beforeAutospacing="1" w:after="100" w:afterAutospacing="1"/>
              <w:jc w:val="both"/>
              <w:rPr>
                <w:rFonts w:asciiTheme="minorHAnsi" w:hAnsiTheme="minorHAnsi" w:cs="Arial"/>
                <w:color w:val="000000"/>
              </w:rPr>
            </w:pPr>
            <w:r w:rsidRPr="00A955AF">
              <w:rPr>
                <w:rFonts w:asciiTheme="minorHAnsi" w:hAnsiTheme="minorHAnsi" w:cs="Arial"/>
                <w:color w:val="000000"/>
              </w:rPr>
              <w:t xml:space="preserve">Pilotní projekty </w:t>
            </w:r>
          </w:p>
        </w:tc>
      </w:tr>
      <w:tr w14:paraId="65F5B6C1"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3E2F7DAE" w14:textId="77777777">
            <w:pPr>
              <w:spacing w:line="276" w:lineRule="auto"/>
              <w:rPr>
                <w:rFonts w:eastAsiaTheme="minorHAnsi" w:cs="Arial"/>
                <w:b/>
                <w:sz w:val="24"/>
              </w:rPr>
            </w:pPr>
            <w:r w:rsidRPr="00A955AF">
              <w:rPr>
                <w:rFonts w:cs="Arial"/>
                <w:b/>
                <w:sz w:val="24"/>
              </w:rPr>
              <w:t>Doba trvání implementace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3EF55CCB" w14:textId="1FB0CC2D">
            <w:pPr>
              <w:spacing w:line="276" w:lineRule="auto"/>
              <w:rPr>
                <w:rFonts w:eastAsiaTheme="minorHAnsi" w:cs="Arial"/>
                <w:sz w:val="24"/>
              </w:rPr>
            </w:pPr>
            <w:r w:rsidRPr="00A955AF">
              <w:rPr>
                <w:rFonts w:cs="Arial"/>
                <w:sz w:val="24"/>
              </w:rPr>
              <w:t>202</w:t>
            </w:r>
            <w:r w:rsidR="007E3FBE">
              <w:rPr>
                <w:rFonts w:cs="Arial"/>
                <w:sz w:val="24"/>
              </w:rPr>
              <w:t>5</w:t>
            </w:r>
            <w:r>
              <w:rPr>
                <w:rFonts w:cs="Arial"/>
                <w:sz w:val="24"/>
              </w:rPr>
              <w:t>–</w:t>
            </w:r>
            <w:r w:rsidRPr="00A955AF">
              <w:rPr>
                <w:rFonts w:cs="Arial"/>
                <w:sz w:val="24"/>
              </w:rPr>
              <w:t>203</w:t>
            </w:r>
            <w:r>
              <w:rPr>
                <w:rFonts w:cs="Arial"/>
                <w:sz w:val="24"/>
              </w:rPr>
              <w:t>5</w:t>
            </w:r>
          </w:p>
        </w:tc>
      </w:tr>
      <w:tr w14:paraId="10EA8186"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1E70F03E"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6DBD441A" w14:textId="2E4941A7">
            <w:pPr>
              <w:spacing w:line="276" w:lineRule="auto"/>
              <w:rPr>
                <w:rFonts w:eastAsiaTheme="minorHAnsi" w:cs="Arial"/>
                <w:sz w:val="24"/>
              </w:rPr>
            </w:pPr>
            <w:r w:rsidRPr="00A955AF">
              <w:rPr>
                <w:rFonts w:cs="Arial"/>
                <w:sz w:val="24"/>
              </w:rPr>
              <w:t>MZ</w:t>
            </w:r>
            <w:r>
              <w:rPr>
                <w:rFonts w:cs="Arial"/>
                <w:sz w:val="24"/>
              </w:rPr>
              <w:t>D – vrchní</w:t>
            </w:r>
            <w:r>
              <w:rPr>
                <w:rFonts w:cs="Arial"/>
                <w:sz w:val="24"/>
              </w:rPr>
              <w:t xml:space="preserve"> ředitel sekce zdravotní péče</w:t>
            </w:r>
          </w:p>
        </w:tc>
      </w:tr>
      <w:tr w14:paraId="186AF4AF"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0F77B0B3"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P="00B56B1A" w14:paraId="7DC26D49" w14:textId="265EA793">
            <w:pPr>
              <w:spacing w:line="276" w:lineRule="auto"/>
              <w:rPr>
                <w:rFonts w:cs="Arial"/>
                <w:sz w:val="24"/>
              </w:rPr>
            </w:pPr>
            <w:r>
              <w:rPr>
                <w:rFonts w:cs="Arial"/>
                <w:sz w:val="24"/>
              </w:rPr>
              <w:t xml:space="preserve">ÚZIS, SÚKL, IPVZ, NCO NZO, NÚDZ, </w:t>
            </w:r>
            <w:r w:rsidRPr="00A955AF">
              <w:rPr>
                <w:rFonts w:cs="Arial"/>
                <w:sz w:val="24"/>
              </w:rPr>
              <w:t xml:space="preserve">MPSV, MMR, MSp, MŠMT, MV, </w:t>
            </w:r>
            <w:r>
              <w:rPr>
                <w:rFonts w:cs="Arial"/>
                <w:sz w:val="24"/>
              </w:rPr>
              <w:t xml:space="preserve">ČLS JEP, </w:t>
            </w:r>
            <w:r w:rsidRPr="00A955AF">
              <w:rPr>
                <w:rFonts w:cs="Arial"/>
                <w:sz w:val="24"/>
              </w:rPr>
              <w:t>kraje, obce, nevládní sektor, zdravotní pojišťovny, pacientské organizace, Svaz měst a</w:t>
            </w:r>
            <w:r>
              <w:rPr>
                <w:rFonts w:cs="Arial"/>
                <w:sz w:val="24"/>
              </w:rPr>
              <w:t> </w:t>
            </w:r>
            <w:r w:rsidRPr="00A955AF">
              <w:rPr>
                <w:rFonts w:cs="Arial"/>
                <w:sz w:val="24"/>
              </w:rPr>
              <w:t>obcí ČR a Sdružení místních samospráv</w:t>
            </w:r>
            <w:r>
              <w:rPr>
                <w:rFonts w:cs="Arial"/>
                <w:sz w:val="24"/>
              </w:rPr>
              <w:t>,</w:t>
            </w:r>
            <w:r w:rsidRPr="00A955AF">
              <w:rPr>
                <w:rFonts w:cs="Arial"/>
                <w:sz w:val="24"/>
              </w:rPr>
              <w:t xml:space="preserve"> </w:t>
            </w:r>
            <w:r w:rsidRPr="00B93A8A">
              <w:rPr>
                <w:rFonts w:cs="Arial"/>
                <w:sz w:val="24"/>
              </w:rPr>
              <w:t>Asociace krajů ČR,</w:t>
            </w:r>
            <w:r>
              <w:rPr>
                <w:rFonts w:cs="Arial"/>
                <w:color w:val="auto"/>
                <w:szCs w:val="22"/>
              </w:rPr>
              <w:t xml:space="preserve"> </w:t>
            </w:r>
            <w:r w:rsidRPr="00B93A8A">
              <w:rPr>
                <w:rFonts w:cs="Arial"/>
                <w:sz w:val="24"/>
              </w:rPr>
              <w:t>NNO, poskytovatelé zdravotních a</w:t>
            </w:r>
            <w:r>
              <w:rPr>
                <w:rFonts w:cs="Arial"/>
                <w:sz w:val="24"/>
              </w:rPr>
              <w:t> </w:t>
            </w:r>
            <w:r w:rsidRPr="00B93A8A">
              <w:rPr>
                <w:rFonts w:cs="Arial"/>
                <w:sz w:val="24"/>
              </w:rPr>
              <w:t>sociálních služeb</w:t>
            </w:r>
            <w:r>
              <w:rPr>
                <w:rFonts w:cs="Arial"/>
                <w:sz w:val="24"/>
              </w:rPr>
              <w:t xml:space="preserve">, </w:t>
            </w:r>
            <w:r w:rsidRPr="008A62BC">
              <w:rPr>
                <w:rFonts w:cs="Arial"/>
                <w:sz w:val="24"/>
              </w:rPr>
              <w:t>odborná veřejnost, akademická sféra, zdravotní pojišťovny</w:t>
            </w:r>
            <w:r>
              <w:rPr>
                <w:rFonts w:cs="Arial"/>
                <w:sz w:val="24"/>
              </w:rPr>
              <w:t xml:space="preserve">, </w:t>
            </w:r>
          </w:p>
          <w:p w:rsidR="00D37617" w:rsidRPr="00A955AF" w:rsidP="00B56B1A" w14:paraId="26E77472" w14:textId="77777777">
            <w:pPr>
              <w:spacing w:line="276" w:lineRule="auto"/>
              <w:rPr>
                <w:rFonts w:eastAsiaTheme="minorHAnsi" w:cs="Arial"/>
                <w:sz w:val="24"/>
              </w:rPr>
            </w:pPr>
          </w:p>
        </w:tc>
      </w:tr>
      <w:tr w14:paraId="6F9708FD" w14:textId="77777777" w:rsidTr="00B56B1A">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5A39AB0C"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RPr="00470E35" w:rsidP="00B56B1A" w14:paraId="7163E484" w14:textId="77777777">
            <w:pPr>
              <w:rPr>
                <w:rFonts w:cs="Arial"/>
                <w:sz w:val="24"/>
              </w:rPr>
            </w:pPr>
            <w:r>
              <w:rPr>
                <w:rFonts w:cs="Arial"/>
                <w:sz w:val="24"/>
              </w:rPr>
              <w:t xml:space="preserve">1.1 </w:t>
            </w:r>
            <w:r w:rsidRPr="00470E35">
              <w:rPr>
                <w:rFonts w:cs="Arial"/>
                <w:sz w:val="24"/>
              </w:rPr>
              <w:t>Primární prevence a ochrana veřejného zdraví</w:t>
            </w:r>
          </w:p>
          <w:p w:rsidR="00D37617" w:rsidP="00B56B1A" w14:paraId="20429125" w14:textId="77777777">
            <w:pPr>
              <w:rPr>
                <w:rFonts w:cs="Arial"/>
                <w:sz w:val="24"/>
              </w:rPr>
            </w:pPr>
            <w:r w:rsidRPr="00470E35">
              <w:rPr>
                <w:rFonts w:cs="Arial"/>
                <w:sz w:val="24"/>
              </w:rPr>
              <w:t>1.2 Sekundární prevence a screeningové programy</w:t>
            </w:r>
          </w:p>
          <w:p w:rsidR="00D37617" w:rsidRPr="00A955AF" w:rsidP="00B56B1A" w14:paraId="34C6EF37" w14:textId="77777777">
            <w:pPr>
              <w:rPr>
                <w:rFonts w:cs="Arial"/>
                <w:sz w:val="24"/>
              </w:rPr>
            </w:pPr>
            <w:r>
              <w:rPr>
                <w:rFonts w:cs="Arial"/>
                <w:sz w:val="24"/>
              </w:rPr>
              <w:t xml:space="preserve">2.1 </w:t>
            </w:r>
            <w:r w:rsidRPr="00A955AF">
              <w:rPr>
                <w:rFonts w:cs="Arial"/>
                <w:sz w:val="24"/>
              </w:rPr>
              <w:t>Reforma primární péče</w:t>
            </w:r>
          </w:p>
          <w:p w:rsidR="00D37617" w:rsidRPr="00A955AF" w:rsidP="00B56B1A" w14:paraId="4ED3E25A" w14:textId="77777777">
            <w:pPr>
              <w:rPr>
                <w:rFonts w:cs="Arial"/>
                <w:sz w:val="24"/>
              </w:rPr>
            </w:pPr>
            <w:r w:rsidRPr="00A955AF">
              <w:rPr>
                <w:rFonts w:cs="Arial"/>
                <w:sz w:val="24"/>
              </w:rPr>
              <w:t>2.2</w:t>
            </w:r>
            <w:r>
              <w:rPr>
                <w:rFonts w:cs="Arial"/>
                <w:sz w:val="24"/>
              </w:rPr>
              <w:t xml:space="preserve"> </w:t>
            </w:r>
            <w:r w:rsidRPr="00A955AF">
              <w:rPr>
                <w:rFonts w:cs="Arial"/>
                <w:sz w:val="24"/>
              </w:rPr>
              <w:t>Personální stabilizace resortu zdravotnictví</w:t>
            </w:r>
          </w:p>
          <w:p w:rsidR="00D37617" w:rsidRPr="00A955AF" w:rsidP="00B56B1A" w14:paraId="319F7A93" w14:textId="77777777">
            <w:pPr>
              <w:rPr>
                <w:rFonts w:cs="Arial"/>
                <w:sz w:val="24"/>
              </w:rPr>
            </w:pPr>
            <w:r w:rsidRPr="00A955AF">
              <w:rPr>
                <w:rFonts w:cs="Arial"/>
                <w:sz w:val="24"/>
              </w:rPr>
              <w:t>2.3</w:t>
            </w:r>
            <w:r>
              <w:rPr>
                <w:rFonts w:cs="Arial"/>
                <w:sz w:val="24"/>
              </w:rPr>
              <w:t xml:space="preserve"> </w:t>
            </w:r>
            <w:r w:rsidRPr="00A955AF">
              <w:rPr>
                <w:rFonts w:cs="Arial"/>
                <w:sz w:val="24"/>
              </w:rPr>
              <w:t>Digitalizace zdravotnictví</w:t>
            </w:r>
          </w:p>
          <w:p w:rsidR="00D37617" w:rsidP="00B56B1A" w14:paraId="4E2E381C" w14:textId="77777777">
            <w:pPr>
              <w:spacing w:line="276" w:lineRule="auto"/>
              <w:rPr>
                <w:rFonts w:cs="Arial"/>
                <w:sz w:val="24"/>
              </w:rPr>
            </w:pPr>
            <w:r w:rsidRPr="00A955AF">
              <w:rPr>
                <w:rFonts w:cs="Arial"/>
                <w:sz w:val="24"/>
              </w:rPr>
              <w:t>2.4</w:t>
            </w:r>
            <w:r>
              <w:rPr>
                <w:rFonts w:cs="Arial"/>
                <w:sz w:val="24"/>
              </w:rPr>
              <w:t xml:space="preserve"> </w:t>
            </w:r>
            <w:r w:rsidRPr="00A955AF">
              <w:rPr>
                <w:rFonts w:cs="Arial"/>
                <w:sz w:val="24"/>
              </w:rPr>
              <w:t>Optimalizace systému úhrad ve zdravotnictví</w:t>
            </w:r>
          </w:p>
          <w:p w:rsidR="00D37617" w:rsidP="00B56B1A" w14:paraId="5E2B7ACA" w14:textId="77777777">
            <w:pPr>
              <w:spacing w:line="276" w:lineRule="auto"/>
              <w:rPr>
                <w:rFonts w:cs="Arial"/>
                <w:sz w:val="24"/>
              </w:rPr>
            </w:pPr>
            <w:r>
              <w:rPr>
                <w:rFonts w:cs="Arial"/>
                <w:sz w:val="24"/>
              </w:rPr>
              <w:t>2.5 Péče na sociálně zdravotním pomezí</w:t>
            </w:r>
          </w:p>
          <w:p w:rsidR="00694EDD" w:rsidP="00B56B1A" w14:paraId="74C1D27E" w14:textId="6C0A2F5D">
            <w:pPr>
              <w:spacing w:line="276" w:lineRule="auto"/>
              <w:rPr>
                <w:rFonts w:cs="Arial"/>
                <w:sz w:val="24"/>
              </w:rPr>
            </w:pPr>
            <w:r>
              <w:rPr>
                <w:rFonts w:cs="Arial"/>
                <w:sz w:val="24"/>
              </w:rPr>
              <w:t>2</w:t>
            </w:r>
            <w:r w:rsidR="00693346">
              <w:rPr>
                <w:rFonts w:cs="Arial"/>
                <w:sz w:val="24"/>
              </w:rPr>
              <w:t>.</w:t>
            </w:r>
            <w:r>
              <w:rPr>
                <w:rFonts w:cs="Arial"/>
                <w:sz w:val="24"/>
              </w:rPr>
              <w:t>6 Péče o duševní zdraví</w:t>
            </w:r>
          </w:p>
          <w:p w:rsidR="00D37617" w:rsidRPr="00A955AF" w:rsidP="00B56B1A" w14:paraId="45127172" w14:textId="184F6C66">
            <w:pPr>
              <w:spacing w:line="276" w:lineRule="auto"/>
              <w:rPr>
                <w:rFonts w:eastAsiaTheme="minorHAnsi" w:cs="Arial"/>
                <w:sz w:val="24"/>
              </w:rPr>
            </w:pPr>
            <w:r>
              <w:rPr>
                <w:rFonts w:cs="Arial"/>
                <w:sz w:val="24"/>
              </w:rPr>
              <w:t xml:space="preserve">2.8 </w:t>
            </w:r>
            <w:r w:rsidRPr="005F5FC5" w:rsidR="005F5FC5">
              <w:rPr>
                <w:rFonts w:cs="Arial"/>
                <w:sz w:val="24"/>
              </w:rPr>
              <w:t>Zvýšení kvality poskytovaných zdravotních služeb v</w:t>
            </w:r>
            <w:r w:rsidR="005F5FC5">
              <w:rPr>
                <w:rFonts w:cs="Arial"/>
                <w:sz w:val="24"/>
              </w:rPr>
              <w:t> </w:t>
            </w:r>
            <w:r w:rsidRPr="005F5FC5" w:rsidR="005F5FC5">
              <w:rPr>
                <w:rFonts w:cs="Arial"/>
                <w:sz w:val="24"/>
              </w:rPr>
              <w:t>ČR</w:t>
            </w:r>
            <w:r w:rsidR="005F5FC5">
              <w:rPr>
                <w:rFonts w:cs="Arial"/>
                <w:sz w:val="24"/>
              </w:rPr>
              <w:t xml:space="preserve"> </w:t>
            </w:r>
          </w:p>
        </w:tc>
      </w:tr>
      <w:tr w14:paraId="3CC5C77E"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1040C54E"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1FDDEA53" w14:textId="77777777">
            <w:pPr>
              <w:tabs>
                <w:tab w:val="num" w:pos="585"/>
              </w:tabs>
              <w:overflowPunct w:val="0"/>
              <w:autoSpaceDE w:val="0"/>
              <w:autoSpaceDN w:val="0"/>
              <w:adjustRightInd w:val="0"/>
              <w:rPr>
                <w:rFonts w:cs="Arial"/>
                <w:sz w:val="24"/>
              </w:rPr>
            </w:pPr>
            <w:r w:rsidRPr="00A955AF">
              <w:rPr>
                <w:rFonts w:cs="Arial"/>
                <w:sz w:val="24"/>
              </w:rPr>
              <w:t xml:space="preserve"> Na úrovni dopadu: </w:t>
            </w:r>
          </w:p>
          <w:p w:rsidR="008F47FA" w:rsidRPr="008F47FA" w:rsidP="006C359E" w14:paraId="7BE86682" w14:textId="77777777">
            <w:pPr>
              <w:pStyle w:val="ListParagraph"/>
              <w:numPr>
                <w:ilvl w:val="0"/>
                <w:numId w:val="32"/>
              </w:numPr>
              <w:overflowPunct w:val="0"/>
              <w:rPr>
                <w:rFonts w:cs="Arial"/>
                <w:sz w:val="24"/>
              </w:rPr>
            </w:pPr>
            <w:r w:rsidRPr="008F47FA">
              <w:rPr>
                <w:rFonts w:cs="Arial"/>
                <w:sz w:val="24"/>
                <w:szCs w:val="24"/>
              </w:rPr>
              <w:t xml:space="preserve">Naděje dožití – střední délka života při narození a ve věku 65 let </w:t>
            </w:r>
          </w:p>
          <w:p w:rsidR="008F47FA" w:rsidRPr="00D13FED" w:rsidP="00D13FED" w14:paraId="3524F7F2" w14:textId="35C8BBAF">
            <w:pPr>
              <w:pStyle w:val="ListParagraph"/>
              <w:numPr>
                <w:ilvl w:val="0"/>
                <w:numId w:val="32"/>
              </w:numPr>
              <w:tabs>
                <w:tab w:val="num" w:pos="585"/>
              </w:tabs>
              <w:overflowPunct w:val="0"/>
              <w:rPr>
                <w:rFonts w:cs="Arial"/>
                <w:sz w:val="24"/>
              </w:rPr>
            </w:pPr>
            <w:r w:rsidRPr="008F47FA">
              <w:rPr>
                <w:rFonts w:cs="Arial"/>
                <w:sz w:val="24"/>
              </w:rPr>
              <w:t xml:space="preserve">Přežití pacientů s nádorovými onemocněními </w:t>
            </w:r>
          </w:p>
          <w:p w:rsidR="00D37617" w:rsidRPr="008F47FA" w:rsidP="008F47FA" w14:paraId="541314DA" w14:textId="631198EF">
            <w:pPr>
              <w:tabs>
                <w:tab w:val="num" w:pos="585"/>
              </w:tabs>
              <w:overflowPunct w:val="0"/>
              <w:rPr>
                <w:rFonts w:cs="Arial"/>
                <w:sz w:val="24"/>
              </w:rPr>
            </w:pPr>
            <w:r w:rsidRPr="008F47FA">
              <w:rPr>
                <w:rFonts w:cs="Arial"/>
                <w:sz w:val="24"/>
              </w:rPr>
              <w:t>Na úrovni výsledků/výstupů:</w:t>
            </w:r>
          </w:p>
          <w:p w:rsidR="00D37617" w:rsidP="006C359E" w14:paraId="7174BEC5" w14:textId="3F1F706F">
            <w:pPr>
              <w:pStyle w:val="ListParagraph"/>
              <w:numPr>
                <w:ilvl w:val="0"/>
                <w:numId w:val="31"/>
              </w:numPr>
              <w:overflowPunct w:val="0"/>
              <w:spacing w:before="0"/>
              <w:contextualSpacing/>
              <w:rPr>
                <w:rFonts w:cs="Arial"/>
                <w:sz w:val="24"/>
                <w:szCs w:val="24"/>
              </w:rPr>
            </w:pPr>
            <w:r w:rsidRPr="008F47FA">
              <w:rPr>
                <w:rFonts w:cs="Arial"/>
                <w:sz w:val="24"/>
                <w:szCs w:val="24"/>
              </w:rPr>
              <w:t xml:space="preserve">Nástroje pro podporu dostupnosti, rozsahu a kvality geriatrické </w:t>
            </w:r>
            <w:r w:rsidRPr="008F47FA" w:rsidR="00D13FED">
              <w:rPr>
                <w:rFonts w:cs="Arial"/>
                <w:sz w:val="24"/>
                <w:szCs w:val="24"/>
              </w:rPr>
              <w:t>péče</w:t>
            </w:r>
            <w:r w:rsidR="00D13FED">
              <w:rPr>
                <w:rFonts w:cs="Arial"/>
                <w:sz w:val="24"/>
                <w:szCs w:val="24"/>
              </w:rPr>
              <w:t xml:space="preserve"> – nárůst</w:t>
            </w:r>
            <w:r>
              <w:rPr>
                <w:rFonts w:cs="Arial"/>
                <w:sz w:val="24"/>
                <w:szCs w:val="24"/>
              </w:rPr>
              <w:t xml:space="preserve"> počtu poskytovatelů geriatrické péče</w:t>
            </w:r>
          </w:p>
          <w:p w:rsidR="008F47FA" w:rsidP="006C359E" w14:paraId="293A505E" w14:textId="77777777">
            <w:pPr>
              <w:pStyle w:val="ListParagraph"/>
              <w:numPr>
                <w:ilvl w:val="0"/>
                <w:numId w:val="31"/>
              </w:numPr>
              <w:overflowPunct w:val="0"/>
              <w:spacing w:before="0"/>
              <w:contextualSpacing/>
              <w:rPr>
                <w:rFonts w:cs="Arial"/>
                <w:sz w:val="24"/>
                <w:szCs w:val="24"/>
              </w:rPr>
            </w:pPr>
            <w:r w:rsidRPr="008F47FA">
              <w:rPr>
                <w:rFonts w:cs="Arial"/>
                <w:sz w:val="24"/>
                <w:szCs w:val="24"/>
              </w:rPr>
              <w:t>Procento populace participující na systematických preventivních prohlídkách</w:t>
            </w:r>
          </w:p>
          <w:p w:rsidR="008F47FA" w:rsidP="006C359E" w14:paraId="7CE25D4C" w14:textId="77777777">
            <w:pPr>
              <w:pStyle w:val="ListParagraph"/>
              <w:numPr>
                <w:ilvl w:val="0"/>
                <w:numId w:val="31"/>
              </w:numPr>
              <w:overflowPunct w:val="0"/>
              <w:spacing w:before="0"/>
              <w:contextualSpacing/>
              <w:rPr>
                <w:rFonts w:cs="Arial"/>
                <w:sz w:val="24"/>
                <w:szCs w:val="24"/>
              </w:rPr>
            </w:pPr>
            <w:r w:rsidRPr="008F47FA">
              <w:rPr>
                <w:rFonts w:cs="Arial"/>
                <w:sz w:val="24"/>
                <w:szCs w:val="24"/>
              </w:rPr>
              <w:t>Snížení prevalence obezity v dětské a dospělé populaci (BMI ≥30)</w:t>
            </w:r>
          </w:p>
          <w:p w:rsidR="008F47FA" w:rsidP="006C359E" w14:paraId="3A60F95A" w14:textId="5CA624CC">
            <w:pPr>
              <w:pStyle w:val="ListParagraph"/>
              <w:numPr>
                <w:ilvl w:val="0"/>
                <w:numId w:val="31"/>
              </w:numPr>
              <w:overflowPunct w:val="0"/>
              <w:spacing w:before="0"/>
              <w:contextualSpacing/>
              <w:rPr>
                <w:rFonts w:cs="Arial"/>
                <w:sz w:val="24"/>
                <w:szCs w:val="24"/>
              </w:rPr>
            </w:pPr>
            <w:r w:rsidRPr="008F47FA">
              <w:rPr>
                <w:rFonts w:cs="Arial"/>
                <w:sz w:val="24"/>
                <w:szCs w:val="24"/>
              </w:rPr>
              <w:t>Počet vzdělávacích nástrojů na podporu v oblasti onkologické péče</w:t>
            </w:r>
          </w:p>
          <w:p w:rsidR="008F47FA" w:rsidP="006C359E" w14:paraId="6DE308DC" w14:textId="77777777">
            <w:pPr>
              <w:pStyle w:val="ListParagraph"/>
              <w:numPr>
                <w:ilvl w:val="0"/>
                <w:numId w:val="31"/>
              </w:numPr>
              <w:overflowPunct w:val="0"/>
              <w:spacing w:before="0"/>
              <w:contextualSpacing/>
              <w:rPr>
                <w:rFonts w:cs="Arial"/>
                <w:sz w:val="24"/>
                <w:szCs w:val="24"/>
              </w:rPr>
            </w:pPr>
            <w:r w:rsidRPr="008F47FA">
              <w:rPr>
                <w:rFonts w:cs="Arial"/>
                <w:sz w:val="24"/>
                <w:szCs w:val="24"/>
              </w:rPr>
              <w:t>Transformace akutní lůžkové pediatrické péče</w:t>
            </w:r>
          </w:p>
          <w:p w:rsidR="008F47FA" w:rsidRPr="00EC63BF" w:rsidP="006C359E" w14:paraId="49DCF592" w14:textId="1F1B7C05">
            <w:pPr>
              <w:pStyle w:val="ListParagraph"/>
              <w:numPr>
                <w:ilvl w:val="0"/>
                <w:numId w:val="31"/>
              </w:numPr>
              <w:overflowPunct w:val="0"/>
              <w:spacing w:before="0"/>
              <w:contextualSpacing/>
              <w:rPr>
                <w:rFonts w:cs="Arial"/>
                <w:sz w:val="24"/>
                <w:szCs w:val="24"/>
              </w:rPr>
            </w:pPr>
            <w:r w:rsidRPr="008F47FA">
              <w:rPr>
                <w:rFonts w:cs="Arial"/>
                <w:sz w:val="24"/>
                <w:szCs w:val="24"/>
              </w:rPr>
              <w:t>Počet podpořených center porodní asistence</w:t>
            </w:r>
          </w:p>
        </w:tc>
      </w:tr>
      <w:tr w14:paraId="003CA2CF"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0A83045E"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8F47FA" w:rsidP="00D13FED" w14:paraId="11D68267" w14:textId="538EF339">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Specifický cíl rozpracovává vybrané oblasti specializované péče, které v rámci systému zdravotních služeb vyžadují zvláštní pozornost. Jedná se o geriatrickou péči, kardiologii, rehabilitační péči, obezitologii, onkologickou péči, pediatrii a péči o těhotné ženy, ženy při porodu, ženy v poporodním období, novorozence a jejich rodiny.</w:t>
            </w:r>
          </w:p>
          <w:p w:rsidR="00D13FED" w:rsidRPr="00D13FED" w:rsidP="00D13FED" w14:paraId="5F365F36"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p>
          <w:p w:rsidR="008F47FA" w:rsidRPr="00D13FED" w:rsidP="00021EEE" w14:paraId="5D99C2B2" w14:textId="77777777">
            <w:pPr>
              <w:pStyle w:val="Text"/>
              <w:spacing w:line="276" w:lineRule="auto"/>
              <w:ind w:left="0"/>
              <w:rPr>
                <w:rFonts w:eastAsia="Times New Roman" w:asciiTheme="minorHAnsi" w:hAnsiTheme="minorHAnsi" w:cs="Arial"/>
                <w:b/>
                <w:bCs/>
                <w:color w:val="auto"/>
                <w:sz w:val="24"/>
                <w:szCs w:val="24"/>
                <w:bdr w:val="none" w:sz="0" w:space="0" w:color="auto"/>
                <w:lang w:eastAsia="cs-CZ"/>
              </w:rPr>
            </w:pPr>
            <w:r w:rsidRPr="00D13FED">
              <w:rPr>
                <w:rFonts w:eastAsia="Times New Roman" w:asciiTheme="minorHAnsi" w:hAnsiTheme="minorHAnsi" w:cs="Arial"/>
                <w:b/>
                <w:bCs/>
                <w:color w:val="auto"/>
                <w:sz w:val="24"/>
                <w:szCs w:val="24"/>
                <w:bdr w:val="none" w:sz="0" w:space="0" w:color="auto"/>
                <w:lang w:eastAsia="cs-CZ"/>
              </w:rPr>
              <w:t>Podpora geriatrické péče</w:t>
            </w:r>
          </w:p>
          <w:p w:rsidR="008F47FA" w:rsidRPr="00D13FED" w:rsidP="00D13FED" w14:paraId="6ECF0A77"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 xml:space="preserve">S ohledem na demografickou predikci rostoucího podílu seniorské populace ve společnosti lze do budoucna předpokládat kontinuální zvyšování počtu geriatrických, křehkých a polymorbidních pacientů v mnoha oblastech zdravotních služeb. </w:t>
            </w:r>
          </w:p>
          <w:p w:rsidR="008F47FA" w:rsidRPr="00D13FED" w:rsidP="00D13FED" w14:paraId="17D17556"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bookmarkStart w:id="607" w:name="_Toc201691386"/>
            <w:r w:rsidRPr="00D13FED">
              <w:rPr>
                <w:rFonts w:eastAsia="Times New Roman" w:asciiTheme="minorHAnsi" w:hAnsiTheme="minorHAnsi" w:cs="Arial"/>
                <w:color w:val="auto"/>
                <w:sz w:val="24"/>
                <w:szCs w:val="24"/>
                <w:bdr w:val="none" w:sz="0" w:space="0" w:color="auto"/>
                <w:lang w:eastAsia="cs-CZ"/>
              </w:rPr>
              <w:t>V současné době existuje v ČR jen málo poskytovatelů zajišťujících péči geriatrickým pacientům v celém jejím spektru. Zdravotní péče orientovaná specificky na potřeby geriatrických pacientů je poskytována roztříštěně a v nedostatečné kapacitě.  Je nezbytná podpora stávajících poskytovatelů napříč všemi formami zdravotní péče i podpora vzniku poskytovatelů nových v takovém rozsahu, který by odpovídal demografickým výzvám stárnutí populace.</w:t>
            </w:r>
            <w:bookmarkEnd w:id="607"/>
          </w:p>
          <w:p w:rsidR="008F47FA" w:rsidRPr="00D13FED" w:rsidP="00D13FED" w14:paraId="598F32B1" w14:textId="22EBBACE">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bookmarkStart w:id="608" w:name="_Toc201691387"/>
            <w:r w:rsidRPr="00D13FED">
              <w:rPr>
                <w:rFonts w:eastAsia="Times New Roman" w:asciiTheme="minorHAnsi" w:hAnsiTheme="minorHAnsi" w:cs="Arial"/>
                <w:color w:val="auto"/>
                <w:sz w:val="24"/>
                <w:szCs w:val="24"/>
                <w:bdr w:val="none" w:sz="0" w:space="0" w:color="auto"/>
                <w:lang w:eastAsia="cs-CZ"/>
              </w:rPr>
              <w:t>Současný systém zdravotních služeb je zaměřen hlavně na aktuální zdravotní problémy bez celistvého hodnocení zdravotního a</w:t>
            </w:r>
            <w:r w:rsidRPr="00D13FED" w:rsidR="00D13FED">
              <w:rPr>
                <w:rFonts w:eastAsia="Times New Roman" w:asciiTheme="minorHAnsi" w:hAnsiTheme="minorHAnsi" w:cs="Arial"/>
                <w:color w:val="auto"/>
                <w:sz w:val="24"/>
                <w:szCs w:val="24"/>
                <w:bdr w:val="none" w:sz="0" w:space="0" w:color="auto"/>
                <w:lang w:eastAsia="cs-CZ"/>
              </w:rPr>
              <w:t> </w:t>
            </w:r>
            <w:r w:rsidRPr="00D13FED">
              <w:rPr>
                <w:rFonts w:eastAsia="Times New Roman" w:asciiTheme="minorHAnsi" w:hAnsiTheme="minorHAnsi" w:cs="Arial"/>
                <w:color w:val="auto"/>
                <w:sz w:val="24"/>
                <w:szCs w:val="24"/>
                <w:bdr w:val="none" w:sz="0" w:space="0" w:color="auto"/>
                <w:lang w:eastAsia="cs-CZ"/>
              </w:rPr>
              <w:t>funkčního stavu pacienta a jeho potenciálu. Není dostatečně řešena kontinuita péče a její provázanost. Převažující chronická multimorbidita bude vyžadovat zlepšení provázanosti primární, geriatrické a další odborné péče, dostupných komunitních služeb a</w:t>
            </w:r>
            <w:r w:rsidRPr="00D13FED" w:rsidR="00D13FED">
              <w:rPr>
                <w:rFonts w:eastAsia="Times New Roman" w:asciiTheme="minorHAnsi" w:hAnsiTheme="minorHAnsi" w:cs="Arial"/>
                <w:color w:val="auto"/>
                <w:sz w:val="24"/>
                <w:szCs w:val="24"/>
                <w:bdr w:val="none" w:sz="0" w:space="0" w:color="auto"/>
                <w:lang w:eastAsia="cs-CZ"/>
              </w:rPr>
              <w:t> </w:t>
            </w:r>
            <w:r w:rsidRPr="00D13FED">
              <w:rPr>
                <w:rFonts w:eastAsia="Times New Roman" w:asciiTheme="minorHAnsi" w:hAnsiTheme="minorHAnsi" w:cs="Arial"/>
                <w:color w:val="auto"/>
                <w:sz w:val="24"/>
                <w:szCs w:val="24"/>
                <w:bdr w:val="none" w:sz="0" w:space="0" w:color="auto"/>
                <w:lang w:eastAsia="cs-CZ"/>
              </w:rPr>
              <w:t>provázanost zdravotně sociální péče pro geriatrické pacienty.</w:t>
            </w:r>
            <w:bookmarkEnd w:id="608"/>
            <w:r w:rsidRPr="00D13FED">
              <w:rPr>
                <w:rFonts w:eastAsia="Times New Roman" w:asciiTheme="minorHAnsi" w:hAnsiTheme="minorHAnsi" w:cs="Arial"/>
                <w:color w:val="auto"/>
                <w:sz w:val="24"/>
                <w:szCs w:val="24"/>
                <w:bdr w:val="none" w:sz="0" w:space="0" w:color="auto"/>
                <w:lang w:eastAsia="cs-CZ"/>
              </w:rPr>
              <w:t xml:space="preserve"> </w:t>
            </w:r>
          </w:p>
          <w:p w:rsidR="008F47FA" w:rsidRPr="00D13FED" w:rsidP="00D13FED" w14:paraId="139626AD"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p>
          <w:p w:rsidR="00694EDD" w:rsidRPr="00D13FED" w:rsidP="00021EEE" w14:paraId="0D05E748" w14:textId="77777777">
            <w:pPr>
              <w:keepNext/>
              <w:widowControl w:val="0"/>
              <w:suppressAutoHyphens/>
              <w:spacing w:line="276" w:lineRule="auto"/>
              <w:rPr>
                <w:rFonts w:eastAsia="Times New Roman" w:cs="Arial"/>
                <w:b/>
                <w:bCs/>
                <w:color w:val="auto"/>
                <w:sz w:val="24"/>
                <w:u w:color="000000"/>
                <w:lang w:eastAsia="cs-CZ"/>
              </w:rPr>
            </w:pPr>
            <w:r w:rsidRPr="00D13FED">
              <w:rPr>
                <w:rFonts w:eastAsia="Times New Roman" w:cs="Arial"/>
                <w:b/>
                <w:bCs/>
                <w:color w:val="auto"/>
                <w:sz w:val="24"/>
                <w:u w:color="000000"/>
                <w:lang w:eastAsia="cs-CZ"/>
              </w:rPr>
              <w:t>Prevence kardiovaskulárních onemocnění a rozvoj kardiologické péče</w:t>
            </w:r>
          </w:p>
          <w:p w:rsidR="00694EDD" w:rsidRPr="00D13FED" w:rsidP="00D13FED" w14:paraId="4DC58B6F"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 xml:space="preserve">V souvislosti s vysokou prevalencí kardiovaskulárních rizikových faktorů představují onemocnění oběhové soustavy dominantní příčinu úmrtnosti v České republice a jsou jednou z hlavních důvodů čerpání léčebné péče. Podpora kardiologické péče reaguje na neutěšený stav kardiovaskulárního rizika české populace a měnící se trendy ve výskytu jednotlivých kardiovaskulárních chorob, proto je nezbytné zaměřit tuto oblast především na prevenci vzniku kardiovaskulárních onemocnění, dostupnost a organizaci péče, personální zabezpečení a podporu vědy a výzkumu. Pokud dojde ke vzniku kardiovaskulárních onemocnění, je nutné zajistit maximální </w:t>
            </w:r>
            <w:r w:rsidRPr="00D13FED">
              <w:rPr>
                <w:rFonts w:eastAsia="Times New Roman" w:asciiTheme="minorHAnsi" w:hAnsiTheme="minorHAnsi" w:cs="Arial"/>
                <w:color w:val="auto"/>
                <w:sz w:val="24"/>
                <w:szCs w:val="24"/>
                <w:bdr w:val="none" w:sz="0" w:space="0" w:color="auto"/>
                <w:lang w:eastAsia="cs-CZ"/>
              </w:rPr>
              <w:t xml:space="preserve">kvalitu života pacientů bez ohledu na geografickou polohu či stádium nemoci. </w:t>
            </w:r>
          </w:p>
          <w:p w:rsidR="008F47FA" w:rsidRPr="00D13FED" w:rsidP="00021EEE" w14:paraId="45210781" w14:textId="77777777">
            <w:pPr>
              <w:keepLines/>
              <w:widowControl w:val="0"/>
              <w:suppressAutoHyphens/>
              <w:spacing w:line="276" w:lineRule="auto"/>
              <w:rPr>
                <w:rFonts w:eastAsia="Times New Roman" w:cs="Arial"/>
                <w:color w:val="auto"/>
                <w:sz w:val="24"/>
                <w:u w:color="000000"/>
                <w:lang w:eastAsia="cs-CZ"/>
              </w:rPr>
            </w:pPr>
          </w:p>
          <w:p w:rsidR="00DE728C" w:rsidRPr="00D13FED" w:rsidP="00021EEE" w14:paraId="1C0E5CBA" w14:textId="77777777">
            <w:pPr>
              <w:keepNext/>
              <w:widowControl w:val="0"/>
              <w:suppressAutoHyphens/>
              <w:spacing w:line="276" w:lineRule="auto"/>
              <w:rPr>
                <w:rFonts w:eastAsia="Times New Roman" w:cs="Arial"/>
                <w:b/>
                <w:bCs/>
                <w:color w:val="auto"/>
                <w:sz w:val="24"/>
                <w:u w:color="000000"/>
                <w:lang w:eastAsia="cs-CZ"/>
              </w:rPr>
            </w:pPr>
            <w:r w:rsidRPr="00D13FED">
              <w:rPr>
                <w:rFonts w:eastAsia="Times New Roman" w:cs="Arial"/>
                <w:b/>
                <w:bCs/>
                <w:color w:val="auto"/>
                <w:sz w:val="24"/>
                <w:u w:color="000000"/>
                <w:lang w:eastAsia="cs-CZ"/>
              </w:rPr>
              <w:t>Zvýšení dostupnosti a kvality rehabilitační péče</w:t>
            </w:r>
          </w:p>
          <w:p w:rsidR="00DE728C" w:rsidRPr="00D13FED" w:rsidP="00D13FED" w14:paraId="6CD3FFEF" w14:textId="3C023275">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 xml:space="preserve">Oblast rehabilitační péče je velice rozvinutou a nezbytnou součástí systému zdravotní péče zaměřující se na poskytování komplexního přístupu, který integruje širokou škálu terapeutických, ošetřovatelských a podpůrných činností s cílem maximalizovat obnovení funkčních schopností pacienta a zlepšit kvalitu jeho života. Tento přístup zahrnuje nejen aspekty rehabilitační péče, ale také psychické a sociální faktory, které ovlivňují celkové zdravotní stav pacienta. Rehabilitační péče je nezbytná jak po akutních stavech, jako jsou úrazy, chirurgické zákroky nebo závažná onemocnění (např. neurologická, kardiovaskulární), tak v rámci dlouhodobé navazující rehabilitace, která je zaměřena na stabilizaci stavu pacienta, prevenci komplikací, podporu návratu do běžného života. </w:t>
            </w:r>
          </w:p>
          <w:p w:rsidR="00D37617" w:rsidRPr="00D13FED" w:rsidP="00D13FED" w14:paraId="430DD81A"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p>
          <w:p w:rsidR="00693346" w:rsidRPr="00D13FED" w:rsidP="00021EEE" w14:paraId="05284599" w14:textId="77777777">
            <w:pPr>
              <w:keepNext/>
              <w:widowControl w:val="0"/>
              <w:suppressAutoHyphens/>
              <w:spacing w:line="276" w:lineRule="auto"/>
              <w:rPr>
                <w:rFonts w:eastAsia="Times New Roman" w:cs="Arial"/>
                <w:b/>
                <w:bCs/>
                <w:color w:val="auto"/>
                <w:sz w:val="24"/>
                <w:u w:color="000000"/>
                <w:lang w:eastAsia="cs-CZ"/>
              </w:rPr>
            </w:pPr>
            <w:r w:rsidRPr="00D13FED">
              <w:rPr>
                <w:rFonts w:eastAsia="Times New Roman" w:cs="Arial"/>
                <w:b/>
                <w:bCs/>
                <w:color w:val="auto"/>
                <w:sz w:val="24"/>
                <w:u w:color="000000"/>
                <w:lang w:eastAsia="cs-CZ"/>
              </w:rPr>
              <w:t>Prevence a léčba obezity</w:t>
            </w:r>
          </w:p>
          <w:p w:rsidR="00693346" w:rsidRPr="00D13FED" w:rsidP="00D13FED" w14:paraId="4B8D0DF8" w14:textId="18A0C7B5">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Mimořádně závažným rizikovým faktorem je obezita. Vzhledem ke své prevalenci je rizikovým faktorem metabolických a srdečně-cévních onemocnění, poškození pohybového aparátu, ale i řady nádorových onemocnění a dalších chorob. To vše má extrémní dopady nejen na zdravotní stav populace, ale i na hospodářství. Podíl osob s nadváhou a obezitou v ČR je nad průměrem zemí OECD, když se blíží 60 % populace</w:t>
            </w:r>
            <w:r>
              <w:rPr>
                <w:rFonts w:eastAsia="Times New Roman" w:asciiTheme="minorHAnsi" w:hAnsiTheme="minorHAnsi" w:cs="Arial"/>
                <w:color w:val="auto"/>
                <w:sz w:val="24"/>
                <w:szCs w:val="24"/>
                <w:bdr w:val="none" w:sz="0" w:space="0" w:color="auto"/>
                <w:vertAlign w:val="superscript"/>
                <w:lang w:eastAsia="cs-CZ"/>
              </w:rPr>
              <w:footnoteReference w:id="65"/>
            </w:r>
            <w:r w:rsidRPr="00D13FED">
              <w:rPr>
                <w:rFonts w:eastAsia="Times New Roman" w:asciiTheme="minorHAnsi" w:hAnsiTheme="minorHAnsi" w:cs="Arial"/>
                <w:color w:val="auto"/>
                <w:sz w:val="24"/>
                <w:szCs w:val="24"/>
                <w:bdr w:val="none" w:sz="0" w:space="0" w:color="auto"/>
                <w:lang w:eastAsia="cs-CZ"/>
              </w:rPr>
              <w:t>, z toho cca jedna třetina má obezitu (19 %) a zbytek nadváhu (OECD Health at a Glance, 2023). Větší problém je v mužské populaci, kde má obezitu až 30 %. Navíc predikce dalšího vývoje jsou velmi nepříznivé, když ukazují, že v roce 2035 se k hranici obezity dostane téměř 40 % mužů, přes 30 % žen, 25 % chlapců a téměř 15 % dívek (World Obesity Atlas, 2023).</w:t>
            </w:r>
          </w:p>
          <w:p w:rsidR="00693346" w:rsidRPr="00D13FED" w:rsidP="00021EEE" w14:paraId="7D5DC792" w14:textId="77777777">
            <w:pPr>
              <w:spacing w:line="276" w:lineRule="auto"/>
              <w:ind w:left="743" w:hanging="743"/>
              <w:rPr>
                <w:rFonts w:eastAsia="Times New Roman" w:cs="Arial"/>
                <w:b/>
                <w:bCs/>
                <w:color w:val="auto"/>
                <w:sz w:val="24"/>
                <w:u w:color="000000"/>
                <w:lang w:eastAsia="cs-CZ"/>
              </w:rPr>
            </w:pPr>
            <w:r w:rsidRPr="00D13FED">
              <w:rPr>
                <w:rFonts w:eastAsia="Times New Roman" w:cs="Arial"/>
                <w:b/>
                <w:bCs/>
                <w:color w:val="auto"/>
                <w:sz w:val="24"/>
                <w:u w:color="000000"/>
                <w:lang w:eastAsia="cs-CZ"/>
              </w:rPr>
              <w:t xml:space="preserve">Podpora onkologické péče </w:t>
            </w:r>
          </w:p>
          <w:p w:rsidR="00693346" w:rsidRPr="00D13FED" w:rsidP="00D13FED" w14:paraId="5604EC88"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 xml:space="preserve">Z mezinárodních srovnání plyne, že české zdravotnictví v posledních dvou dekádách prošlo výrazným rozvojem v oblasti organizace onkologické péče a ve zvýšení dostupnosti vysoce specializované protinádorové terapie. Velký pokrok rovněž nastal v posílení organizovaných screeningových programů. Dosahované výsledky péče jsou srovnatelné s hodnotami průměru zemí EU s tím, že ve většině ukazatelů česká onkologie dosahuje nejlepších výsledků v oblasti střední a východní Evropy. Většina významných zlepšení </w:t>
            </w:r>
            <w:r w:rsidRPr="00D13FED">
              <w:rPr>
                <w:rFonts w:eastAsia="Times New Roman" w:asciiTheme="minorHAnsi" w:hAnsiTheme="minorHAnsi" w:cs="Arial"/>
                <w:color w:val="auto"/>
                <w:sz w:val="24"/>
                <w:szCs w:val="24"/>
                <w:bdr w:val="none" w:sz="0" w:space="0" w:color="auto"/>
                <w:lang w:eastAsia="cs-CZ"/>
              </w:rPr>
              <w:t>vyplynula z postupující centralizace specializované péče do center vysoce specializované péče. Nicméně v řadě klíčových ukazatelů, jako je např. 5leté relativní přežití nebo podíl včasně zachycených onemocnění, jsou dosahované hodnoty stále nižší ve srovnání se státy západní a severní Evropy. Určité rezervy v pokrytí populace vykazují i organizované programy screeningu zhoubných nádorů a významný prostor ke zlepšení je patrný v programech primární prevence a eliminace hlavních rizikových faktorů onkologických onemocnění souvisejících s nezdravým životním stylem.</w:t>
            </w:r>
          </w:p>
          <w:p w:rsidR="00693346" w:rsidRPr="00D13FED" w:rsidP="00021EEE" w14:paraId="29062F64" w14:textId="77777777">
            <w:pPr>
              <w:keepNext/>
              <w:widowControl w:val="0"/>
              <w:suppressAutoHyphens/>
              <w:spacing w:line="276" w:lineRule="auto"/>
              <w:rPr>
                <w:rFonts w:eastAsia="Times New Roman" w:cs="Arial"/>
                <w:color w:val="auto"/>
                <w:sz w:val="24"/>
                <w:u w:color="000000"/>
                <w:lang w:eastAsia="cs-CZ"/>
              </w:rPr>
            </w:pPr>
          </w:p>
          <w:p w:rsidR="00693346" w:rsidRPr="00D13FED" w:rsidP="00021EEE" w14:paraId="6D54DB4E" w14:textId="77777777">
            <w:pPr>
              <w:keepNext/>
              <w:widowControl w:val="0"/>
              <w:suppressAutoHyphens/>
              <w:spacing w:line="276" w:lineRule="auto"/>
              <w:rPr>
                <w:rFonts w:eastAsia="Times New Roman" w:cs="Arial"/>
                <w:b/>
                <w:bCs/>
                <w:color w:val="auto"/>
                <w:sz w:val="24"/>
                <w:u w:color="000000"/>
                <w:lang w:eastAsia="cs-CZ"/>
              </w:rPr>
            </w:pPr>
            <w:r w:rsidRPr="00D13FED">
              <w:rPr>
                <w:rFonts w:eastAsia="Times New Roman" w:cs="Arial"/>
                <w:b/>
                <w:bCs/>
                <w:color w:val="auto"/>
                <w:sz w:val="24"/>
                <w:u w:color="000000"/>
                <w:lang w:eastAsia="cs-CZ"/>
              </w:rPr>
              <w:t>Rozvoj pediatrické péče</w:t>
            </w:r>
          </w:p>
          <w:p w:rsidR="00693346" w:rsidRPr="00D13FED" w:rsidP="00D13FED" w14:paraId="37D7F12E"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D13FED">
              <w:rPr>
                <w:rFonts w:eastAsia="Times New Roman" w:asciiTheme="minorHAnsi" w:hAnsiTheme="minorHAnsi" w:cs="Arial"/>
                <w:color w:val="auto"/>
                <w:sz w:val="24"/>
                <w:szCs w:val="24"/>
                <w:bdr w:val="none" w:sz="0" w:space="0" w:color="auto"/>
                <w:lang w:eastAsia="cs-CZ"/>
              </w:rPr>
              <w:t>Vzhledem k snižujícímu se počtu hospitalizovaných dětí a zkracující se době hospitalizace MZD navrhuje racionalizaci péče o děti podporou rozvoje multidisciplinárních přístupů v péči o děti např. rozšířením ambulantního týmu primární péče nebo pediatrické péče např. o fyzioterapeuta, logopeda, nutričního terapeuta, klinického psychologa, sociálně zdravotního pracovníka, lékaře specialistu v oboru neurologie, ortopedie, aj.</w:t>
            </w:r>
          </w:p>
          <w:p w:rsidR="00693346" w:rsidRPr="00D13FED" w:rsidP="00D13FED" w14:paraId="73B914DE"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p>
          <w:p w:rsidR="00693346" w:rsidRPr="00D13FED" w:rsidP="00021EEE" w14:paraId="1E62742C" w14:textId="77777777">
            <w:pPr>
              <w:shd w:val="clear" w:color="auto" w:fill="FFFFFF"/>
              <w:spacing w:line="276" w:lineRule="auto"/>
              <w:ind w:right="113"/>
              <w:rPr>
                <w:rFonts w:eastAsia="Times New Roman" w:cs="Arial"/>
                <w:b/>
                <w:bCs/>
                <w:color w:val="auto"/>
                <w:sz w:val="24"/>
                <w:u w:color="000000"/>
                <w:lang w:eastAsia="cs-CZ"/>
              </w:rPr>
            </w:pPr>
            <w:r w:rsidRPr="00D13FED">
              <w:rPr>
                <w:rFonts w:eastAsia="Times New Roman" w:cs="Arial"/>
                <w:b/>
                <w:bCs/>
                <w:color w:val="auto"/>
                <w:sz w:val="24"/>
                <w:u w:color="000000"/>
                <w:lang w:eastAsia="cs-CZ"/>
              </w:rPr>
              <w:t>Podpora multidisciplinárního přístupu v péči o těhotné ženy, ženy při porodu, ženy v poporodním období, novorozence a jejich rodiny</w:t>
            </w:r>
          </w:p>
          <w:p w:rsidR="00693346" w:rsidRPr="002831C0" w:rsidP="002831C0" w14:paraId="46869E8B" w14:textId="4288971B">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 xml:space="preserve">Systém péče o těhotné a rodící ženy představuje v ČR hustou síť poskytovatelů zdravotních služeb. Indikátory reprodukčního zdraví populace ukazují na to, že prenatální péče o těhotné ženy je v ČR dlouhodobě na vysoké úrovni. Dokládá to např. časování prvních návštěv v souvislosti s těhotenstvím u gynekologa. Více než 80 % žen absolvuje první prohlídku již mezi 1. až 12. týdnem těhotenství. </w:t>
            </w:r>
          </w:p>
          <w:p w:rsidR="00693346" w:rsidRPr="002831C0" w:rsidP="002831C0" w14:paraId="357D177C" w14:textId="0B02D7A4">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V České republice je péče o těhotné ženy, ženy při porodu, ženy v poporodním období a péče o novorozence zajištěna dostatečně. V každém kraji je alespoň jedno perinatologické centrum intenzivní či intermediární péče pro zajištění dostupnosti vysoce specializované zdravotní péče pro těhotné ženy. Lze hovořit o segmentované zdravotní péči, avšak je třeba podotknout, že péče je komplexní. V ČR je zajištěna návaznost zdravotních služeb o</w:t>
            </w:r>
            <w:r w:rsidR="002831C0">
              <w:rPr>
                <w:rFonts w:eastAsia="Times New Roman" w:asciiTheme="minorHAnsi" w:hAnsiTheme="minorHAnsi" w:cs="Arial"/>
                <w:color w:val="auto"/>
                <w:sz w:val="24"/>
                <w:szCs w:val="24"/>
                <w:bdr w:val="none" w:sz="0" w:space="0" w:color="auto"/>
                <w:lang w:eastAsia="cs-CZ"/>
              </w:rPr>
              <w:t> </w:t>
            </w:r>
            <w:r w:rsidRPr="002831C0">
              <w:rPr>
                <w:rFonts w:eastAsia="Times New Roman" w:asciiTheme="minorHAnsi" w:hAnsiTheme="minorHAnsi" w:cs="Arial"/>
                <w:color w:val="auto"/>
                <w:sz w:val="24"/>
                <w:szCs w:val="24"/>
                <w:bdr w:val="none" w:sz="0" w:space="0" w:color="auto"/>
                <w:lang w:eastAsia="cs-CZ"/>
              </w:rPr>
              <w:t>cílovou skupinu osob, která je zajišťována multidisciplinárním týmem zdravotnických pracovníků, tj. lékaři gynekology – porodníky, neonatology, praktickými lékaři pro děti a dorost, pediatry, porodními asistentkami, dětskými sestrami a dalšími zdravotnickými odborníky.)</w:t>
            </w:r>
          </w:p>
          <w:p w:rsidR="00693346" w:rsidRPr="00D13FED" w:rsidP="002831C0" w14:paraId="545C9E95" w14:textId="7CC5201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cs="Arial"/>
                <w:color w:val="auto"/>
                <w:sz w:val="24"/>
                <w:lang w:eastAsia="cs-CZ"/>
              </w:rPr>
            </w:pPr>
            <w:r w:rsidRPr="002831C0">
              <w:rPr>
                <w:rFonts w:eastAsia="Times New Roman" w:asciiTheme="minorHAnsi" w:hAnsiTheme="minorHAnsi" w:cs="Arial"/>
                <w:color w:val="auto"/>
                <w:sz w:val="24"/>
                <w:szCs w:val="24"/>
                <w:bdr w:val="none" w:sz="0" w:space="0" w:color="auto"/>
                <w:lang w:eastAsia="cs-CZ"/>
              </w:rPr>
              <w:t xml:space="preserve">Nicméně mezi moderní trendy se řadí přesun těžiště zdravotní péče poskytované ženám s fyziologickým těhotenstvím a šestinedělím, </w:t>
            </w:r>
            <w:r w:rsidRPr="002831C0">
              <w:rPr>
                <w:rFonts w:eastAsia="Times New Roman" w:asciiTheme="minorHAnsi" w:hAnsiTheme="minorHAnsi" w:cs="Arial"/>
                <w:color w:val="auto"/>
                <w:sz w:val="24"/>
                <w:szCs w:val="24"/>
                <w:bdr w:val="none" w:sz="0" w:space="0" w:color="auto"/>
                <w:lang w:eastAsia="cs-CZ"/>
              </w:rPr>
              <w:t>včetně péče o fyziologického novorozence, do péče porodní asistentky.</w:t>
            </w:r>
          </w:p>
        </w:tc>
      </w:tr>
      <w:tr w14:paraId="50923C15"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313E8929"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7617" w:rsidRPr="00021EEE" w:rsidP="00021EEE" w14:paraId="7AAF8676" w14:textId="25B637E7">
            <w:pPr>
              <w:spacing w:line="276" w:lineRule="auto"/>
              <w:rPr>
                <w:rFonts w:cs="Arial"/>
                <w:b/>
                <w:bCs/>
                <w:sz w:val="24"/>
              </w:rPr>
            </w:pPr>
            <w:r w:rsidRPr="00021EEE">
              <w:rPr>
                <w:rFonts w:cs="Arial"/>
                <w:b/>
                <w:bCs/>
                <w:sz w:val="24"/>
              </w:rPr>
              <w:t>Podpora geriatrické péče</w:t>
            </w:r>
          </w:p>
          <w:p w:rsidR="008F47FA" w:rsidRPr="002831C0" w:rsidP="002831C0" w14:paraId="314B7ED5" w14:textId="1CE18A03">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Cíle je zajištění dostupné a udržitelné geriatrické péče</w:t>
            </w:r>
            <w:r w:rsidRPr="002831C0" w:rsidR="00694EDD">
              <w:rPr>
                <w:rFonts w:eastAsia="Times New Roman" w:asciiTheme="minorHAnsi" w:hAnsiTheme="minorHAnsi" w:cs="Arial"/>
                <w:color w:val="auto"/>
                <w:sz w:val="24"/>
                <w:szCs w:val="24"/>
                <w:bdr w:val="none" w:sz="0" w:space="0" w:color="auto"/>
                <w:lang w:eastAsia="cs-CZ"/>
              </w:rPr>
              <w:t>, kdy je nastavena kontinuita péče o geriatrického pacienta, dochází k mezioborové spolupráci nejen mezi jednotlivými lékařskými odbornostmi, ale i se sociálním sektorem, který je v péči o</w:t>
            </w:r>
            <w:r w:rsidR="002831C0">
              <w:rPr>
                <w:rFonts w:eastAsia="Times New Roman" w:asciiTheme="minorHAnsi" w:hAnsiTheme="minorHAnsi" w:cs="Arial"/>
                <w:color w:val="auto"/>
                <w:sz w:val="24"/>
                <w:szCs w:val="24"/>
                <w:bdr w:val="none" w:sz="0" w:space="0" w:color="auto"/>
                <w:lang w:eastAsia="cs-CZ"/>
              </w:rPr>
              <w:t> </w:t>
            </w:r>
            <w:r w:rsidRPr="002831C0" w:rsidR="00694EDD">
              <w:rPr>
                <w:rFonts w:eastAsia="Times New Roman" w:asciiTheme="minorHAnsi" w:hAnsiTheme="minorHAnsi" w:cs="Arial"/>
                <w:color w:val="auto"/>
                <w:sz w:val="24"/>
                <w:szCs w:val="24"/>
                <w:bdr w:val="none" w:sz="0" w:space="0" w:color="auto"/>
                <w:lang w:eastAsia="cs-CZ"/>
              </w:rPr>
              <w:t>geriatrického pacienta rovněž klíčový. Je aktivně podporováno a</w:t>
            </w:r>
            <w:r w:rsidR="002831C0">
              <w:rPr>
                <w:rFonts w:eastAsia="Times New Roman" w:asciiTheme="minorHAnsi" w:hAnsiTheme="minorHAnsi" w:cs="Arial"/>
                <w:color w:val="auto"/>
                <w:sz w:val="24"/>
                <w:szCs w:val="24"/>
                <w:bdr w:val="none" w:sz="0" w:space="0" w:color="auto"/>
                <w:lang w:eastAsia="cs-CZ"/>
              </w:rPr>
              <w:t> </w:t>
            </w:r>
            <w:r w:rsidRPr="002831C0" w:rsidR="00694EDD">
              <w:rPr>
                <w:rFonts w:eastAsia="Times New Roman" w:asciiTheme="minorHAnsi" w:hAnsiTheme="minorHAnsi" w:cs="Arial"/>
                <w:color w:val="auto"/>
                <w:sz w:val="24"/>
                <w:szCs w:val="24"/>
                <w:bdr w:val="none" w:sz="0" w:space="0" w:color="auto"/>
                <w:lang w:eastAsia="cs-CZ"/>
              </w:rPr>
              <w:t xml:space="preserve">proklamováno zdravé stárnutí a jsou realizovány výzkumné aktivity v oblasti geriatrie a gerontologie.  </w:t>
            </w:r>
          </w:p>
          <w:p w:rsidR="00694EDD" w:rsidRPr="00021EEE" w:rsidP="00021EEE" w14:paraId="29DFAB21" w14:textId="77777777">
            <w:pPr>
              <w:keepNext/>
              <w:widowControl w:val="0"/>
              <w:suppressAutoHyphens/>
              <w:spacing w:line="276" w:lineRule="auto"/>
              <w:rPr>
                <w:rFonts w:cstheme="minorHAnsi"/>
                <w:b/>
                <w:bCs/>
                <w:sz w:val="24"/>
              </w:rPr>
            </w:pPr>
            <w:r w:rsidRPr="00021EEE">
              <w:rPr>
                <w:rFonts w:cstheme="minorHAnsi"/>
                <w:b/>
                <w:bCs/>
                <w:sz w:val="24"/>
              </w:rPr>
              <w:t>Prevence kardiovaskulárních onemocnění a rozvoj kardiologické péče</w:t>
            </w:r>
          </w:p>
          <w:p w:rsidR="002831C0" w:rsidRPr="002831C0" w:rsidP="002831C0" w14:paraId="224D81F8" w14:textId="127FCC2E">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 xml:space="preserve">Je podporován zdravý životní styl obyvatel což zahrnuje nejen edukaci o zdravé výživě, pohybových aktivitách a prevenci rizikových faktorů jako kouření, konzumace alkoholu či hypertenze, ale také motivaci k dlouhodobým a udržitelným výsledkům. Zároveň je zvyšována zdravotní gramotnost populace, aby jednotlivci byli schopni lépe porozumět svému zdraví, identifikovat potenciální rizika a efektivněji se zapojit do prevence, diagnostiky a léčby kardiovaskulárních chorob. Mimo to jsou dostupné a efektivně využívané preventivní prohlídky. </w:t>
            </w:r>
          </w:p>
          <w:p w:rsidR="00DE728C" w:rsidRPr="002831C0" w:rsidP="002831C0" w14:paraId="766DC8EB" w14:textId="6FA3EEB2">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Rehabilitačních programy zaměřené na podporu rekonvalescence pacientů po kardiovaskulárních příhodách jsou dostupné v místě i</w:t>
            </w:r>
            <w:r w:rsidR="002831C0">
              <w:rPr>
                <w:rFonts w:eastAsia="Times New Roman" w:asciiTheme="minorHAnsi" w:hAnsiTheme="minorHAnsi" w:cs="Arial"/>
                <w:color w:val="auto"/>
                <w:sz w:val="24"/>
                <w:szCs w:val="24"/>
                <w:bdr w:val="none" w:sz="0" w:space="0" w:color="auto"/>
                <w:lang w:eastAsia="cs-CZ"/>
              </w:rPr>
              <w:t> </w:t>
            </w:r>
            <w:r w:rsidRPr="002831C0">
              <w:rPr>
                <w:rFonts w:eastAsia="Times New Roman" w:asciiTheme="minorHAnsi" w:hAnsiTheme="minorHAnsi" w:cs="Arial"/>
                <w:color w:val="auto"/>
                <w:sz w:val="24"/>
                <w:szCs w:val="24"/>
                <w:bdr w:val="none" w:sz="0" w:space="0" w:color="auto"/>
                <w:lang w:eastAsia="cs-CZ"/>
              </w:rPr>
              <w:t>čase. Snižuje se počet rehospitalizací i díky včasné diagnostice pacientů s kardiovaskulárním onemocnění. Systém zdravotnické záchranné služby (ZZS) je optimalizován tak, aby zajišťoval dostatečně krátké dojezdové časy a pokrytí v rámci celé České republiky. Součástí systému péče o pacienty s kardiovaskulárními chorobami je také specializovaná ambulantní péče a zajištění dostatečného a kvalitního vzdělávání v oblasti kardiologie. Důležitou součástí modernizace kardiovaskulární péče je zavedení změn v úhradách ambulantní kardiologické, angiologické a primární péče, které umožní optimalizaci financování a zajištění kvalitní dostupnosti péče.</w:t>
            </w:r>
          </w:p>
          <w:p w:rsidR="00DE728C" w:rsidRPr="00021EEE" w:rsidP="00021EEE" w14:paraId="3D04A654" w14:textId="77777777">
            <w:pPr>
              <w:spacing w:line="276" w:lineRule="auto"/>
              <w:rPr>
                <w:rFonts w:cs="Arial"/>
                <w:sz w:val="24"/>
              </w:rPr>
            </w:pPr>
          </w:p>
          <w:p w:rsidR="00DE728C" w:rsidRPr="00021EEE" w:rsidP="00021EEE" w14:paraId="7BA86335" w14:textId="77777777">
            <w:pPr>
              <w:keepNext/>
              <w:widowControl w:val="0"/>
              <w:suppressAutoHyphens/>
              <w:spacing w:line="276" w:lineRule="auto"/>
              <w:rPr>
                <w:rFonts w:cstheme="minorHAnsi"/>
                <w:b/>
                <w:bCs/>
                <w:color w:val="000000" w:themeColor="text1"/>
                <w:sz w:val="24"/>
              </w:rPr>
            </w:pPr>
            <w:r w:rsidRPr="00021EEE">
              <w:rPr>
                <w:rFonts w:cstheme="minorHAnsi"/>
                <w:b/>
                <w:bCs/>
                <w:color w:val="000000" w:themeColor="text1"/>
                <w:sz w:val="24"/>
              </w:rPr>
              <w:t>Zvýšení dostupnosti a kvality rehabilitační péče</w:t>
            </w:r>
          </w:p>
          <w:p w:rsidR="00021EEE" w:rsidRPr="007E3FBE" w:rsidP="007E3FBE" w14:paraId="2D1E8B8E" w14:textId="5C95AE5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Cílem oblasti rehabilitační péče je vytvořit podmínky pro efektivní a</w:t>
            </w:r>
            <w:r w:rsidR="002831C0">
              <w:rPr>
                <w:rFonts w:eastAsia="Times New Roman" w:asciiTheme="minorHAnsi" w:hAnsiTheme="minorHAnsi" w:cs="Arial"/>
                <w:color w:val="auto"/>
                <w:sz w:val="24"/>
                <w:szCs w:val="24"/>
                <w:bdr w:val="none" w:sz="0" w:space="0" w:color="auto"/>
                <w:lang w:eastAsia="cs-CZ"/>
              </w:rPr>
              <w:t> </w:t>
            </w:r>
            <w:r w:rsidRPr="002831C0">
              <w:rPr>
                <w:rFonts w:eastAsia="Times New Roman" w:asciiTheme="minorHAnsi" w:hAnsiTheme="minorHAnsi" w:cs="Arial"/>
                <w:color w:val="auto"/>
                <w:sz w:val="24"/>
                <w:szCs w:val="24"/>
                <w:bdr w:val="none" w:sz="0" w:space="0" w:color="auto"/>
                <w:lang w:eastAsia="cs-CZ"/>
              </w:rPr>
              <w:t>udržitelný rozvoj této péče, který bude reflektovat současné potřeby pacientů, technologický pokrok a zároveň bude zajišťovat vysoký standard kvality, dostupnosti a personálního zajištění na všech úrovních rehabilitačního procesu a za využívání multidisciplinárního přístupu.</w:t>
            </w:r>
          </w:p>
          <w:p w:rsidR="00693346" w:rsidRPr="00021EEE" w:rsidP="00021EEE" w14:paraId="2BAE679F" w14:textId="77777777">
            <w:pPr>
              <w:keepNext/>
              <w:widowControl w:val="0"/>
              <w:suppressAutoHyphens/>
              <w:spacing w:line="276" w:lineRule="auto"/>
              <w:rPr>
                <w:rFonts w:cstheme="minorHAnsi"/>
                <w:b/>
                <w:bCs/>
                <w:sz w:val="24"/>
              </w:rPr>
            </w:pPr>
            <w:r w:rsidRPr="00021EEE">
              <w:rPr>
                <w:rFonts w:cstheme="minorHAnsi"/>
                <w:b/>
                <w:bCs/>
                <w:sz w:val="24"/>
              </w:rPr>
              <w:t>Prevence a léčba obezity</w:t>
            </w:r>
          </w:p>
          <w:p w:rsidR="00693346" w:rsidRPr="002831C0" w:rsidP="002831C0" w14:paraId="781B2465" w14:textId="7211E38F">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Cílem programového zaměření na prevenci a léčbu obezity v ČR je vedle změny samotného náhledu odborné i laické veřejnosti na toto progredující onemocnění především zvýšení zdravotní gramotnosti populace a její povědomí o zdravém životním stylu, a tím předejít vzniku obezity za současného zlepšení dostupnost účinné léčby, spolu se stanovenými pravidly úhrad v systému veřejného zdravotního pojištění. Součástí této změny musí být uznání potřeby preventivního přístupu k ohroženým populacím včasného záchytu a</w:t>
            </w:r>
            <w:r w:rsidR="002831C0">
              <w:rPr>
                <w:rFonts w:eastAsia="Times New Roman" w:asciiTheme="minorHAnsi" w:hAnsiTheme="minorHAnsi" w:cs="Arial"/>
                <w:color w:val="auto"/>
                <w:sz w:val="24"/>
                <w:szCs w:val="24"/>
                <w:bdr w:val="none" w:sz="0" w:space="0" w:color="auto"/>
                <w:lang w:eastAsia="cs-CZ"/>
              </w:rPr>
              <w:t> </w:t>
            </w:r>
            <w:r w:rsidRPr="002831C0">
              <w:rPr>
                <w:rFonts w:eastAsia="Times New Roman" w:asciiTheme="minorHAnsi" w:hAnsiTheme="minorHAnsi" w:cs="Arial"/>
                <w:color w:val="auto"/>
                <w:sz w:val="24"/>
                <w:szCs w:val="24"/>
                <w:bdr w:val="none" w:sz="0" w:space="0" w:color="auto"/>
                <w:lang w:eastAsia="cs-CZ"/>
              </w:rPr>
              <w:t>komplexní léčby již nemocných osob.</w:t>
            </w:r>
          </w:p>
          <w:p w:rsidR="00693346" w:rsidRPr="002831C0" w:rsidP="002831C0" w14:paraId="5221DCA9"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p>
          <w:p w:rsidR="00693346" w:rsidRPr="00021EEE" w:rsidP="00021EEE" w14:paraId="6CCE4DD5" w14:textId="77777777">
            <w:pPr>
              <w:keepNext/>
              <w:widowControl w:val="0"/>
              <w:suppressAutoHyphens/>
              <w:spacing w:line="276" w:lineRule="auto"/>
              <w:outlineLvl w:val="0"/>
              <w:rPr>
                <w:rFonts w:cstheme="minorHAnsi"/>
                <w:b/>
                <w:bCs/>
                <w:sz w:val="24"/>
              </w:rPr>
            </w:pPr>
            <w:bookmarkStart w:id="609" w:name="_Toc201691388"/>
            <w:bookmarkStart w:id="610" w:name="_Toc203386476"/>
            <w:bookmarkStart w:id="611" w:name="_Toc256000061"/>
            <w:r w:rsidRPr="00021EEE">
              <w:rPr>
                <w:rFonts w:cstheme="minorHAnsi"/>
                <w:b/>
                <w:bCs/>
                <w:sz w:val="24"/>
              </w:rPr>
              <w:t>Podpora onkologické péče</w:t>
            </w:r>
            <w:bookmarkEnd w:id="611"/>
            <w:bookmarkEnd w:id="609"/>
            <w:bookmarkEnd w:id="610"/>
          </w:p>
          <w:p w:rsidR="00D37617" w:rsidRPr="002831C0" w:rsidP="002831C0" w14:paraId="44DED0E7"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V případě onkologické péče se předpokládá, že systém bude nově nastaven tak, že ve specializovaných centrech bude probíhat vysoce specializovaná diagnostika a terapie a v případech následného stabilizovaného stavu je péče předávána až na úroveň praktických lékařů. Cílem je vytvořit systém, který rovnoměrně využívá kapacit.</w:t>
            </w:r>
          </w:p>
          <w:p w:rsidR="00693346" w:rsidRPr="007E3FBE" w:rsidP="007E3FBE" w14:paraId="2C662FCF" w14:textId="754E3132">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Klíčové je rovněž podnícení zájmu laické veřejnosti o prevenci vč. ochrany a podpory zdraví a zvyšování zdravotní gramotnosti v oblasti rizikových faktorů zhoubných nádorů. Důraz je kladen na zapojení pacientů a neformálních pečujících do celého strategického procesu. Nezbytné bude rovněž nastavení trvale udržitelné cesty boje se zhoubnými nádory, a to vč. multidisciplinární spolupráce v diagnostice a léčbě nádorových onemocnění, k dosažení co nejlepších výsledků léčby. Ruku v ruce musí jít i úzká spolupráce s plátci zdravotních a sociálních služeb, s nestátními neziskovými organizacemi a s dalšími spolupracujícími odbornostmi, které se podílejí na prevenci, diagnostice, léčbě i následné péči.</w:t>
            </w:r>
          </w:p>
          <w:p w:rsidR="00693346" w:rsidRPr="00021EEE" w:rsidP="00021EEE" w14:paraId="5849A3CD" w14:textId="77777777">
            <w:pPr>
              <w:keepNext/>
              <w:widowControl w:val="0"/>
              <w:suppressAutoHyphens/>
              <w:spacing w:line="276" w:lineRule="auto"/>
              <w:rPr>
                <w:rFonts w:cstheme="minorHAnsi"/>
                <w:b/>
                <w:bCs/>
                <w:color w:val="000000" w:themeColor="text1"/>
                <w:sz w:val="24"/>
              </w:rPr>
            </w:pPr>
            <w:r w:rsidRPr="00021EEE">
              <w:rPr>
                <w:rFonts w:cstheme="minorHAnsi"/>
                <w:b/>
                <w:bCs/>
                <w:color w:val="000000" w:themeColor="text1"/>
                <w:sz w:val="24"/>
              </w:rPr>
              <w:t>Rozvoj pediatrické péče</w:t>
            </w:r>
          </w:p>
          <w:p w:rsidR="00693346" w:rsidRPr="002831C0" w:rsidP="002831C0" w14:paraId="4BD7BA98" w14:textId="253DA47A">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 xml:space="preserve">Cílem podpory pediatrické péče je nastavení </w:t>
            </w:r>
            <w:bookmarkStart w:id="612" w:name="_Hlk190430222"/>
            <w:r w:rsidRPr="002831C0">
              <w:rPr>
                <w:rFonts w:eastAsia="Times New Roman" w:asciiTheme="minorHAnsi" w:hAnsiTheme="minorHAnsi" w:cs="Arial"/>
                <w:color w:val="auto"/>
                <w:sz w:val="24"/>
                <w:szCs w:val="24"/>
                <w:bdr w:val="none" w:sz="0" w:space="0" w:color="auto"/>
                <w:lang w:eastAsia="cs-CZ"/>
              </w:rPr>
              <w:t xml:space="preserve">dlouhodobého směřování v oblasti </w:t>
            </w:r>
            <w:bookmarkEnd w:id="612"/>
            <w:r w:rsidRPr="002831C0">
              <w:rPr>
                <w:rFonts w:eastAsia="Times New Roman" w:asciiTheme="minorHAnsi" w:hAnsiTheme="minorHAnsi" w:cs="Arial"/>
                <w:color w:val="auto"/>
                <w:sz w:val="24"/>
                <w:szCs w:val="24"/>
                <w:bdr w:val="none" w:sz="0" w:space="0" w:color="auto"/>
                <w:lang w:eastAsia="cs-CZ"/>
              </w:rPr>
              <w:t>poskytování zdravotních služeb dětem všech věkových kategorií. Zaměřuje se na multidisciplinární přístup a</w:t>
            </w:r>
            <w:r w:rsidR="002831C0">
              <w:rPr>
                <w:rFonts w:eastAsia="Times New Roman" w:asciiTheme="minorHAnsi" w:hAnsiTheme="minorHAnsi" w:cs="Arial"/>
                <w:color w:val="auto"/>
                <w:sz w:val="24"/>
                <w:szCs w:val="24"/>
                <w:bdr w:val="none" w:sz="0" w:space="0" w:color="auto"/>
                <w:lang w:eastAsia="cs-CZ"/>
              </w:rPr>
              <w:t> k</w:t>
            </w:r>
            <w:r w:rsidRPr="002831C0">
              <w:rPr>
                <w:rFonts w:eastAsia="Times New Roman" w:asciiTheme="minorHAnsi" w:hAnsiTheme="minorHAnsi" w:cs="Arial"/>
                <w:color w:val="auto"/>
                <w:sz w:val="24"/>
                <w:szCs w:val="24"/>
                <w:bdr w:val="none" w:sz="0" w:space="0" w:color="auto"/>
                <w:lang w:eastAsia="cs-CZ"/>
              </w:rPr>
              <w:t xml:space="preserve">omplexnost poskytovaných zdravotních služeb dětem cílených z velké části na prevenci, optimální fyzický a duševní vývoj. Zároveň však s rozvojem diagnostických a léčebných metod je nutné zaměřit komplexní přístup také na chronicky nemocné děti. </w:t>
            </w:r>
          </w:p>
          <w:p w:rsidR="00693346" w:rsidRPr="002831C0" w:rsidP="002831C0" w14:paraId="2AFC756E" w14:textId="77777777">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p>
          <w:p w:rsidR="00693346" w:rsidRPr="00021EEE" w:rsidP="00021EEE" w14:paraId="728D4A95" w14:textId="77777777">
            <w:pPr>
              <w:shd w:val="clear" w:color="auto" w:fill="FFFFFF"/>
              <w:spacing w:line="276" w:lineRule="auto"/>
              <w:ind w:right="113"/>
              <w:rPr>
                <w:rFonts w:cstheme="minorHAnsi"/>
                <w:b/>
                <w:bCs/>
                <w:sz w:val="24"/>
              </w:rPr>
            </w:pPr>
            <w:r w:rsidRPr="00021EEE">
              <w:rPr>
                <w:rFonts w:cstheme="minorHAnsi"/>
                <w:b/>
                <w:bCs/>
                <w:sz w:val="24"/>
              </w:rPr>
              <w:t>Podpora multidisciplinárního přístupu v péči o těhotné ženy, ženy při porodu, ženy v poporodním období, novorozence a jejich rodiny</w:t>
            </w:r>
          </w:p>
          <w:p w:rsidR="00693346" w:rsidRPr="002831C0" w:rsidP="002831C0" w14:paraId="5A17A60A" w14:textId="6172D26B">
            <w:pPr>
              <w:pStyle w:val="Text"/>
              <w:pBdr>
                <w:top w:val="none" w:sz="0" w:space="0" w:color="auto"/>
                <w:left w:val="none" w:sz="0" w:space="0" w:color="auto"/>
                <w:bottom w:val="none" w:sz="0" w:space="0" w:color="auto"/>
                <w:right w:val="none" w:sz="0" w:space="0" w:color="auto"/>
                <w:between w:val="none" w:sz="0" w:space="0" w:color="auto"/>
                <w:bar w:val="none" w:sz="0" w:space="0" w:color="auto"/>
              </w:pBdr>
              <w:spacing w:line="240" w:lineRule="auto"/>
              <w:ind w:left="0"/>
              <w:rPr>
                <w:rFonts w:eastAsia="Times New Roman" w:asciiTheme="minorHAnsi" w:hAnsiTheme="minorHAnsi" w:cs="Arial"/>
                <w:color w:val="auto"/>
                <w:sz w:val="24"/>
                <w:szCs w:val="24"/>
                <w:bdr w:val="none" w:sz="0" w:space="0" w:color="auto"/>
                <w:lang w:eastAsia="cs-CZ"/>
              </w:rPr>
            </w:pPr>
            <w:r w:rsidRPr="002831C0">
              <w:rPr>
                <w:rFonts w:eastAsia="Times New Roman" w:asciiTheme="minorHAnsi" w:hAnsiTheme="minorHAnsi" w:cs="Arial"/>
                <w:color w:val="auto"/>
                <w:sz w:val="24"/>
                <w:szCs w:val="24"/>
                <w:bdr w:val="none" w:sz="0" w:space="0" w:color="auto"/>
                <w:lang w:eastAsia="cs-CZ"/>
              </w:rPr>
              <w:t xml:space="preserve">Cílem je rozvoj center porodní asistence tak, aby těhotná žena v centru porodní asistence měla možnost navštěvovat prenatální poradnu vedenou porodní asistentkou, rodit v centru porodní asistence s porodní asistentkou a využít i poskytování zdravotních </w:t>
            </w:r>
            <w:r w:rsidRPr="002831C0">
              <w:rPr>
                <w:rFonts w:eastAsia="Times New Roman" w:asciiTheme="minorHAnsi" w:hAnsiTheme="minorHAnsi" w:cs="Arial"/>
                <w:color w:val="auto"/>
                <w:sz w:val="24"/>
                <w:szCs w:val="24"/>
                <w:bdr w:val="none" w:sz="0" w:space="0" w:color="auto"/>
                <w:lang w:eastAsia="cs-CZ"/>
              </w:rPr>
              <w:t>služeb porodní asistentkou v poporodním období (využít návštěvní činnosti porodní asistentky z centra porodní asistence v jejím sociálním prostředí, případně by žena měla možnost za porodní asistentkou dojít v poporodním období osobně do centra porodní asistence). Kontinuita zdravotních služeb by byla zachována i ve sledování novorozenců a zadávání údajů do Národního registru reprodukčního zdraví – modulu novorozenců. Dochází také k rozvoji péče o duševní zdraví těhotných žen a žen v poporodním období a</w:t>
            </w:r>
            <w:r w:rsidR="002831C0">
              <w:rPr>
                <w:rFonts w:eastAsia="Times New Roman" w:asciiTheme="minorHAnsi" w:hAnsiTheme="minorHAnsi" w:cs="Arial"/>
                <w:color w:val="auto"/>
                <w:sz w:val="24"/>
                <w:szCs w:val="24"/>
                <w:bdr w:val="none" w:sz="0" w:space="0" w:color="auto"/>
                <w:lang w:eastAsia="cs-CZ"/>
              </w:rPr>
              <w:t> </w:t>
            </w:r>
            <w:r w:rsidRPr="002831C0">
              <w:rPr>
                <w:rFonts w:eastAsia="Times New Roman" w:asciiTheme="minorHAnsi" w:hAnsiTheme="minorHAnsi" w:cs="Arial"/>
                <w:color w:val="auto"/>
                <w:sz w:val="24"/>
                <w:szCs w:val="24"/>
                <w:bdr w:val="none" w:sz="0" w:space="0" w:color="auto"/>
                <w:lang w:eastAsia="cs-CZ"/>
              </w:rPr>
              <w:t xml:space="preserve">k podpoře gynekologické fyzioterapie. </w:t>
            </w:r>
          </w:p>
          <w:p w:rsidR="00D37617" w:rsidRPr="00021EEE" w:rsidP="00021EEE" w14:paraId="0EE05E67" w14:textId="77777777">
            <w:pPr>
              <w:spacing w:line="276" w:lineRule="auto"/>
              <w:rPr>
                <w:rFonts w:cs="Arial"/>
                <w:sz w:val="24"/>
              </w:rPr>
            </w:pPr>
          </w:p>
        </w:tc>
      </w:tr>
      <w:tr w14:paraId="4EC0FD66"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7617" w:rsidRPr="00A955AF" w:rsidP="00B56B1A" w14:paraId="1517C0FB"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D37617" w:rsidRPr="00520F1D" w:rsidP="00B56B1A" w14:paraId="4B531E5F" w14:textId="39FE4F29">
            <w:pPr>
              <w:rPr>
                <w:rFonts w:cs="Arial"/>
                <w:sz w:val="24"/>
              </w:rPr>
            </w:pPr>
            <w:r w:rsidRPr="00A955AF">
              <w:rPr>
                <w:rFonts w:cs="Arial"/>
                <w:sz w:val="24"/>
                <w:szCs w:val="22"/>
              </w:rPr>
              <w:t xml:space="preserve">Státní rozpočet, fondy EU, </w:t>
            </w:r>
            <w:r w:rsidRPr="008F2CA4" w:rsidR="008F2CA4">
              <w:rPr>
                <w:rFonts w:cs="Arial"/>
                <w:sz w:val="24"/>
                <w:szCs w:val="22"/>
              </w:rPr>
              <w:t>Fondy EHP/Norska</w:t>
            </w:r>
            <w:r w:rsidRPr="00A955AF">
              <w:rPr>
                <w:rFonts w:cs="Arial"/>
                <w:sz w:val="24"/>
                <w:szCs w:val="22"/>
              </w:rPr>
              <w:t xml:space="preserve">, </w:t>
            </w:r>
            <w:r w:rsidRPr="00A955AF">
              <w:rPr>
                <w:rFonts w:cs="Arial"/>
                <w:sz w:val="24"/>
              </w:rPr>
              <w:t xml:space="preserve">a další donoři. </w:t>
            </w:r>
          </w:p>
        </w:tc>
      </w:tr>
    </w:tbl>
    <w:p w:rsidR="002831C0" w:rsidP="00D37617" w14:paraId="28D8D712" w14:textId="13E306BD">
      <w:pPr>
        <w:rPr>
          <w:rFonts w:cs="Arial"/>
          <w:sz w:val="24"/>
        </w:rPr>
      </w:pPr>
    </w:p>
    <w:p w:rsidR="002831C0" w14:paraId="07862D05" w14:textId="77777777">
      <w:pPr>
        <w:spacing w:before="0" w:line="264" w:lineRule="auto"/>
        <w:jc w:val="left"/>
        <w:rPr>
          <w:rFonts w:cs="Arial"/>
          <w:sz w:val="24"/>
        </w:rPr>
      </w:pPr>
      <w:r>
        <w:rPr>
          <w:rFonts w:cs="Arial"/>
          <w:sz w:val="24"/>
        </w:rPr>
        <w:br w:type="page"/>
      </w:r>
    </w:p>
    <w:p w:rsidR="00741CBA" w:rsidRPr="00021EEE" w:rsidP="00D63B35" w14:paraId="5E56F2FB" w14:textId="6C2FA405">
      <w:pPr>
        <w:pStyle w:val="NA2"/>
      </w:pPr>
      <w:bookmarkStart w:id="613" w:name="_Toc256000062"/>
      <w:r>
        <w:t xml:space="preserve">SC 2.8 </w:t>
      </w:r>
      <w:r w:rsidRPr="007960F5" w:rsidR="007960F5">
        <w:t>Zvýšení kvality poskytovaných zdravotních služeb v ČR</w:t>
      </w:r>
      <w:bookmarkEnd w:id="613"/>
    </w:p>
    <w:p w:rsidR="007960F5" w:rsidRPr="0070747B" w:rsidP="0070747B" w14:paraId="5DA64019" w14:textId="77777777">
      <w:pPr>
        <w:rPr>
          <w:color w:val="000000" w:themeColor="text1"/>
          <w:sz w:val="24"/>
        </w:rPr>
      </w:pPr>
      <w:r w:rsidRPr="0070747B">
        <w:rPr>
          <w:color w:val="000000" w:themeColor="text1"/>
          <w:sz w:val="24"/>
        </w:rPr>
        <w:t xml:space="preserve">Tento cíl byl do Strategického rámce Zdraví 2035 zařazen ve vazbě na aktualizaci a prolongaci Strategického rámce rozvoje péče o zdraví v České republice do roku 2030. Zaměřuje se na aktivity Ministerstva zdravotnictví, které mají pozitivní vliv na zvyšování úrovně kvality poskytovaných zdravotních služeb (implementace mezinárodních programů na podporu zdraví a odvykání kouření, participace v projektu Národní hodnocení spokojenosti pacientů, posílení spolupráce s pacientskými organizacemi) a současně svou implementací umožňují zvýšení efektivity personálních kapacit u poskytovatelů lůžkové péče (zavedení programu dobrovolnictví ve zdravotnictví, zřízení ombudsosoby). </w:t>
      </w:r>
    </w:p>
    <w:p w:rsidR="007960F5" w:rsidRPr="0070747B" w:rsidP="0070747B" w14:paraId="4DF5DF37" w14:textId="77777777">
      <w:pPr>
        <w:rPr>
          <w:b/>
          <w:color w:val="000000" w:themeColor="text1"/>
          <w:sz w:val="24"/>
        </w:rPr>
      </w:pPr>
      <w:r w:rsidRPr="0070747B">
        <w:rPr>
          <w:b/>
          <w:color w:val="000000" w:themeColor="text1"/>
          <w:sz w:val="24"/>
        </w:rPr>
        <w:t>Dobrovolnictví ve zdravotnictví</w:t>
      </w:r>
    </w:p>
    <w:p w:rsidR="007960F5" w:rsidRPr="0070747B" w:rsidP="0070747B" w14:paraId="6C811C8A" w14:textId="5C2ED0CC">
      <w:pPr>
        <w:rPr>
          <w:color w:val="000000" w:themeColor="text1"/>
          <w:sz w:val="24"/>
        </w:rPr>
      </w:pPr>
      <w:r w:rsidRPr="0070747B">
        <w:rPr>
          <w:color w:val="000000" w:themeColor="text1"/>
          <w:sz w:val="24"/>
        </w:rPr>
        <w:t>Dosažením stanovených dílčích cílů IP 2.8 bude zdravotní systém efektivní, lidský a podporující zdraví celé společnosti v souladu s moderními principy sociální spravedlnosti. Toho má být dosaženo mimo jiné prostřednictvím komplexní podpory a rozvojem dobrovolnictví ve zdravotnictví s cílem maximálně využít potenciálu, které českému zdravotnictví tyto iniciativy nabízí. Činnost dobrovolníků v rámci dobrovolnických programů u poskytovatelů zdravotních služeb MZD vnímá jako důležitou součást poskytovaných zdravotních služeb, neboť výraznou měrou přispívá ke zlepšení celkového prostředí v nemocnicích. S cílem navýšení počtu PZS, kteří mají zaveden dobrovolnický program, se chce MZD zaměřit na systematickou podporu stávajících PZS s dobrovolnickým programem ve zdravotnictví, systematickou a metodickou podporu poskytovatelů zdravotních služeb, kteří s</w:t>
      </w:r>
      <w:r w:rsidR="007E3FBE">
        <w:rPr>
          <w:color w:val="000000" w:themeColor="text1"/>
          <w:sz w:val="24"/>
        </w:rPr>
        <w:t> </w:t>
      </w:r>
      <w:r w:rsidRPr="0070747B">
        <w:rPr>
          <w:color w:val="000000" w:themeColor="text1"/>
          <w:sz w:val="24"/>
        </w:rPr>
        <w:t xml:space="preserve">dobrovolnickým programem začínají a komunikaci přínosů pro PZS, kteří o zavedení dobrovolnického programu ještě např. neuvažovali. Předpokládá se aktualizace a rozšiřování </w:t>
      </w:r>
      <w:hyperlink r:id="rId51" w:history="1">
        <w:r w:rsidRPr="0070747B">
          <w:rPr>
            <w:rStyle w:val="Hyperlink"/>
            <w:color w:val="000000" w:themeColor="text1"/>
            <w:sz w:val="24"/>
          </w:rPr>
          <w:t>komplexní metodiky</w:t>
        </w:r>
      </w:hyperlink>
      <w:r w:rsidRPr="0070747B">
        <w:rPr>
          <w:color w:val="000000" w:themeColor="text1"/>
          <w:sz w:val="24"/>
        </w:rPr>
        <w:t xml:space="preserve"> podle potřeb koordinátorů dobrovolnictví ve zdravotnictví a nových forem dobrovolnictví. Dále vytvoření a průběžná aktualizace funkční platformy s komplexními informacemi o dobrovolnictví ve zdravotnictví určené pro odbornou i širokou veřejnost na internetových stránkách MZD; posílení činnosti Pracovní skupiny pro dobrovolnictví ve zdravotnictví (poradní a iniciační orgán MZD s cílem ukotvit, rozvíjet a podporovat dobrovolnickou činnost v rámci strategie zdravotní politiky na národní, regionální a lokální úrovni) a zvýšení kvality a efektivity komunikace s dotčenými subjekty. Dílčí cíl 2.8.1 se chce zaměřit i na nastavení spolupráce MZD s dobrovolnickými neziskovými organizacemi (vč. pacientských organizací) a poskytování informací, včetně metodické podpory, pořádání vzdělávacích akcí (semináře, workshopy) zejména pro koordinátory dobrovolnických programů u PZS včetně koordinátorů dobrovolnických neziskových organizací podílejících se nebo zajišťujících dobrovolnické programy u poskytovatelů zdravotních služeb.  </w:t>
      </w:r>
    </w:p>
    <w:p w:rsidR="007960F5" w:rsidRPr="0070747B" w:rsidP="0070747B" w14:paraId="3030D8FD" w14:textId="77777777">
      <w:pPr>
        <w:rPr>
          <w:b/>
          <w:color w:val="000000" w:themeColor="text1"/>
          <w:sz w:val="24"/>
        </w:rPr>
      </w:pPr>
      <w:r w:rsidRPr="0070747B">
        <w:rPr>
          <w:b/>
          <w:color w:val="000000" w:themeColor="text1"/>
          <w:sz w:val="24"/>
        </w:rPr>
        <w:t xml:space="preserve">Mezinárodní programy (HPH, GNTH) </w:t>
      </w:r>
    </w:p>
    <w:p w:rsidR="007960F5" w:rsidRPr="0070747B" w:rsidP="0070747B" w14:paraId="5D012951" w14:textId="58750D57">
      <w:pPr>
        <w:rPr>
          <w:color w:val="000000" w:themeColor="text1"/>
          <w:sz w:val="24"/>
        </w:rPr>
      </w:pPr>
      <w:r w:rsidRPr="0070747B">
        <w:rPr>
          <w:color w:val="000000" w:themeColor="text1"/>
          <w:sz w:val="24"/>
        </w:rPr>
        <w:t>Další významnou aktivitou, která přispěje k plnění specifického cíle 2.8 je záměrem rozvoj mezinárodních iniciativ International Network of Health Promoting Hospitals &amp; Health Services – “Nemocnice a zdravotnická zařízení podporující zdraví” a The Global Network for Tobacco Free Healthcare Services – “Nemocnice a zdravotnická zařízení bez tabáku”, které hrají důležitou roli při zvyšování kvality zdravotních služeb ve zdravotnických zařízeních. Iniciativa “Nemocnice a zdravotnická zařízení podporující zdraví” motivuje zdravotnická zařízení prostřednictvím pěti standardů k podpoře zdraví a prevenci nemocí. “Nemocnice a</w:t>
      </w:r>
      <w:r w:rsidR="007E3FBE">
        <w:rPr>
          <w:color w:val="000000" w:themeColor="text1"/>
          <w:sz w:val="24"/>
        </w:rPr>
        <w:t> </w:t>
      </w:r>
      <w:r w:rsidRPr="0070747B">
        <w:rPr>
          <w:color w:val="000000" w:themeColor="text1"/>
          <w:sz w:val="24"/>
        </w:rPr>
        <w:t>zdravotnická zařízení bez tabáku” prostřednictvím osmi standardů dává vodítko k tomu, jak odstranit tabákové výrobky ze zdravotnických zařízeních a přeneseně i z domácností. I v této oblasti je cílem IP 2.8 systematická a metodická podpora pro nové i stávající členy sítě HPH a</w:t>
      </w:r>
      <w:r w:rsidR="007E3FBE">
        <w:rPr>
          <w:color w:val="000000" w:themeColor="text1"/>
          <w:sz w:val="24"/>
        </w:rPr>
        <w:t> </w:t>
      </w:r>
      <w:r w:rsidRPr="0070747B">
        <w:rPr>
          <w:color w:val="000000" w:themeColor="text1"/>
          <w:sz w:val="24"/>
        </w:rPr>
        <w:t xml:space="preserve">GNTH a snaha o jejich rozšíření.  Dále administrace národních sítí GNTH a HPH, aktualizace webových stránek MZD, pořádání setkání PZS za účelem zajištění sdílení dobré praxe </w:t>
      </w:r>
      <w:r w:rsidRPr="0070747B">
        <w:rPr>
          <w:color w:val="000000" w:themeColor="text1"/>
          <w:sz w:val="24"/>
        </w:rPr>
        <w:t>a</w:t>
      </w:r>
      <w:r w:rsidR="007E3FBE">
        <w:rPr>
          <w:color w:val="000000" w:themeColor="text1"/>
          <w:sz w:val="24"/>
        </w:rPr>
        <w:t> </w:t>
      </w:r>
      <w:r w:rsidRPr="0070747B">
        <w:rPr>
          <w:color w:val="000000" w:themeColor="text1"/>
          <w:sz w:val="24"/>
        </w:rPr>
        <w:t>zkušeností nejen pro členy národní sítě, ale i pro případné zájemce o zařazení do sítě, realizace mediální kampaně k propagaci mezinárodní iniciativy a získávání nových členů. K</w:t>
      </w:r>
      <w:r w:rsidR="007E3FBE">
        <w:rPr>
          <w:color w:val="000000" w:themeColor="text1"/>
          <w:sz w:val="24"/>
        </w:rPr>
        <w:t> </w:t>
      </w:r>
      <w:r w:rsidRPr="0070747B">
        <w:rPr>
          <w:color w:val="000000" w:themeColor="text1"/>
          <w:sz w:val="24"/>
        </w:rPr>
        <w:t>eliminaci překážek spojených s jazykovou bariérou budou zajišťovány překlady materiálů zpracovaných mezinárodní iniciativou do českého jazyka s cílem zjednodušení následné realizace a aplikace těchto materiálů (např. standardů a dalších dokumentů) do praxe zdravotnických zařízení.</w:t>
      </w:r>
    </w:p>
    <w:p w:rsidR="007960F5" w:rsidRPr="0070747B" w:rsidP="0070747B" w14:paraId="109AE63D" w14:textId="77777777">
      <w:pPr>
        <w:rPr>
          <w:b/>
          <w:color w:val="000000" w:themeColor="text1"/>
          <w:sz w:val="24"/>
        </w:rPr>
      </w:pPr>
      <w:r w:rsidRPr="0070747B">
        <w:rPr>
          <w:b/>
          <w:color w:val="000000" w:themeColor="text1"/>
          <w:sz w:val="24"/>
        </w:rPr>
        <w:t>Národní hodnocení spokojenosti pacientů (NHSP)</w:t>
      </w:r>
    </w:p>
    <w:p w:rsidR="007960F5" w:rsidRPr="0070747B" w:rsidP="0070747B" w14:paraId="217F7586" w14:textId="5B954025">
      <w:pPr>
        <w:rPr>
          <w:color w:val="000000" w:themeColor="text1"/>
          <w:sz w:val="24"/>
        </w:rPr>
      </w:pPr>
      <w:r w:rsidRPr="0070747B">
        <w:rPr>
          <w:color w:val="000000" w:themeColor="text1"/>
          <w:sz w:val="24"/>
        </w:rPr>
        <w:t>Pro zvyšování kvality zdravotních služeb je obecně velmi důležitá i zpětná vazba pacientů, kteří s poskytovanými službami přicházejí přímo do kontaktu. Proto se tento strategický rámec zaměřuje na rozvoj projektu Národní hodnocení spokojenosti pacientů v jeho obou stávajících modulech a jeho rozšíření na moduly další, které budou reflektovat systémovou potřebu. V rámci doby platnosti Strategického rámce Zdraví 2035 plánuje MZD převedení hodnocení lůžkové péče ze sběru papírových dotazníků v omezeném období sběru dat na plně elektronický sběr s kontinuálními výsledky, který byl plně osvědčen a ověřen v rámci sledování spokojenosti ambulantní péče. Tím by došlo k obrovskému přínosu pro PZS stran kvality dat, efektivity práce, datových analýz atd. Nad rámec toho bude NHSP rozšířeno o nové moduly, které mají svá specifika a je nutné je technicky dopracovat do stávající online platformy. Aktuálně je zapojených 46 PZS (sledování lůžkové péče) a 14 PZS pro sledování ambulantní péče nebo obou forem péče. Cílem MZD je v rámci tohoto strategického rámce cílit na rozšíření projektu NSHP jako dominantního nástroje pro sledování spokojenosti v ČR, a to např. prostřednictvím optimalizace softwarového řešení projektu NHSP ve smyslu vývoje a</w:t>
      </w:r>
      <w:r w:rsidR="007E3FBE">
        <w:rPr>
          <w:color w:val="000000" w:themeColor="text1"/>
          <w:sz w:val="24"/>
        </w:rPr>
        <w:t> </w:t>
      </w:r>
      <w:r w:rsidRPr="0070747B">
        <w:rPr>
          <w:color w:val="000000" w:themeColor="text1"/>
          <w:sz w:val="24"/>
        </w:rPr>
        <w:t>zapracování úprav stávajícího softwarového řešení a nastavení vyšší uživatelské přívětivosti systému, rozšíření datových analýz a rozšíření o jazykové mutace dotazníků. Proběhne revize stávajících metodik pro NHSP v lůžkové i ambulantní péči, záměrem je též vytvoření hepldesku pro členy NHSP, který by umožňoval efektivní a transparentní řešení všech dotazů či podnětů.</w:t>
      </w:r>
      <w:r w:rsidRPr="0070747B">
        <w:rPr>
          <w:color w:val="000000" w:themeColor="text1"/>
        </w:rPr>
        <w:t xml:space="preserve"> </w:t>
      </w:r>
    </w:p>
    <w:p w:rsidR="007960F5" w:rsidRPr="0070747B" w:rsidP="0070747B" w14:paraId="31CC5479" w14:textId="77777777">
      <w:pPr>
        <w:pStyle w:val="Bntext"/>
        <w:spacing w:line="240" w:lineRule="auto"/>
        <w:ind w:firstLine="0"/>
        <w:rPr>
          <w:rFonts w:cstheme="minorHAnsi"/>
          <w:b/>
          <w:bCs/>
          <w:color w:val="000000" w:themeColor="text1"/>
          <w:sz w:val="24"/>
          <w:lang w:val="cs-CZ"/>
        </w:rPr>
      </w:pPr>
      <w:r w:rsidRPr="0070747B">
        <w:rPr>
          <w:rFonts w:cstheme="minorHAnsi"/>
          <w:b/>
          <w:bCs/>
          <w:color w:val="000000" w:themeColor="text1"/>
          <w:sz w:val="24"/>
          <w:lang w:val="cs-CZ"/>
        </w:rPr>
        <w:t>Zapojení pacientů a veřejnosti do tvorby zdravotních politik</w:t>
      </w:r>
    </w:p>
    <w:p w:rsidR="007960F5" w:rsidRPr="0070747B" w:rsidP="0070747B" w14:paraId="06D161AE" w14:textId="0904B55A">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Pro zajištění legitimity a důvěryhodnosti rozhodovacích procesů je nezbytné systematicky rozšiřovat zapojení pacientů a veřejnosti do tvorby zdravotních politik. Strategickým krokem je vytvoření rámcových dokumentů, které participaci ukotví jako standardní součást policy cycle. Tyto dokumenty poskytnou jasné vymezení principů a cílů, stanoví role jednotlivých aktérů a nastaví mechanismy spolupráce. Na ně budou navazovat metodické materiály s</w:t>
      </w:r>
      <w:r w:rsidR="007E3FBE">
        <w:rPr>
          <w:rFonts w:cstheme="minorHAnsi"/>
          <w:color w:val="000000" w:themeColor="text1"/>
          <w:sz w:val="24"/>
          <w:lang w:val="cs-CZ"/>
        </w:rPr>
        <w:t> </w:t>
      </w:r>
      <w:r w:rsidRPr="0070747B">
        <w:rPr>
          <w:rFonts w:cstheme="minorHAnsi"/>
          <w:color w:val="000000" w:themeColor="text1"/>
          <w:sz w:val="24"/>
          <w:lang w:val="cs-CZ"/>
        </w:rPr>
        <w:t>praktickými postupy a doporučeními, které zajistí jednotný a předvídatelný proces konzultací a zapojování. Součástí tohoto přístupu je i implementace Koncepce participace (KOPA 2030), která musí být nejen formálně přijata, ale i reálně využívána v každodenní praxi ministerstva a dalších institucí. Participace se tak stane pevnou součástí tvorby, realizace i evaluace politik.</w:t>
      </w:r>
    </w:p>
    <w:p w:rsidR="007960F5" w:rsidRPr="0070747B" w:rsidP="0070747B" w14:paraId="299CFAC6" w14:textId="77777777">
      <w:pPr>
        <w:pStyle w:val="Bntext"/>
        <w:spacing w:line="240" w:lineRule="auto"/>
        <w:ind w:firstLine="0"/>
        <w:rPr>
          <w:rFonts w:cstheme="minorHAnsi"/>
          <w:b/>
          <w:bCs/>
          <w:color w:val="000000" w:themeColor="text1"/>
          <w:sz w:val="24"/>
          <w:lang w:val="cs-CZ"/>
        </w:rPr>
      </w:pPr>
      <w:r w:rsidRPr="0070747B">
        <w:rPr>
          <w:rFonts w:cstheme="minorHAnsi"/>
          <w:b/>
          <w:bCs/>
          <w:color w:val="000000" w:themeColor="text1"/>
          <w:sz w:val="24"/>
          <w:lang w:val="cs-CZ"/>
        </w:rPr>
        <w:t>Rovnost mezi aktéry ve zdravotnictví a role Pacientské rady</w:t>
      </w:r>
    </w:p>
    <w:p w:rsidR="007960F5" w:rsidP="0070747B" w14:paraId="064D3801" w14:textId="77777777">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Partnerský přístup nelze dosáhnout bez rovnosti mezi aktéry, a proto je nutné dále posilovat a nastavovat podmínky, které k tomu přispějí. Institucionální zakotvení Pacientské rady prostřednictvím Statutu a Jednacího řádu poskytlo základ, na který navazujeme ve 3. funkčním období. Vycházíme z proběhlé evaluace a Statut a jednací řád odrážejí zjištění právě z ní. Její výsledky budou reflektovány I v praxi poradního orgánu a fungování gesčního útvaru. Zásadní je zajistit, aby doporučení Pacientské rady byla systematicky zohledňována při tvorbě strategických materiálů a politik. Podpora rovnosti bude dále posílena prostřednictvím informování a komunikace interní i externí. V případě vhodného nastavení lze využít i digitální platformy z oblasti civic-tech.</w:t>
      </w:r>
    </w:p>
    <w:p w:rsidR="007E3FBE" w:rsidRPr="0070747B" w:rsidP="0070747B" w14:paraId="6F7D1CFE" w14:textId="77777777">
      <w:pPr>
        <w:pStyle w:val="Bntext"/>
        <w:spacing w:line="240" w:lineRule="auto"/>
        <w:ind w:firstLine="0"/>
        <w:rPr>
          <w:rFonts w:cstheme="minorHAnsi"/>
          <w:color w:val="000000" w:themeColor="text1"/>
          <w:sz w:val="24"/>
          <w:lang w:val="cs-CZ"/>
        </w:rPr>
      </w:pPr>
    </w:p>
    <w:p w:rsidR="007960F5" w:rsidRPr="0070747B" w:rsidP="0070747B" w14:paraId="5B6A2912" w14:textId="77777777">
      <w:pPr>
        <w:pStyle w:val="Bntext"/>
        <w:spacing w:line="240" w:lineRule="auto"/>
        <w:ind w:firstLine="0"/>
        <w:rPr>
          <w:rFonts w:cstheme="minorHAnsi"/>
          <w:b/>
          <w:bCs/>
          <w:color w:val="000000" w:themeColor="text1"/>
          <w:sz w:val="24"/>
          <w:lang w:val="cs-CZ"/>
        </w:rPr>
      </w:pPr>
      <w:r w:rsidRPr="0070747B">
        <w:rPr>
          <w:rFonts w:cstheme="minorHAnsi"/>
          <w:b/>
          <w:bCs/>
          <w:color w:val="000000" w:themeColor="text1"/>
          <w:sz w:val="24"/>
          <w:lang w:val="cs-CZ"/>
        </w:rPr>
        <w:t>Podpora pacientských organizací</w:t>
      </w:r>
    </w:p>
    <w:p w:rsidR="007960F5" w:rsidRPr="0070747B" w:rsidP="0070747B" w14:paraId="12B685E9" w14:textId="57A5F786">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Pacientské organizace představují nezastupitelné aktéry participativního procesu. Aby mohly tuto roli plnit plnohodnotně, je nutné zajistit jim stabilní zázemí. Strategická opatření se proto zaměřují na posílení jejich kapacit prostřednictvím dlouhodobého rámce financování, který umožní jejich profesionalizaci a rozvoj. Důležitým prvkem je také systematická komunikace směrem k pacientským organizacím a veřejnosti. Pravidelné publikování článků a výzev na portálu pro pacienty a pacientské organizace zajistí informovanost, transparentnost a</w:t>
      </w:r>
      <w:r w:rsidR="007E3FBE">
        <w:rPr>
          <w:rFonts w:cstheme="minorHAnsi"/>
          <w:color w:val="000000" w:themeColor="text1"/>
          <w:sz w:val="24"/>
          <w:lang w:val="cs-CZ"/>
        </w:rPr>
        <w:t> </w:t>
      </w:r>
      <w:r w:rsidRPr="0070747B">
        <w:rPr>
          <w:rFonts w:cstheme="minorHAnsi"/>
          <w:color w:val="000000" w:themeColor="text1"/>
          <w:sz w:val="24"/>
          <w:lang w:val="cs-CZ"/>
        </w:rPr>
        <w:t>možnost aktivního zapojení širšího spektra subjektů. Tímto způsobem budou pacientské organizace motivovány a podporovány v tom, aby se staly rovnocennými partnery v rámci strategického dialogu o zdravotní politice.</w:t>
      </w:r>
    </w:p>
    <w:p w:rsidR="007960F5" w:rsidRPr="0070747B" w:rsidP="0070747B" w14:paraId="7F3C0479" w14:textId="77777777">
      <w:pPr>
        <w:pStyle w:val="Bntext"/>
        <w:spacing w:line="240" w:lineRule="auto"/>
        <w:ind w:firstLine="0"/>
        <w:rPr>
          <w:rFonts w:cstheme="minorHAnsi"/>
          <w:color w:val="000000" w:themeColor="text1"/>
          <w:sz w:val="24"/>
          <w:lang w:val="cs-CZ"/>
        </w:rPr>
      </w:pPr>
      <w:r w:rsidRPr="0070747B">
        <w:rPr>
          <w:rFonts w:cstheme="minorHAnsi"/>
          <w:b/>
          <w:bCs/>
          <w:color w:val="000000" w:themeColor="text1"/>
          <w:sz w:val="24"/>
          <w:lang w:val="cs-CZ"/>
        </w:rPr>
        <w:t>Kvalitní komunikace mezi poskytovateli a pacienty</w:t>
      </w:r>
      <w:r w:rsidRPr="0070747B">
        <w:rPr>
          <w:rFonts w:cstheme="minorHAnsi"/>
          <w:color w:val="000000" w:themeColor="text1"/>
          <w:sz w:val="24"/>
          <w:lang w:val="cs-CZ"/>
        </w:rPr>
        <w:t> </w:t>
      </w:r>
    </w:p>
    <w:p w:rsidR="007960F5" w:rsidRPr="0070747B" w:rsidP="0070747B" w14:paraId="3C848514" w14:textId="77777777">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Zlepšení komunikace mezi zdravotnickým personálem a pacienty je jedním ze stěžejních předpokladů posunu českého zdravotnictví k více partnerskému modelu péče. Návrhová část proto musí směřovat k vytvoření jednotného rámce, který propojí vzdělávání, institucionální podporu, a to vše v mezích kompetencí MZD. </w:t>
      </w:r>
    </w:p>
    <w:p w:rsidR="007960F5" w:rsidRPr="0070747B" w:rsidP="0070747B" w14:paraId="42F21221" w14:textId="77777777">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Prvním krokem je posílení role ombudsmanů ve zdravotnictví a její legislativní zakotvení. Ombudsman se (od účinnosti novely zákona o zdravotních službách 1.1.2026) stane povinnou součástí všech zařízení poskytujících lůžkovou péči. Jeho mandát je jasně vymezen metodickým pokynem Ministerstva zdravotnictví, aby byla zajištěna jednotnost výkonu funkce napříč republikou. Současně by mělo dojít k oficiálnímu zakotvení profese ombudsmana do katalogu prací i do národní soustavy povolání, čímž by se role stala standardizovanou, s jasně definovanými kompetencemi, kvalifikačními požadavky a možností systematického profesního rozvoje. Ombudsman by měl mít možnost aktivně vstupovat do řešení stížností, navrhovat systémové změny a sloužit jako prostředník pro komunikaci mezi pacienty, rodinnými příslušníky a vedením nemocnic. Součástí procesu by měl být také povinný reporting činnosti, aby bylo možné vyhodnocovat trendy a reagovat na opakující se problémy. </w:t>
      </w:r>
    </w:p>
    <w:p w:rsidR="007960F5" w:rsidRPr="0070747B" w:rsidP="0070747B" w14:paraId="5BAE48DD" w14:textId="7BD5BC52">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 xml:space="preserve">Dalším důležitým opatřením je systematické vzdělávání zdravotnického personálu v oblasti komunikačních dovedností a práv pacientů. To by mělo probíhat na dvou úrovních – jednak jako součást pregraduální výuky na všech lékařských a zdravotnických školách, jednak formou pravidelných povinných školení pro pracovníky v praxi. Využít lze existující modely, například univerzitní předmět </w:t>
      </w:r>
      <w:r w:rsidRPr="0070747B">
        <w:rPr>
          <w:rFonts w:cstheme="minorHAnsi"/>
          <w:i/>
          <w:iCs/>
          <w:color w:val="000000" w:themeColor="text1"/>
          <w:sz w:val="24"/>
          <w:lang w:val="cs-CZ"/>
        </w:rPr>
        <w:t>Pacient jako partner</w:t>
      </w:r>
      <w:r w:rsidRPr="0070747B">
        <w:rPr>
          <w:rFonts w:cstheme="minorHAnsi"/>
          <w:color w:val="000000" w:themeColor="text1"/>
          <w:sz w:val="24"/>
          <w:lang w:val="cs-CZ"/>
        </w:rPr>
        <w:t>, který je možné rozšířit do širšího spektra vzdělávacích institucí a doplnit o aktivní zapojení pacientů do výuky odborných předmětů na lékařských fakultách. Posilování komunikačních kompetencí lze zároveň realizovat i</w:t>
      </w:r>
      <w:r w:rsidR="007E3FBE">
        <w:rPr>
          <w:rFonts w:cstheme="minorHAnsi"/>
          <w:color w:val="000000" w:themeColor="text1"/>
          <w:sz w:val="24"/>
          <w:lang w:val="cs-CZ"/>
        </w:rPr>
        <w:t> </w:t>
      </w:r>
      <w:r w:rsidRPr="0070747B">
        <w:rPr>
          <w:rFonts w:cstheme="minorHAnsi"/>
          <w:color w:val="000000" w:themeColor="text1"/>
          <w:sz w:val="24"/>
          <w:lang w:val="cs-CZ"/>
        </w:rPr>
        <w:t>prostřednictvím nemocničního ombudsmana, který by v rámci daného zařízení koordinoval tuto oblast a přispíval k systematickému rozvoji kultury respektující komunikace.</w:t>
      </w:r>
    </w:p>
    <w:p w:rsidR="007960F5" w:rsidRPr="0070747B" w:rsidP="0070747B" w14:paraId="482E2E10" w14:textId="77777777">
      <w:pPr>
        <w:pStyle w:val="Bntext"/>
        <w:spacing w:line="240" w:lineRule="auto"/>
        <w:ind w:firstLine="0"/>
        <w:rPr>
          <w:rFonts w:cstheme="minorHAnsi"/>
          <w:color w:val="000000" w:themeColor="text1"/>
          <w:sz w:val="24"/>
          <w:lang w:val="cs-CZ"/>
        </w:rPr>
      </w:pPr>
      <w:r w:rsidRPr="0070747B">
        <w:rPr>
          <w:rFonts w:cstheme="minorHAnsi"/>
          <w:b/>
          <w:bCs/>
          <w:color w:val="000000" w:themeColor="text1"/>
          <w:sz w:val="24"/>
          <w:lang w:val="cs-CZ"/>
        </w:rPr>
        <w:t>Zefektivnění stížnostního procesu ve zdravotnictví</w:t>
      </w:r>
      <w:r w:rsidRPr="0070747B">
        <w:rPr>
          <w:rFonts w:cstheme="minorHAnsi"/>
          <w:color w:val="000000" w:themeColor="text1"/>
          <w:sz w:val="24"/>
          <w:lang w:val="cs-CZ"/>
        </w:rPr>
        <w:t> </w:t>
      </w:r>
    </w:p>
    <w:p w:rsidR="007960F5" w:rsidRPr="0070747B" w:rsidP="0070747B" w14:paraId="2EA9E53E" w14:textId="77777777">
      <w:pPr>
        <w:pStyle w:val="Bntext"/>
        <w:spacing w:line="240" w:lineRule="auto"/>
        <w:ind w:firstLine="0"/>
        <w:rPr>
          <w:rFonts w:cstheme="minorHAnsi"/>
          <w:color w:val="000000" w:themeColor="text1"/>
          <w:sz w:val="24"/>
          <w:lang w:val="cs-CZ"/>
        </w:rPr>
      </w:pPr>
      <w:r w:rsidRPr="0070747B">
        <w:rPr>
          <w:rFonts w:cstheme="minorHAnsi"/>
          <w:color w:val="000000" w:themeColor="text1"/>
          <w:sz w:val="24"/>
          <w:lang w:val="cs-CZ"/>
        </w:rPr>
        <w:t>Pro zvýšení efektivity stížnostního procesu je nezbytné posílit jeho institucionální a legislativní ukotvení. Klíčovým krokem je vydání metodického pokynu Ministerstva zdravotnictví, který jasně vymezuje postavení, kompetence a povinnosti nemocničních ombudsmanů. Zásadním opatřením je také profesionalizace role nemocničního ombudsmana prostřednictvím vytvoření samostatného povolání v katalogu prací a v národní soustavě povolání. Ukotvení této profese zajistí jednotně stanovené kvalifikační požadavky, vzdělávací standardy a jasně vymezené kompetence. Díky tomu bude možné garantovat odbornou připravenost ombudsmanů, jejich nezávislost i důvěryhodnost vůči pacientům a zdravotnickým institucím. Profesionální rámec zároveň umožní systematický profesní rozvoj a sdílení dobré praxe. </w:t>
      </w:r>
    </w:p>
    <w:p w:rsidR="007960F5" w:rsidRPr="0070747B" w:rsidP="0070747B" w14:paraId="46CC55A9" w14:textId="77777777">
      <w:pPr>
        <w:pStyle w:val="Bntext"/>
        <w:spacing w:line="240" w:lineRule="auto"/>
        <w:ind w:firstLine="0"/>
        <w:rPr>
          <w:rFonts w:asciiTheme="minorHAnsi" w:hAnsiTheme="minorHAnsi" w:cstheme="minorHAnsi"/>
          <w:color w:val="000000" w:themeColor="text1"/>
          <w:sz w:val="24"/>
          <w:lang w:val="cs-CZ"/>
        </w:rPr>
      </w:pPr>
      <w:r w:rsidRPr="0070747B">
        <w:rPr>
          <w:rFonts w:asciiTheme="minorHAnsi" w:eastAsiaTheme="minorEastAsia" w:hAnsiTheme="minorHAnsi" w:cstheme="minorHAnsi"/>
          <w:color w:val="000000" w:themeColor="text1"/>
          <w:sz w:val="24"/>
          <w:lang w:val="cs-CZ"/>
        </w:rPr>
        <w:t xml:space="preserve">Důležitou součástí je také </w:t>
      </w:r>
      <w:r w:rsidRPr="0070747B">
        <w:rPr>
          <w:rFonts w:asciiTheme="minorHAnsi" w:eastAsiaTheme="minorEastAsia" w:hAnsiTheme="minorHAnsi" w:cstheme="minorHAnsi"/>
          <w:b/>
          <w:bCs/>
          <w:color w:val="000000" w:themeColor="text1"/>
          <w:sz w:val="24"/>
          <w:lang w:val="cs-CZ"/>
        </w:rPr>
        <w:t>problematika respektujícího přístupu</w:t>
      </w:r>
      <w:r w:rsidRPr="0070747B">
        <w:rPr>
          <w:rFonts w:asciiTheme="minorHAnsi" w:eastAsiaTheme="minorEastAsia" w:hAnsiTheme="minorHAnsi" w:cstheme="minorHAnsi"/>
          <w:color w:val="000000" w:themeColor="text1"/>
          <w:sz w:val="24"/>
          <w:lang w:val="cs-CZ"/>
        </w:rPr>
        <w:t xml:space="preserve"> ve zdravotnictví a </w:t>
      </w:r>
      <w:r w:rsidRPr="0070747B">
        <w:rPr>
          <w:rFonts w:asciiTheme="minorHAnsi" w:hAnsiTheme="minorHAnsi" w:cstheme="minorHAnsi"/>
          <w:color w:val="000000" w:themeColor="text1"/>
          <w:sz w:val="24"/>
          <w:lang w:val="cs-CZ"/>
        </w:rPr>
        <w:t xml:space="preserve">zapojení uživatelů do rozhodovacích procesů, a to zejm. prostřednictvím většího zapojení zástupců </w:t>
      </w:r>
      <w:r w:rsidRPr="0070747B">
        <w:rPr>
          <w:rFonts w:asciiTheme="minorHAnsi" w:eastAsiaTheme="minorEastAsia" w:hAnsiTheme="minorHAnsi" w:cstheme="minorHAnsi"/>
          <w:color w:val="000000" w:themeColor="text1"/>
          <w:sz w:val="24"/>
          <w:lang w:val="cs-CZ"/>
        </w:rPr>
        <w:t>pacientů</w:t>
      </w:r>
      <w:r w:rsidRPr="0070747B">
        <w:rPr>
          <w:rFonts w:asciiTheme="minorHAnsi" w:hAnsiTheme="minorHAnsi" w:cstheme="minorHAnsi"/>
          <w:color w:val="000000" w:themeColor="text1"/>
          <w:sz w:val="24"/>
          <w:lang w:val="cs-CZ"/>
        </w:rPr>
        <w:t xml:space="preserve"> do všech procesů a řízení v oblasti zdravotnictví. </w:t>
      </w:r>
    </w:p>
    <w:p w:rsidR="00021EEE" w:rsidP="00021EEE" w14:paraId="33B807AB" w14:textId="77777777">
      <w:pPr>
        <w:pStyle w:val="Bntext"/>
        <w:ind w:firstLine="0"/>
        <w:rPr>
          <w:rFonts w:asciiTheme="minorHAnsi" w:hAnsiTheme="minorHAnsi" w:cs="Arial"/>
          <w:szCs w:val="22"/>
          <w:lang w:val="cs-CZ"/>
        </w:rPr>
      </w:pPr>
    </w:p>
    <w:tbl>
      <w:tblPr>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841"/>
        <w:gridCol w:w="929"/>
      </w:tblGrid>
      <w:tr w14:paraId="16F98CA9" w14:textId="77777777" w:rsidTr="0070747B">
        <w:tblPrEx>
          <w:tblW w:w="892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021EEE" w:rsidRPr="0070747B" w:rsidP="00B56B1A" w14:paraId="6B31859E" w14:textId="77777777">
            <w:pPr>
              <w:spacing w:line="276" w:lineRule="auto"/>
              <w:jc w:val="left"/>
              <w:rPr>
                <w:rFonts w:eastAsiaTheme="minorHAnsi" w:cs="Arial"/>
                <w:b/>
                <w:color w:val="1F497D" w:themeColor="text2"/>
                <w:sz w:val="24"/>
              </w:rPr>
            </w:pPr>
            <w:r w:rsidRPr="0070747B">
              <w:rPr>
                <w:rFonts w:cs="Arial"/>
                <w:b/>
                <w:color w:val="1F497D" w:themeColor="text2"/>
                <w:sz w:val="24"/>
              </w:rPr>
              <w:t>Číslo a název specifického cíle</w:t>
            </w:r>
          </w:p>
        </w:tc>
        <w:tc>
          <w:tcPr>
            <w:tcW w:w="5841" w:type="dxa"/>
            <w:tcBorders>
              <w:top w:val="single" w:sz="4" w:space="0" w:color="auto"/>
              <w:left w:val="single" w:sz="4" w:space="0" w:color="auto"/>
              <w:bottom w:val="single" w:sz="4" w:space="0" w:color="auto"/>
              <w:right w:val="nil"/>
            </w:tcBorders>
            <w:shd w:val="clear" w:color="auto" w:fill="FFFFCC"/>
            <w:vAlign w:val="center"/>
            <w:hideMark/>
          </w:tcPr>
          <w:p w:rsidR="00021EEE" w:rsidRPr="0070747B" w:rsidP="00B56B1A" w14:paraId="65DFF9CE" w14:textId="3D2F7F11">
            <w:pPr>
              <w:spacing w:line="276" w:lineRule="auto"/>
              <w:rPr>
                <w:rFonts w:eastAsiaTheme="minorHAnsi" w:cs="Arial"/>
                <w:b/>
                <w:color w:val="1F497D" w:themeColor="text2"/>
                <w:sz w:val="24"/>
              </w:rPr>
            </w:pPr>
            <w:r w:rsidRPr="0070747B">
              <w:rPr>
                <w:rFonts w:cs="Arial"/>
                <w:b/>
                <w:color w:val="1F497D" w:themeColor="text2"/>
                <w:sz w:val="24"/>
              </w:rPr>
              <w:t xml:space="preserve">2.8 </w:t>
            </w:r>
            <w:r w:rsidRPr="0070747B" w:rsidR="007960F5">
              <w:rPr>
                <w:b/>
                <w:bCs/>
                <w:color w:val="1F497D" w:themeColor="text2"/>
                <w:sz w:val="24"/>
              </w:rPr>
              <w:t>Zvýšení kvality poskytovaných zdravotních služeb v ČR</w:t>
            </w:r>
          </w:p>
        </w:tc>
        <w:tc>
          <w:tcPr>
            <w:tcW w:w="929" w:type="dxa"/>
            <w:tcBorders>
              <w:top w:val="single" w:sz="4" w:space="0" w:color="auto"/>
              <w:left w:val="nil"/>
              <w:bottom w:val="single" w:sz="4" w:space="0" w:color="auto"/>
              <w:right w:val="single" w:sz="4" w:space="0" w:color="auto"/>
            </w:tcBorders>
            <w:shd w:val="clear" w:color="auto" w:fill="FFFFCC"/>
            <w:vAlign w:val="center"/>
          </w:tcPr>
          <w:p w:rsidR="00021EEE" w:rsidRPr="00A955AF" w:rsidP="00B56B1A" w14:paraId="5C7F33F8" w14:textId="77777777">
            <w:pPr>
              <w:spacing w:line="276" w:lineRule="auto"/>
              <w:jc w:val="right"/>
              <w:rPr>
                <w:rFonts w:eastAsiaTheme="minorHAnsi" w:cs="Arial"/>
                <w:b/>
                <w:color w:val="205493"/>
                <w:sz w:val="24"/>
              </w:rPr>
            </w:pPr>
          </w:p>
        </w:tc>
      </w:tr>
      <w:tr w14:paraId="2F2BEA9C" w14:textId="77777777" w:rsidTr="00B56B1A">
        <w:tblPrEx>
          <w:tblW w:w="8928" w:type="dxa"/>
          <w:tblInd w:w="360"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021EEE" w:rsidRPr="00A955AF" w:rsidP="00B56B1A" w14:paraId="7E95E185" w14:textId="77777777">
            <w:pPr>
              <w:spacing w:line="276" w:lineRule="auto"/>
              <w:rPr>
                <w:rFonts w:eastAsiaTheme="minorHAnsi" w:cs="Arial"/>
                <w:b/>
                <w:sz w:val="24"/>
              </w:rPr>
            </w:pPr>
            <w:r w:rsidRPr="00A955AF">
              <w:rPr>
                <w:rFonts w:cs="Arial"/>
                <w:b/>
                <w:sz w:val="24"/>
              </w:rPr>
              <w:t>Dílčí cíle</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7960F5" w:rsidRPr="0070747B" w:rsidP="007960F5" w14:paraId="6515AB61" w14:textId="719CFE82">
            <w:pPr>
              <w:spacing w:before="0" w:after="0"/>
              <w:ind w:left="608" w:hanging="574"/>
              <w:rPr>
                <w:rFonts w:eastAsiaTheme="minorHAnsi" w:cs="Arial"/>
                <w:color w:val="auto"/>
                <w:sz w:val="24"/>
              </w:rPr>
            </w:pPr>
            <w:r w:rsidRPr="0070747B">
              <w:rPr>
                <w:rFonts w:eastAsiaTheme="minorHAnsi" w:cs="Arial"/>
                <w:color w:val="auto"/>
                <w:sz w:val="24"/>
              </w:rPr>
              <w:t>2.8.</w:t>
            </w:r>
            <w:r w:rsidRPr="0070747B">
              <w:rPr>
                <w:rFonts w:eastAsiaTheme="minorHAnsi" w:cs="Arial"/>
                <w:color w:val="auto"/>
                <w:sz w:val="24"/>
              </w:rPr>
              <w:t>1 Rozvoj dobrovolnictví ve zdravotnictví</w:t>
            </w:r>
          </w:p>
          <w:p w:rsidR="007960F5" w:rsidRPr="0070747B" w:rsidP="007960F5" w14:paraId="0B5C98A2" w14:textId="77777777">
            <w:pPr>
              <w:spacing w:before="0" w:after="0"/>
              <w:ind w:left="608" w:hanging="574"/>
              <w:rPr>
                <w:rFonts w:eastAsiaTheme="minorHAnsi" w:cs="Arial"/>
                <w:color w:val="auto"/>
                <w:sz w:val="24"/>
              </w:rPr>
            </w:pPr>
            <w:r w:rsidRPr="0070747B">
              <w:rPr>
                <w:rFonts w:eastAsiaTheme="minorHAnsi" w:cs="Arial"/>
                <w:color w:val="auto"/>
                <w:sz w:val="24"/>
              </w:rPr>
              <w:t>2.8.2 Rozvoj Národního hodnocení spokojenosti pacientů a jeho implementace v systému poskytování zdravotních služeb</w:t>
            </w:r>
          </w:p>
          <w:p w:rsidR="007960F5" w:rsidRPr="0070747B" w:rsidP="007960F5" w14:paraId="7A584402" w14:textId="77777777">
            <w:pPr>
              <w:spacing w:before="0" w:after="0"/>
              <w:ind w:left="608" w:hanging="574"/>
              <w:rPr>
                <w:rFonts w:eastAsiaTheme="minorHAnsi" w:cs="Arial"/>
                <w:color w:val="auto"/>
                <w:sz w:val="24"/>
              </w:rPr>
            </w:pPr>
            <w:r w:rsidRPr="0070747B">
              <w:rPr>
                <w:rFonts w:eastAsiaTheme="minorHAnsi" w:cs="Arial"/>
                <w:color w:val="auto"/>
                <w:sz w:val="24"/>
              </w:rPr>
              <w:t>2.8.3 Rozvoj národní sítě nemocnic a zdravotnických zařízení bez tabáku (GNTH)</w:t>
            </w:r>
          </w:p>
          <w:p w:rsidR="007960F5" w:rsidRPr="0070747B" w:rsidP="007960F5" w14:paraId="2735F3AB" w14:textId="77777777">
            <w:pPr>
              <w:spacing w:before="0" w:after="0"/>
              <w:ind w:left="608" w:hanging="574"/>
              <w:rPr>
                <w:rFonts w:eastAsiaTheme="minorHAnsi" w:cs="Arial"/>
                <w:color w:val="auto"/>
                <w:sz w:val="24"/>
              </w:rPr>
            </w:pPr>
            <w:r w:rsidRPr="0070747B">
              <w:rPr>
                <w:rFonts w:eastAsiaTheme="minorHAnsi" w:cs="Arial"/>
                <w:color w:val="auto"/>
                <w:sz w:val="24"/>
              </w:rPr>
              <w:t>2.8.4 Rozvoj národní sítě nemocnic a zdravotnických zařízení podporujících zdraví (HPH)</w:t>
            </w:r>
          </w:p>
          <w:p w:rsidR="007960F5" w:rsidRPr="0070747B" w:rsidP="007960F5" w14:paraId="5BD1B32C" w14:textId="77777777">
            <w:pPr>
              <w:spacing w:before="0" w:after="0"/>
              <w:ind w:left="608" w:hanging="574"/>
              <w:rPr>
                <w:rFonts w:eastAsiaTheme="minorHAnsi" w:cs="Arial"/>
                <w:color w:val="auto"/>
                <w:sz w:val="24"/>
              </w:rPr>
            </w:pPr>
            <w:r w:rsidRPr="0070747B">
              <w:rPr>
                <w:rFonts w:eastAsiaTheme="minorHAnsi" w:cs="Arial"/>
                <w:color w:val="auto"/>
                <w:sz w:val="24"/>
              </w:rPr>
              <w:t>2.8.5 Posílení zapojení segmentu pacientských organizací a organizací zaměřených na pomoc pacientům včetně zapojování/participace občanů (uživatelů péče)</w:t>
            </w:r>
          </w:p>
          <w:p w:rsidR="007960F5" w:rsidRPr="0070747B" w:rsidP="007960F5" w14:paraId="16D386D6" w14:textId="77777777">
            <w:pPr>
              <w:spacing w:before="0" w:after="0"/>
              <w:ind w:left="608" w:hanging="574"/>
              <w:rPr>
                <w:rFonts w:eastAsiaTheme="minorHAnsi" w:cs="Arial"/>
                <w:color w:val="auto"/>
                <w:sz w:val="24"/>
              </w:rPr>
            </w:pPr>
            <w:r w:rsidRPr="0070747B">
              <w:rPr>
                <w:rFonts w:eastAsiaTheme="minorHAnsi" w:cs="Arial"/>
                <w:color w:val="auto"/>
                <w:sz w:val="24"/>
              </w:rPr>
              <w:t>2.8.6 Posílení partnerského přístupu v poskytování zdravotní péče</w:t>
            </w:r>
          </w:p>
          <w:p w:rsidR="00021EEE" w:rsidRPr="0070747B" w:rsidP="00021EEE" w14:paraId="5CA48916" w14:textId="3BF760D7">
            <w:pPr>
              <w:spacing w:line="276" w:lineRule="auto"/>
              <w:ind w:left="743" w:hanging="709"/>
              <w:rPr>
                <w:rFonts w:eastAsiaTheme="minorHAnsi" w:cs="Arial"/>
                <w:color w:val="auto"/>
                <w:sz w:val="24"/>
              </w:rPr>
            </w:pPr>
          </w:p>
        </w:tc>
      </w:tr>
      <w:tr w14:paraId="2883EC8B"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021EEE" w:rsidRPr="00A955AF" w:rsidP="00B56B1A" w14:paraId="42D41F70" w14:textId="77777777">
            <w:pPr>
              <w:spacing w:line="276" w:lineRule="auto"/>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960F5" w:rsidRPr="0070747B" w:rsidP="007960F5" w14:paraId="6295AF64"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eastAsiaTheme="minorEastAsia" w:hAnsiTheme="minorHAnsi" w:cs="Arial"/>
                <w:bCs/>
                <w:lang w:eastAsia="en-US"/>
              </w:rPr>
              <w:t>Propagace dobrovolnictví ve zdravotnictví</w:t>
            </w:r>
          </w:p>
          <w:p w:rsidR="007960F5" w:rsidRPr="0070747B" w:rsidP="007960F5" w14:paraId="23768D96"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hAnsiTheme="minorHAnsi" w:cstheme="minorHAnsi"/>
                <w:bCs/>
              </w:rPr>
              <w:t>Zkvalitnění sběru a přehledu dat do celostátní databáze dobrovolnictví ve zdravotnictví</w:t>
            </w:r>
          </w:p>
          <w:p w:rsidR="007960F5" w:rsidRPr="0070747B" w:rsidP="007960F5" w14:paraId="16226972"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hAnsiTheme="minorHAnsi" w:cstheme="minorHAnsi"/>
                <w:bCs/>
              </w:rPr>
              <w:t>Podpora a rozvoj projektu Národní hodnocení spokojenosti pacientů u poskytovatelů zdravotních služeb</w:t>
            </w:r>
          </w:p>
          <w:p w:rsidR="007960F5" w:rsidRPr="0070747B" w:rsidP="007960F5" w14:paraId="4133E580"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hAnsiTheme="minorHAnsi" w:cs="Arial"/>
              </w:rPr>
              <w:t>Rozvoj a podpora národní sítě nemocnic a zdravotnických zařízení bez tabáku prostřednictvím administrace sítě, podpory sdílení dobré praxe a propagace</w:t>
            </w:r>
          </w:p>
          <w:p w:rsidR="007960F5" w:rsidRPr="0070747B" w:rsidP="007960F5" w14:paraId="7EF823FB" w14:textId="77777777">
            <w:pPr>
              <w:pStyle w:val="NormalWeb"/>
              <w:numPr>
                <w:ilvl w:val="0"/>
                <w:numId w:val="36"/>
              </w:numPr>
              <w:spacing w:before="100" w:beforeAutospacing="1" w:after="100" w:afterAutospacing="1"/>
              <w:ind w:left="325" w:hanging="284"/>
              <w:rPr>
                <w:rFonts w:asciiTheme="minorHAnsi" w:hAnsiTheme="minorHAnsi" w:cs="Arial"/>
              </w:rPr>
            </w:pPr>
            <w:r w:rsidRPr="0070747B">
              <w:rPr>
                <w:rFonts w:asciiTheme="minorHAnsi" w:hAnsiTheme="minorHAnsi" w:cs="Arial"/>
              </w:rPr>
              <w:t xml:space="preserve">Rozvoj a podpora národní sítě nemocnic a zdravotnických zařízení podporujících zdraví prostřednictvím administrace sítě, podpory sdílení dobré praxe a propagace </w:t>
            </w:r>
          </w:p>
          <w:p w:rsidR="007960F5" w:rsidRPr="0070747B" w:rsidP="007960F5" w14:paraId="10895523"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hAnsiTheme="minorHAnsi" w:cs="Arial"/>
              </w:rPr>
              <w:t>Metodická podpora poskytovatelům zdravotních služeb zařazených do národní sítě GNTH a HPH</w:t>
            </w:r>
          </w:p>
          <w:p w:rsidR="007960F5" w:rsidRPr="0070747B" w:rsidP="007960F5" w14:paraId="7F93EA6A" w14:textId="77777777">
            <w:pPr>
              <w:pStyle w:val="ListParagraph"/>
              <w:numPr>
                <w:ilvl w:val="0"/>
                <w:numId w:val="36"/>
              </w:numPr>
              <w:overflowPunct w:val="0"/>
              <w:spacing w:before="40" w:after="0"/>
              <w:ind w:left="316" w:hanging="284"/>
              <w:rPr>
                <w:rFonts w:cs="Arial"/>
                <w:color w:val="auto"/>
              </w:rPr>
            </w:pPr>
            <w:r w:rsidRPr="0070747B">
              <w:rPr>
                <w:rFonts w:cs="Arial"/>
                <w:color w:val="auto"/>
                <w:sz w:val="24"/>
                <w:szCs w:val="24"/>
              </w:rPr>
              <w:t>Navýšení počtu veřejných politik vytvořených se zapojením relevantních aktérů (stakeholderů a/nebo veřejnosti)</w:t>
            </w:r>
          </w:p>
          <w:p w:rsidR="007960F5" w:rsidRPr="0070747B" w:rsidP="007960F5" w14:paraId="6894E861"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hAnsiTheme="minorHAnsi" w:cs="Arial"/>
              </w:rPr>
              <w:t>Vytvoření strategického a metodického zázemí pro zapojení pacientů/veřejnosti do řízení a procesů ve zdravotnictví, vč. zapojení pacientů u vybraných aktérů – zdravotních pojišťoven, SÚKL, poskytovatelů zdravotních služeb</w:t>
            </w:r>
          </w:p>
          <w:p w:rsidR="007960F5" w:rsidRPr="0070747B" w:rsidP="007960F5" w14:paraId="33A3C574" w14:textId="77777777">
            <w:pPr>
              <w:pStyle w:val="NormalWeb"/>
              <w:numPr>
                <w:ilvl w:val="0"/>
                <w:numId w:val="36"/>
              </w:numPr>
              <w:spacing w:before="100" w:beforeAutospacing="1" w:after="100" w:afterAutospacing="1"/>
              <w:ind w:left="325" w:hanging="284"/>
              <w:jc w:val="both"/>
              <w:rPr>
                <w:rFonts w:asciiTheme="minorHAnsi" w:hAnsiTheme="minorHAnsi" w:cs="Arial"/>
              </w:rPr>
            </w:pPr>
            <w:r w:rsidRPr="0070747B">
              <w:rPr>
                <w:rFonts w:asciiTheme="minorHAnsi" w:hAnsiTheme="minorHAnsi" w:cs="Arial"/>
              </w:rPr>
              <w:t>Vytvoření kapacit pro zapojení pacientů u vybraných aktérů – poskytovatelů zdravotních služeb, SÚKL, zdravotních pojišťoven</w:t>
            </w:r>
          </w:p>
          <w:p w:rsidR="00021EEE" w:rsidRPr="0070747B" w:rsidP="00021EEE" w14:paraId="1AC23BFC" w14:textId="3BD0049A">
            <w:pPr>
              <w:pStyle w:val="NormalWeb"/>
              <w:spacing w:before="100" w:beforeAutospacing="1" w:after="100" w:afterAutospacing="1"/>
              <w:jc w:val="both"/>
              <w:rPr>
                <w:rFonts w:asciiTheme="minorHAnsi" w:hAnsiTheme="minorHAnsi" w:cs="Arial"/>
              </w:rPr>
            </w:pPr>
            <w:r w:rsidRPr="0070747B">
              <w:rPr>
                <w:rFonts w:asciiTheme="minorHAnsi" w:hAnsiTheme="minorHAnsi" w:cs="Arial"/>
              </w:rPr>
              <w:t>Vzdělávání zdravotníků v oblasti partnerského přístupu ve vztahu pacient-zdravotník</w:t>
            </w:r>
          </w:p>
        </w:tc>
      </w:tr>
      <w:tr w14:paraId="2A56AB5C"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021EEE" w:rsidRPr="00A955AF" w:rsidP="00B56B1A" w14:paraId="68165A99" w14:textId="77777777">
            <w:pPr>
              <w:spacing w:line="276" w:lineRule="auto"/>
              <w:rPr>
                <w:rFonts w:eastAsiaTheme="minorHAnsi" w:cs="Arial"/>
                <w:b/>
                <w:sz w:val="24"/>
              </w:rPr>
            </w:pPr>
            <w:r w:rsidRPr="00A955AF">
              <w:rPr>
                <w:rFonts w:cs="Arial"/>
                <w:b/>
                <w:sz w:val="24"/>
              </w:rPr>
              <w:t>Doba trvání implementace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021EEE" w:rsidRPr="0070747B" w:rsidP="00B56B1A" w14:paraId="3C9E9213" w14:textId="364D6DC6">
            <w:pPr>
              <w:spacing w:line="276" w:lineRule="auto"/>
              <w:rPr>
                <w:rFonts w:eastAsiaTheme="minorHAnsi" w:cs="Arial"/>
                <w:color w:val="auto"/>
                <w:sz w:val="24"/>
              </w:rPr>
            </w:pPr>
            <w:r w:rsidRPr="0070747B">
              <w:rPr>
                <w:rFonts w:cs="Arial"/>
                <w:color w:val="auto"/>
                <w:sz w:val="24"/>
              </w:rPr>
              <w:t>2025</w:t>
            </w:r>
            <w:r w:rsidRPr="0070747B">
              <w:rPr>
                <w:rFonts w:cs="Arial"/>
                <w:color w:val="auto"/>
                <w:sz w:val="24"/>
              </w:rPr>
              <w:t>–2035</w:t>
            </w:r>
          </w:p>
        </w:tc>
      </w:tr>
      <w:tr w14:paraId="68C4AC44"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021EEE" w:rsidRPr="00A955AF" w:rsidP="00B56B1A" w14:paraId="59F8B4B3"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021EEE" w:rsidRPr="0070747B" w:rsidP="00B56B1A" w14:paraId="35390D6C" w14:textId="45EA9A77">
            <w:pPr>
              <w:spacing w:line="276" w:lineRule="auto"/>
              <w:rPr>
                <w:rFonts w:eastAsiaTheme="minorHAnsi" w:cs="Arial"/>
                <w:color w:val="auto"/>
                <w:sz w:val="24"/>
              </w:rPr>
            </w:pPr>
            <w:r w:rsidRPr="0070747B">
              <w:rPr>
                <w:rFonts w:cs="Arial"/>
                <w:color w:val="auto"/>
                <w:sz w:val="24"/>
              </w:rPr>
              <w:t>MZD</w:t>
            </w:r>
            <w:r w:rsidR="003C7F59">
              <w:rPr>
                <w:rFonts w:cs="Arial"/>
                <w:color w:val="auto"/>
                <w:sz w:val="24"/>
              </w:rPr>
              <w:t>- SZ</w:t>
            </w:r>
            <w:r w:rsidRPr="0070747B">
              <w:rPr>
                <w:rFonts w:cs="Arial"/>
                <w:color w:val="auto"/>
                <w:sz w:val="24"/>
              </w:rPr>
              <w:t xml:space="preserve"> – vrchní</w:t>
            </w:r>
            <w:r w:rsidRPr="0070747B">
              <w:rPr>
                <w:rFonts w:cs="Arial"/>
                <w:color w:val="auto"/>
                <w:sz w:val="24"/>
              </w:rPr>
              <w:t xml:space="preserve"> ředitel sekce zdravotní péče</w:t>
            </w:r>
          </w:p>
        </w:tc>
      </w:tr>
      <w:tr w14:paraId="5E1794D5"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7960F5" w:rsidRPr="00A955AF" w:rsidP="007960F5" w14:paraId="5C11AA35"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960F5" w:rsidRPr="0070747B" w:rsidP="007960F5" w14:paraId="76362715" w14:textId="77777777">
            <w:pPr>
              <w:rPr>
                <w:rFonts w:cs="Arial"/>
                <w:color w:val="auto"/>
                <w:sz w:val="24"/>
              </w:rPr>
            </w:pPr>
            <w:r w:rsidRPr="0070747B">
              <w:rPr>
                <w:rFonts w:cs="Arial"/>
                <w:color w:val="auto"/>
                <w:sz w:val="24"/>
              </w:rPr>
              <w:t>ÚZIS, SÚKL, IPVZ, NCO NZO, NÚDZ, MPSV, MMR, MSp, MŠMT, MV, ČLS JEP, kraje, obce, nevládní sektor, zdravotní pojišťovny, pacientské organizace, Svaz měst a obcí ČR a Sdružení místních samospráv, Asociace krajů ČR,</w:t>
            </w:r>
            <w:r w:rsidRPr="0070747B">
              <w:rPr>
                <w:rFonts w:cs="Arial"/>
                <w:color w:val="auto"/>
                <w:szCs w:val="22"/>
              </w:rPr>
              <w:t xml:space="preserve"> </w:t>
            </w:r>
            <w:r w:rsidRPr="0070747B">
              <w:rPr>
                <w:rFonts w:cs="Arial"/>
                <w:color w:val="auto"/>
                <w:sz w:val="24"/>
              </w:rPr>
              <w:t xml:space="preserve">NNO, poskytovatelé zdravotních a sociálních služeb, odborná veřejnost, akademická sféra, zdravotní pojišťovny, organizace zaměřené na pomoc pacientům, </w:t>
            </w:r>
          </w:p>
          <w:p w:rsidR="007960F5" w:rsidRPr="0070747B" w:rsidP="007960F5" w14:paraId="338DB2F8" w14:textId="77777777">
            <w:pPr>
              <w:spacing w:line="276" w:lineRule="auto"/>
              <w:rPr>
                <w:rFonts w:eastAsiaTheme="minorHAnsi" w:cs="Arial"/>
                <w:color w:val="auto"/>
                <w:sz w:val="24"/>
              </w:rPr>
            </w:pPr>
          </w:p>
        </w:tc>
      </w:tr>
      <w:tr w14:paraId="042D9A9D" w14:textId="77777777" w:rsidTr="00B56B1A">
        <w:tblPrEx>
          <w:tblW w:w="8928" w:type="dxa"/>
          <w:tblInd w:w="360"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7960F5" w:rsidRPr="00A955AF" w:rsidP="007960F5" w14:paraId="49B586D2"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7960F5" w:rsidRPr="0070747B" w:rsidP="007960F5" w14:paraId="7B8F7BFB" w14:textId="11F97310">
            <w:pPr>
              <w:rPr>
                <w:rFonts w:cs="Arial"/>
                <w:color w:val="auto"/>
                <w:sz w:val="24"/>
              </w:rPr>
            </w:pPr>
            <w:r w:rsidRPr="0070747B">
              <w:rPr>
                <w:rFonts w:cs="Arial"/>
                <w:color w:val="auto"/>
                <w:sz w:val="24"/>
              </w:rPr>
              <w:t xml:space="preserve">1.1 </w:t>
            </w:r>
            <w:r w:rsidR="003C7F59">
              <w:rPr>
                <w:rFonts w:cs="Arial"/>
                <w:color w:val="auto"/>
                <w:sz w:val="24"/>
              </w:rPr>
              <w:t>P</w:t>
            </w:r>
            <w:r w:rsidRPr="0070747B">
              <w:rPr>
                <w:rFonts w:cs="Arial"/>
                <w:color w:val="auto"/>
                <w:sz w:val="24"/>
              </w:rPr>
              <w:t>rimární prevence a ochrana veřejného zdraví</w:t>
            </w:r>
          </w:p>
          <w:p w:rsidR="007960F5" w:rsidRPr="0070747B" w:rsidP="007960F5" w14:paraId="4A94559B" w14:textId="77777777">
            <w:pPr>
              <w:rPr>
                <w:rFonts w:cs="Arial"/>
                <w:color w:val="auto"/>
                <w:sz w:val="24"/>
              </w:rPr>
            </w:pPr>
            <w:r w:rsidRPr="0070747B">
              <w:rPr>
                <w:rFonts w:cs="Arial"/>
                <w:color w:val="auto"/>
                <w:sz w:val="24"/>
              </w:rPr>
              <w:t>2.1 Reforma primární péče</w:t>
            </w:r>
          </w:p>
          <w:p w:rsidR="007960F5" w:rsidRPr="0070747B" w:rsidP="007960F5" w14:paraId="37A4EACF" w14:textId="77777777">
            <w:pPr>
              <w:rPr>
                <w:rFonts w:cs="Arial"/>
                <w:color w:val="auto"/>
                <w:sz w:val="24"/>
              </w:rPr>
            </w:pPr>
            <w:r w:rsidRPr="0070747B">
              <w:rPr>
                <w:rFonts w:cs="Arial"/>
                <w:color w:val="auto"/>
                <w:sz w:val="24"/>
              </w:rPr>
              <w:t>2.2 Personální stabilizace resortu zdravotnictví</w:t>
            </w:r>
          </w:p>
          <w:p w:rsidR="007960F5" w:rsidRPr="0070747B" w:rsidP="007960F5" w14:paraId="4CD0D653" w14:textId="77777777">
            <w:pPr>
              <w:rPr>
                <w:rFonts w:cs="Arial"/>
                <w:color w:val="auto"/>
                <w:sz w:val="24"/>
              </w:rPr>
            </w:pPr>
            <w:r w:rsidRPr="0070747B">
              <w:rPr>
                <w:rFonts w:cs="Arial"/>
                <w:color w:val="auto"/>
                <w:sz w:val="24"/>
              </w:rPr>
              <w:t>2.3 Digitalizace zdravotnictví</w:t>
            </w:r>
          </w:p>
          <w:p w:rsidR="007960F5" w:rsidRPr="0070747B" w:rsidP="007960F5" w14:paraId="02BB00CD" w14:textId="77777777">
            <w:pPr>
              <w:rPr>
                <w:rFonts w:cs="Arial"/>
                <w:color w:val="auto"/>
                <w:sz w:val="24"/>
              </w:rPr>
            </w:pPr>
            <w:r w:rsidRPr="0070747B">
              <w:rPr>
                <w:rFonts w:cs="Arial"/>
                <w:color w:val="auto"/>
                <w:sz w:val="24"/>
              </w:rPr>
              <w:t>2.5 Péče na sociálně zdravotním pomezí</w:t>
            </w:r>
          </w:p>
          <w:p w:rsidR="007960F5" w:rsidRPr="0070747B" w:rsidP="007960F5" w14:paraId="412A05CF" w14:textId="1B1673CC">
            <w:pPr>
              <w:spacing w:line="276" w:lineRule="auto"/>
              <w:rPr>
                <w:rFonts w:eastAsiaTheme="minorHAnsi" w:cs="Arial"/>
                <w:color w:val="auto"/>
                <w:sz w:val="24"/>
              </w:rPr>
            </w:pPr>
            <w:r w:rsidRPr="0070747B">
              <w:rPr>
                <w:rFonts w:cs="Arial"/>
                <w:color w:val="auto"/>
                <w:sz w:val="24"/>
              </w:rPr>
              <w:t>2.6 Péče o duševní zdraví</w:t>
            </w:r>
          </w:p>
        </w:tc>
      </w:tr>
      <w:tr w14:paraId="079A98AB"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233B" w:rsidRPr="00A955AF" w:rsidP="00D3233B" w14:paraId="6491264A"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D3233B" w:rsidRPr="0070747B" w:rsidP="00D3233B" w14:paraId="683F7C3C" w14:textId="77777777">
            <w:pPr>
              <w:tabs>
                <w:tab w:val="num" w:pos="585"/>
              </w:tabs>
              <w:overflowPunct w:val="0"/>
              <w:autoSpaceDE w:val="0"/>
              <w:autoSpaceDN w:val="0"/>
              <w:adjustRightInd w:val="0"/>
              <w:spacing w:before="40" w:after="0"/>
              <w:rPr>
                <w:rFonts w:cs="Arial"/>
                <w:color w:val="auto"/>
                <w:sz w:val="24"/>
              </w:rPr>
            </w:pPr>
            <w:r w:rsidRPr="0070747B">
              <w:rPr>
                <w:rFonts w:cs="Arial"/>
                <w:color w:val="auto"/>
                <w:sz w:val="24"/>
              </w:rPr>
              <w:t xml:space="preserve"> Na úrovni dopadu: </w:t>
            </w:r>
          </w:p>
          <w:p w:rsidR="00D3233B" w:rsidRPr="0070747B" w:rsidP="00D3233B" w14:paraId="668DEF66" w14:textId="77777777">
            <w:pPr>
              <w:pStyle w:val="ListParagraph"/>
              <w:numPr>
                <w:ilvl w:val="0"/>
                <w:numId w:val="31"/>
              </w:numPr>
              <w:overflowPunct w:val="0"/>
              <w:spacing w:before="40" w:after="0"/>
              <w:rPr>
                <w:rFonts w:cs="Arial"/>
                <w:color w:val="auto"/>
                <w:sz w:val="24"/>
                <w:szCs w:val="24"/>
              </w:rPr>
            </w:pPr>
            <w:r w:rsidRPr="0070747B">
              <w:rPr>
                <w:rFonts w:cs="Arial"/>
                <w:color w:val="auto"/>
                <w:sz w:val="24"/>
                <w:szCs w:val="24"/>
              </w:rPr>
              <w:t xml:space="preserve">Navýšení počtu dobrovolníků ve zdravotnictví (jakýkoliv typ řízení programu) </w:t>
            </w:r>
          </w:p>
          <w:p w:rsidR="00D3233B" w:rsidRPr="0070747B" w:rsidP="00D3233B" w14:paraId="6E260194" w14:textId="77777777">
            <w:pPr>
              <w:pStyle w:val="ListParagraph"/>
              <w:numPr>
                <w:ilvl w:val="0"/>
                <w:numId w:val="31"/>
              </w:numPr>
              <w:spacing w:before="40" w:after="0"/>
              <w:rPr>
                <w:rFonts w:cs="Arial"/>
                <w:color w:val="auto"/>
                <w:sz w:val="24"/>
                <w:szCs w:val="24"/>
              </w:rPr>
            </w:pPr>
            <w:r w:rsidRPr="0070747B">
              <w:rPr>
                <w:rFonts w:cs="Arial"/>
                <w:color w:val="auto"/>
                <w:sz w:val="24"/>
                <w:szCs w:val="24"/>
              </w:rPr>
              <w:t>Navýšení počtu poskytovatelů zdravotních služeb nabízejících program dobrovolnictví ve zdravotnictví (jakýkoliv typ řízení programu)</w:t>
            </w:r>
          </w:p>
          <w:p w:rsidR="00D3233B" w:rsidRPr="0070747B" w:rsidP="00D3233B" w14:paraId="43178FB0" w14:textId="77777777">
            <w:pPr>
              <w:pStyle w:val="ListParagraph"/>
              <w:numPr>
                <w:ilvl w:val="0"/>
                <w:numId w:val="31"/>
              </w:numPr>
              <w:overflowPunct w:val="0"/>
              <w:spacing w:before="40" w:after="0"/>
              <w:rPr>
                <w:rFonts w:cs="Arial"/>
                <w:color w:val="auto"/>
                <w:sz w:val="24"/>
                <w:szCs w:val="24"/>
              </w:rPr>
            </w:pPr>
            <w:r w:rsidRPr="0070747B">
              <w:rPr>
                <w:rFonts w:cs="Arial"/>
                <w:color w:val="auto"/>
                <w:sz w:val="24"/>
                <w:szCs w:val="24"/>
              </w:rPr>
              <w:t xml:space="preserve">Navýšení počtu členů v národní síti HPH </w:t>
            </w:r>
          </w:p>
          <w:p w:rsidR="00D3233B" w:rsidRPr="0070747B" w:rsidP="00D3233B" w14:paraId="79F035C4" w14:textId="77777777">
            <w:pPr>
              <w:pStyle w:val="ListParagraph"/>
              <w:numPr>
                <w:ilvl w:val="0"/>
                <w:numId w:val="31"/>
              </w:numPr>
              <w:overflowPunct w:val="0"/>
              <w:spacing w:before="40" w:after="0"/>
              <w:rPr>
                <w:rFonts w:cs="Arial"/>
                <w:color w:val="auto"/>
                <w:sz w:val="24"/>
                <w:szCs w:val="24"/>
              </w:rPr>
            </w:pPr>
            <w:r w:rsidRPr="0070747B">
              <w:rPr>
                <w:rFonts w:cs="Arial"/>
                <w:color w:val="auto"/>
                <w:sz w:val="24"/>
                <w:szCs w:val="24"/>
              </w:rPr>
              <w:t>Navýšení počtu členů v národní síti GNTH</w:t>
            </w:r>
          </w:p>
          <w:p w:rsidR="00D3233B" w:rsidRPr="0070747B" w:rsidP="00D3233B" w14:paraId="0F4B9073" w14:textId="77777777">
            <w:pPr>
              <w:pStyle w:val="ListParagraph"/>
              <w:numPr>
                <w:ilvl w:val="0"/>
                <w:numId w:val="31"/>
              </w:numPr>
              <w:overflowPunct w:val="0"/>
              <w:spacing w:before="40" w:after="0"/>
              <w:rPr>
                <w:rFonts w:cs="Arial"/>
                <w:color w:val="auto"/>
                <w:sz w:val="24"/>
                <w:szCs w:val="24"/>
              </w:rPr>
            </w:pPr>
            <w:r w:rsidRPr="0070747B">
              <w:rPr>
                <w:rFonts w:cs="Arial"/>
                <w:color w:val="auto"/>
                <w:sz w:val="24"/>
                <w:szCs w:val="24"/>
              </w:rPr>
              <w:t xml:space="preserve">Navýšení počtu poskytovatelů zdravotních služeb zapojených do projektu Národní hodnocení spokojenosti pacientů v lůžkové péči </w:t>
            </w:r>
          </w:p>
          <w:p w:rsidR="00D3233B" w:rsidRPr="0070747B" w:rsidP="00D3233B" w14:paraId="60F14326" w14:textId="77777777">
            <w:pPr>
              <w:pStyle w:val="ListParagraph"/>
              <w:numPr>
                <w:ilvl w:val="0"/>
                <w:numId w:val="31"/>
              </w:numPr>
              <w:overflowPunct w:val="0"/>
              <w:spacing w:before="40" w:after="0"/>
              <w:rPr>
                <w:rFonts w:cs="Arial"/>
                <w:color w:val="auto"/>
                <w:sz w:val="24"/>
                <w:szCs w:val="24"/>
              </w:rPr>
            </w:pPr>
            <w:r w:rsidRPr="0070747B">
              <w:rPr>
                <w:rFonts w:cs="Arial"/>
                <w:color w:val="auto"/>
                <w:sz w:val="24"/>
                <w:szCs w:val="24"/>
              </w:rPr>
              <w:t xml:space="preserve">Navýšení počtu poskytovatelů zdravotních služeb zapojených do projektu Národní hodnocení spokojenosti pacientů v ambulantní péči </w:t>
            </w:r>
          </w:p>
          <w:p w:rsidR="00D3233B" w:rsidRPr="0070747B" w:rsidP="00D3233B" w14:paraId="22A9EB90" w14:textId="77777777">
            <w:pPr>
              <w:pStyle w:val="ListParagraph"/>
              <w:numPr>
                <w:ilvl w:val="0"/>
                <w:numId w:val="31"/>
              </w:numPr>
              <w:overflowPunct w:val="0"/>
              <w:spacing w:before="40" w:after="0"/>
              <w:rPr>
                <w:rFonts w:cs="Arial"/>
                <w:color w:val="auto"/>
                <w:sz w:val="24"/>
                <w:szCs w:val="24"/>
              </w:rPr>
            </w:pPr>
            <w:r w:rsidRPr="0070747B">
              <w:rPr>
                <w:rFonts w:cs="Arial"/>
                <w:color w:val="auto"/>
                <w:sz w:val="24"/>
                <w:szCs w:val="24"/>
              </w:rPr>
              <w:t>Navýšení počtu veřejných politik vytvořených se zapojením relevantních aktérů (stakeholderů a/nebo veřejnosti)</w:t>
            </w:r>
          </w:p>
          <w:p w:rsidR="00D3233B" w:rsidRPr="0070747B" w:rsidP="00D3233B" w14:paraId="6BBEB639" w14:textId="77777777">
            <w:pPr>
              <w:pStyle w:val="ListParagraph"/>
              <w:numPr>
                <w:ilvl w:val="0"/>
                <w:numId w:val="31"/>
              </w:numPr>
              <w:overflowPunct w:val="0"/>
              <w:spacing w:before="40" w:after="0"/>
              <w:rPr>
                <w:rFonts w:cs="Arial"/>
                <w:color w:val="auto"/>
                <w:sz w:val="24"/>
                <w:szCs w:val="24"/>
              </w:rPr>
            </w:pPr>
            <w:r w:rsidRPr="0070747B">
              <w:rPr>
                <w:rFonts w:cstheme="minorHAnsi"/>
                <w:color w:val="auto"/>
                <w:sz w:val="24"/>
                <w:szCs w:val="24"/>
              </w:rPr>
              <w:t>Posílení partnerského přístupu v poskytování zdravotní péče – vzdělávání zdravotníků</w:t>
            </w:r>
          </w:p>
          <w:p w:rsidR="00D3233B" w:rsidRPr="0070747B" w:rsidP="00D3233B" w14:paraId="0E618A6B" w14:textId="77777777">
            <w:pPr>
              <w:pStyle w:val="ListParagraph"/>
              <w:numPr>
                <w:ilvl w:val="0"/>
                <w:numId w:val="0"/>
              </w:numPr>
              <w:overflowPunct w:val="0"/>
              <w:spacing w:before="40" w:after="0"/>
              <w:ind w:left="720"/>
              <w:rPr>
                <w:rFonts w:cs="Arial"/>
                <w:color w:val="auto"/>
                <w:sz w:val="24"/>
                <w:szCs w:val="24"/>
              </w:rPr>
            </w:pPr>
          </w:p>
          <w:p w:rsidR="00D3233B" w:rsidRPr="0070747B" w:rsidP="00D3233B" w14:paraId="4F07D8F4" w14:textId="77777777">
            <w:pPr>
              <w:tabs>
                <w:tab w:val="num" w:pos="585"/>
              </w:tabs>
              <w:overflowPunct w:val="0"/>
              <w:spacing w:before="40" w:after="0"/>
              <w:rPr>
                <w:rFonts w:cs="Arial"/>
                <w:color w:val="auto"/>
                <w:sz w:val="24"/>
              </w:rPr>
            </w:pPr>
            <w:r w:rsidRPr="0070747B">
              <w:rPr>
                <w:rFonts w:cs="Arial"/>
                <w:color w:val="auto"/>
                <w:sz w:val="24"/>
              </w:rPr>
              <w:t>Na úrovni výsledků/výstupů:</w:t>
            </w:r>
          </w:p>
          <w:p w:rsidR="00D3233B" w:rsidRPr="0070747B" w:rsidP="00D3233B" w14:paraId="7B1AD750"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Navýšení počtu dobrovolníků ve zdravotnictví (jakýkoliv typ řízení programu)</w:t>
            </w:r>
          </w:p>
          <w:p w:rsidR="00D3233B" w:rsidRPr="0070747B" w:rsidP="00D3233B" w14:paraId="4FC30DA0"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Optimalizace softwarového řešení projektu NHSP</w:t>
            </w:r>
          </w:p>
          <w:p w:rsidR="00D3233B" w:rsidRPr="0070747B" w:rsidP="00D3233B" w14:paraId="08EE8CD1"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Navýšení počtu členů v národní síti HPH</w:t>
            </w:r>
          </w:p>
          <w:p w:rsidR="00D3233B" w:rsidRPr="0070747B" w:rsidP="00D3233B" w14:paraId="429CF1A9"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Navýšení počtu členů v národní síti GNTH</w:t>
            </w:r>
          </w:p>
          <w:p w:rsidR="00D3233B" w:rsidRPr="0070747B" w:rsidP="00D3233B" w14:paraId="19EFC207"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 xml:space="preserve">Navýšení počtu </w:t>
            </w:r>
            <w:r w:rsidRPr="0070747B">
              <w:rPr>
                <w:rFonts w:eastAsia="Arial" w:cstheme="minorHAnsi"/>
                <w:color w:val="auto"/>
                <w:sz w:val="24"/>
                <w:szCs w:val="24"/>
              </w:rPr>
              <w:t>strategických materiálů v oblasti zapojení aktérů</w:t>
            </w:r>
          </w:p>
          <w:p w:rsidR="00D3233B" w:rsidRPr="0070747B" w:rsidP="00D3233B" w14:paraId="1DF35405"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 xml:space="preserve">Navýšení počtu </w:t>
            </w:r>
            <w:r w:rsidRPr="0070747B">
              <w:rPr>
                <w:rFonts w:eastAsia="Arial" w:cstheme="minorHAnsi"/>
                <w:color w:val="auto"/>
                <w:sz w:val="24"/>
                <w:szCs w:val="24"/>
              </w:rPr>
              <w:t>metodických materiálů v oblasti zapojení aktérů</w:t>
            </w:r>
          </w:p>
          <w:p w:rsidR="00D3233B" w:rsidRPr="0070747B" w:rsidP="00D3233B" w14:paraId="1AEB169D"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 xml:space="preserve">Navýšení počtu </w:t>
            </w:r>
            <w:r w:rsidRPr="0070747B">
              <w:rPr>
                <w:rFonts w:eastAsia="Arial" w:cstheme="minorHAnsi"/>
                <w:color w:val="auto"/>
                <w:sz w:val="24"/>
                <w:szCs w:val="24"/>
              </w:rPr>
              <w:t>článků publikovaných na portálu pro pacienty a pacientské organizace</w:t>
            </w:r>
          </w:p>
          <w:p w:rsidR="00D3233B" w:rsidRPr="0070747B" w:rsidP="00D3233B" w14:paraId="47CF53DC" w14:textId="77777777">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 xml:space="preserve">Navýšení počtu </w:t>
            </w:r>
            <w:r w:rsidRPr="0070747B">
              <w:rPr>
                <w:rFonts w:eastAsia="Arial" w:cstheme="minorHAnsi"/>
                <w:color w:val="auto"/>
                <w:sz w:val="24"/>
                <w:szCs w:val="24"/>
              </w:rPr>
              <w:t>veřejných výzev pro zapojení stakeholderů/veřejnosti uveřejněných na portálu (prozatím na portálu pro pacienty a pacientské organizace, do budoucna web MZD/dedikovaný web pro participační procesy)</w:t>
            </w:r>
          </w:p>
          <w:p w:rsidR="00D3233B" w:rsidRPr="003C7F59" w:rsidP="003C7F59" w14:paraId="0EAC6B3C" w14:textId="69D22656">
            <w:pPr>
              <w:pStyle w:val="ListParagraph"/>
              <w:numPr>
                <w:ilvl w:val="0"/>
                <w:numId w:val="31"/>
              </w:numPr>
              <w:overflowPunct w:val="0"/>
              <w:spacing w:before="40" w:after="0"/>
              <w:rPr>
                <w:rFonts w:cstheme="minorHAnsi"/>
                <w:color w:val="auto"/>
                <w:sz w:val="24"/>
                <w:szCs w:val="24"/>
              </w:rPr>
            </w:pPr>
            <w:r w:rsidRPr="0070747B">
              <w:rPr>
                <w:rFonts w:cstheme="minorHAnsi"/>
                <w:color w:val="auto"/>
                <w:sz w:val="24"/>
                <w:szCs w:val="24"/>
              </w:rPr>
              <w:t>Posílení partnerského přístupu v poskytování zdravotní péče – PZS se zřízenou funkcí ombudsosoby</w:t>
            </w:r>
          </w:p>
        </w:tc>
      </w:tr>
      <w:tr w14:paraId="7C8E9CA9" w14:textId="77777777" w:rsidTr="00847F8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D3233B" w:rsidRPr="00A955AF" w:rsidP="00D3233B" w14:paraId="50DF909E"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D3233B" w:rsidRPr="0070747B" w:rsidP="00D3233B" w14:paraId="14680731" w14:textId="1FA3E29D">
            <w:pPr>
              <w:pStyle w:val="NormalWeb"/>
              <w:shd w:val="clear" w:color="auto" w:fill="FFFFFF"/>
              <w:jc w:val="both"/>
              <w:rPr>
                <w:rFonts w:eastAsia="Times New Roman" w:asciiTheme="minorHAnsi" w:hAnsiTheme="minorHAnsi" w:cstheme="minorHAnsi"/>
              </w:rPr>
            </w:pPr>
            <w:r w:rsidRPr="0070747B">
              <w:rPr>
                <w:rFonts w:asciiTheme="minorHAnsi" w:hAnsiTheme="minorHAnsi" w:cstheme="minorHAnsi"/>
              </w:rPr>
              <w:t xml:space="preserve">Ministerstvo zdravotnictví nastavilo koncepci </w:t>
            </w:r>
            <w:r w:rsidRPr="0070747B">
              <w:rPr>
                <w:rFonts w:asciiTheme="minorHAnsi" w:hAnsiTheme="minorHAnsi" w:cstheme="minorHAnsi"/>
                <w:b/>
                <w:bCs/>
              </w:rPr>
              <w:t>dobrovolnictví ve</w:t>
            </w:r>
            <w:r w:rsidR="002D68D7">
              <w:rPr>
                <w:rFonts w:asciiTheme="minorHAnsi" w:hAnsiTheme="minorHAnsi" w:cstheme="minorHAnsi"/>
                <w:b/>
                <w:bCs/>
              </w:rPr>
              <w:t xml:space="preserve"> </w:t>
            </w:r>
            <w:r w:rsidRPr="0070747B">
              <w:rPr>
                <w:rFonts w:asciiTheme="minorHAnsi" w:hAnsiTheme="minorHAnsi" w:cstheme="minorHAnsi"/>
                <w:b/>
                <w:bCs/>
              </w:rPr>
              <w:t>zdravotnictví</w:t>
            </w:r>
            <w:r w:rsidRPr="0070747B">
              <w:rPr>
                <w:rFonts w:asciiTheme="minorHAnsi" w:hAnsiTheme="minorHAnsi" w:cstheme="minorHAnsi"/>
              </w:rPr>
              <w:t xml:space="preserve"> na základě </w:t>
            </w:r>
            <w:r w:rsidRPr="0070747B">
              <w:rPr>
                <w:rFonts w:eastAsia="Times New Roman" w:asciiTheme="minorHAnsi" w:hAnsiTheme="minorHAnsi" w:cstheme="minorHAnsi"/>
              </w:rPr>
              <w:t>projektu MZD </w:t>
            </w:r>
            <w:r w:rsidRPr="0070747B">
              <w:rPr>
                <w:rFonts w:eastAsia="Times New Roman" w:asciiTheme="minorHAnsi" w:hAnsiTheme="minorHAnsi" w:cstheme="minorHAnsi"/>
                <w:i/>
                <w:iCs/>
              </w:rPr>
              <w:t>„Efektivizace systému nemocniční péče v ČR prostřednictvím dobrovolnické činnosti</w:t>
            </w:r>
            <w:r w:rsidRPr="0070747B">
              <w:rPr>
                <w:rFonts w:eastAsia="Times New Roman" w:asciiTheme="minorHAnsi" w:hAnsiTheme="minorHAnsi" w:cstheme="minorHAnsi"/>
              </w:rPr>
              <w:t>“. I přes silnou metodickou podporu stran MZD nastal s ukončením projektu postupný úpadek zájmu o implementaci a rozvoj této aktivity. Prostřednictvím tohoto strategického rámce má být dosaženo navýšení počtu PZS s dobrovolnickým programem a současně navýšení počtu dobrovolníků v ČR.</w:t>
            </w:r>
          </w:p>
          <w:p w:rsidR="00D3233B" w:rsidRPr="0070747B" w:rsidP="00D3233B" w14:paraId="75E88F4E" w14:textId="77777777">
            <w:pPr>
              <w:pStyle w:val="NormalWeb"/>
              <w:shd w:val="clear" w:color="auto" w:fill="FFFFFF"/>
              <w:jc w:val="both"/>
              <w:rPr>
                <w:rFonts w:asciiTheme="minorHAnsi" w:eastAsiaTheme="minorEastAsia" w:hAnsiTheme="minorHAnsi" w:cstheme="minorBidi"/>
              </w:rPr>
            </w:pPr>
            <w:r w:rsidRPr="0070747B">
              <w:rPr>
                <w:rFonts w:asciiTheme="minorHAnsi" w:eastAsiaTheme="minorEastAsia" w:hAnsiTheme="minorHAnsi" w:cstheme="minorBidi"/>
              </w:rPr>
              <w:t xml:space="preserve">Projekt </w:t>
            </w:r>
            <w:r w:rsidRPr="0070747B">
              <w:rPr>
                <w:rFonts w:asciiTheme="minorHAnsi" w:eastAsiaTheme="minorEastAsia" w:hAnsiTheme="minorHAnsi" w:cstheme="minorBidi"/>
                <w:b/>
                <w:bCs/>
              </w:rPr>
              <w:t>Národní hodnocení spokojenosti pacientů</w:t>
            </w:r>
            <w:r w:rsidRPr="0070747B">
              <w:rPr>
                <w:rFonts w:asciiTheme="minorHAnsi" w:eastAsiaTheme="minorEastAsia" w:hAnsiTheme="minorHAnsi" w:cstheme="minorBidi"/>
              </w:rPr>
              <w:t xml:space="preserve"> aktuálně existuje v modulu pro sledování spokojenosti hospitalizovaných pacientů s lůžkovou péčí a sledování spokojenosti ambulantních pacientů, kteří tuto péči čerpají v lůžkových zdravotnických zařízeních. Projekt má relativně pozitivní trend v počtu participujících PZS, nicméně v kontextu aktuálního nedostatečného softwarového řešení, finančních limitů, omezených PR aktivit atd. je třeba jej dále rozvíjet a šířit. Cílem je vytvořit z NHSP dominantní nástroj pro sledování spokojenosti pacientů v české praxi. </w:t>
            </w:r>
          </w:p>
          <w:p w:rsidR="00D3233B" w:rsidRPr="0070747B" w:rsidP="00D3233B" w14:paraId="75CE9F7D" w14:textId="77777777">
            <w:pPr>
              <w:pStyle w:val="NormalWeb"/>
              <w:shd w:val="clear" w:color="auto" w:fill="FFFFFF"/>
              <w:jc w:val="both"/>
              <w:rPr>
                <w:rFonts w:asciiTheme="minorHAnsi" w:hAnsiTheme="minorHAnsi" w:cstheme="minorHAnsi"/>
              </w:rPr>
            </w:pPr>
            <w:r w:rsidRPr="0070747B">
              <w:rPr>
                <w:rStyle w:val="Strong"/>
                <w:rFonts w:asciiTheme="minorHAnsi" w:hAnsiTheme="minorHAnsi" w:cstheme="minorHAnsi"/>
                <w:b w:val="0"/>
                <w:bCs w:val="0"/>
              </w:rPr>
              <w:t xml:space="preserve">Při MZD byla vytvořena </w:t>
            </w:r>
            <w:r w:rsidRPr="0070747B">
              <w:rPr>
                <w:rStyle w:val="Strong"/>
                <w:rFonts w:asciiTheme="minorHAnsi" w:hAnsiTheme="minorHAnsi" w:cstheme="minorHAnsi"/>
              </w:rPr>
              <w:t>Národní síť nemocnic a zdravotnických zařízení bez tabáku </w:t>
            </w:r>
            <w:r w:rsidRPr="0070747B">
              <w:rPr>
                <w:rFonts w:asciiTheme="minorHAnsi" w:hAnsiTheme="minorHAnsi" w:cstheme="minorHAnsi"/>
              </w:rPr>
              <w:t xml:space="preserve">(The National </w:t>
            </w:r>
            <w:r w:rsidRPr="0070747B">
              <w:rPr>
                <w:rFonts w:asciiTheme="minorHAnsi" w:hAnsiTheme="minorHAnsi" w:cstheme="minorHAnsi"/>
                <w:b/>
                <w:bCs/>
              </w:rPr>
              <w:t>GNTH</w:t>
            </w:r>
            <w:r w:rsidRPr="0070747B">
              <w:rPr>
                <w:rFonts w:asciiTheme="minorHAnsi" w:hAnsiTheme="minorHAnsi" w:cstheme="minorHAnsi"/>
              </w:rPr>
              <w:t xml:space="preserve"> Network of the Czech Republic), a </w:t>
            </w:r>
            <w:r w:rsidRPr="0070747B">
              <w:rPr>
                <w:rFonts w:asciiTheme="minorHAnsi" w:hAnsiTheme="minorHAnsi" w:cstheme="minorHAnsi"/>
                <w:b/>
                <w:bCs/>
              </w:rPr>
              <w:t>N</w:t>
            </w:r>
            <w:r w:rsidRPr="0070747B">
              <w:rPr>
                <w:rFonts w:asciiTheme="minorHAnsi" w:hAnsiTheme="minorHAnsi" w:cstheme="minorHAnsi"/>
                <w:b/>
                <w:bCs/>
                <w:shd w:val="clear" w:color="auto" w:fill="FFFFFF"/>
              </w:rPr>
              <w:t>árodní síť nemocnic a zdravotnických zařízení podporujících zdraví</w:t>
            </w:r>
            <w:r w:rsidRPr="0070747B">
              <w:rPr>
                <w:rFonts w:asciiTheme="minorHAnsi" w:hAnsiTheme="minorHAnsi" w:cstheme="minorHAnsi"/>
                <w:shd w:val="clear" w:color="auto" w:fill="FFFFFF"/>
              </w:rPr>
              <w:t xml:space="preserve"> (International Network of Health Promoting Hospitals and Health Services, </w:t>
            </w:r>
            <w:r w:rsidRPr="0070747B">
              <w:rPr>
                <w:rFonts w:asciiTheme="minorHAnsi" w:hAnsiTheme="minorHAnsi" w:cstheme="minorHAnsi"/>
                <w:b/>
                <w:bCs/>
                <w:shd w:val="clear" w:color="auto" w:fill="FFFFFF"/>
              </w:rPr>
              <w:t>HPH</w:t>
            </w:r>
            <w:r w:rsidRPr="0070747B">
              <w:rPr>
                <w:rFonts w:asciiTheme="minorHAnsi" w:hAnsiTheme="minorHAnsi" w:cstheme="minorHAnsi"/>
                <w:shd w:val="clear" w:color="auto" w:fill="FFFFFF"/>
              </w:rPr>
              <w:t xml:space="preserve">) jako realizační platforma programů v ČR. Při implementaci mají oba projekty prokázané benefity nejen pro pacienty, ale i zdravotnický personál. Tyto jsou však obtížně kvantifikovatelné a zpravidla po dlouhodobé. Nejen proto dochází k velmi omezené implementaci na národní úrovni. Snahou je tedy rozšířit obě národní sítě, zdůraznit komunikaci přínosů obou programů a podporovat již aktivní či potenciální členy.  </w:t>
            </w:r>
          </w:p>
          <w:p w:rsidR="00D3233B" w:rsidRPr="0070747B" w:rsidP="00D3233B" w14:paraId="12C97DDE" w14:textId="77777777">
            <w:pPr>
              <w:pStyle w:val="NormalWeb"/>
              <w:shd w:val="clear" w:color="auto" w:fill="FFFFFF"/>
              <w:jc w:val="both"/>
              <w:rPr>
                <w:rFonts w:asciiTheme="minorHAnsi" w:hAnsiTheme="minorHAnsi" w:cstheme="minorHAnsi"/>
              </w:rPr>
            </w:pPr>
            <w:r w:rsidRPr="0070747B">
              <w:rPr>
                <w:rFonts w:asciiTheme="minorHAnsi" w:hAnsiTheme="minorHAnsi" w:cstheme="minorHAnsi"/>
              </w:rPr>
              <w:t xml:space="preserve">Pro </w:t>
            </w:r>
            <w:r w:rsidRPr="0070747B">
              <w:rPr>
                <w:rFonts w:asciiTheme="minorHAnsi" w:hAnsiTheme="minorHAnsi" w:cstheme="minorHAnsi"/>
                <w:b/>
                <w:bCs/>
              </w:rPr>
              <w:t>tvorbu udržitelných a spravedlivých politik</w:t>
            </w:r>
            <w:r w:rsidRPr="0070747B">
              <w:rPr>
                <w:rFonts w:asciiTheme="minorHAnsi" w:hAnsiTheme="minorHAnsi" w:cstheme="minorHAnsi"/>
              </w:rPr>
              <w:t xml:space="preserve"> je třeba zapojovat aktéry, na které mají politiky dopad a vliv. S ohledem na historicky nižší zapojování zástupců pacientů je třeba jejich zapojení ukotvit </w:t>
            </w:r>
            <w:r w:rsidRPr="0070747B">
              <w:rPr>
                <w:rFonts w:asciiTheme="minorHAnsi" w:hAnsiTheme="minorHAnsi" w:cstheme="minorHAnsi"/>
              </w:rPr>
              <w:t>a systémově nastavit. V souladu s Rezolucí WHO o sociální participaci se počítá se zapojováním občanů.</w:t>
            </w:r>
          </w:p>
          <w:p w:rsidR="00D3233B" w:rsidRPr="0070747B" w:rsidP="00D3233B" w14:paraId="56EE6013" w14:textId="2EA7177A">
            <w:pPr>
              <w:spacing w:before="0" w:after="0"/>
              <w:rPr>
                <w:rFonts w:cstheme="minorHAnsi"/>
                <w:color w:val="auto"/>
                <w:sz w:val="24"/>
                <w:szCs w:val="28"/>
              </w:rPr>
            </w:pPr>
            <w:r w:rsidRPr="0070747B">
              <w:rPr>
                <w:rFonts w:cstheme="minorHAnsi"/>
                <w:color w:val="auto"/>
                <w:sz w:val="24"/>
                <w:szCs w:val="28"/>
              </w:rPr>
              <w:t>Zlepšení komunikace mezi zdravotnickým personálem a pacienty je jedním ze stěžejních předpokladů posunu českého zdravotnictví k</w:t>
            </w:r>
            <w:r w:rsidR="002D68D7">
              <w:rPr>
                <w:rFonts w:cstheme="minorHAnsi"/>
                <w:color w:val="auto"/>
                <w:sz w:val="24"/>
                <w:szCs w:val="28"/>
              </w:rPr>
              <w:t> </w:t>
            </w:r>
            <w:r w:rsidRPr="0070747B">
              <w:rPr>
                <w:rFonts w:cstheme="minorHAnsi"/>
                <w:color w:val="auto"/>
                <w:sz w:val="24"/>
                <w:szCs w:val="28"/>
              </w:rPr>
              <w:t>více partnerskému modelu péče. Pro zvýšení efektivity stížnostního procesu je nezbytné posílit jeho institucionální a</w:t>
            </w:r>
            <w:r w:rsidR="002D68D7">
              <w:rPr>
                <w:rFonts w:cstheme="minorHAnsi"/>
                <w:color w:val="auto"/>
                <w:sz w:val="24"/>
                <w:szCs w:val="28"/>
              </w:rPr>
              <w:t> </w:t>
            </w:r>
            <w:r w:rsidRPr="0070747B">
              <w:rPr>
                <w:rFonts w:cstheme="minorHAnsi"/>
                <w:color w:val="auto"/>
                <w:sz w:val="24"/>
                <w:szCs w:val="28"/>
              </w:rPr>
              <w:t xml:space="preserve">legislativní ukotvení. </w:t>
            </w:r>
          </w:p>
          <w:p w:rsidR="00D3233B" w:rsidRPr="0070747B" w:rsidP="00D3233B" w14:paraId="38A712F2" w14:textId="2E403A1F">
            <w:pPr>
              <w:pStyle w:val="NormalWeb"/>
              <w:shd w:val="clear" w:color="auto" w:fill="FFFFFF"/>
              <w:jc w:val="both"/>
              <w:rPr>
                <w:rFonts w:eastAsiaTheme="minorEastAsia" w:cstheme="minorHAnsi"/>
              </w:rPr>
            </w:pPr>
          </w:p>
        </w:tc>
      </w:tr>
      <w:tr w14:paraId="3AA9EEEF" w14:textId="77777777" w:rsidTr="00847F8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021EEE" w:rsidRPr="00A955AF" w:rsidP="00B56B1A" w14:paraId="061CFBEE"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847F8A" w:rsidRPr="002D68D7" w:rsidP="002D68D7" w14:paraId="6E42AE49" w14:textId="45DEC2EB">
            <w:pPr>
              <w:spacing w:before="0" w:after="0"/>
              <w:rPr>
                <w:rFonts w:cstheme="minorHAnsi"/>
                <w:color w:val="auto"/>
                <w:sz w:val="24"/>
                <w:szCs w:val="28"/>
              </w:rPr>
            </w:pPr>
            <w:r w:rsidRPr="002D68D7">
              <w:rPr>
                <w:rFonts w:cstheme="minorHAnsi"/>
                <w:color w:val="auto"/>
                <w:sz w:val="24"/>
                <w:szCs w:val="28"/>
              </w:rPr>
              <w:t>Tento cíl je zaměřen na dosažení stavu, kdy je zdravotnictví postaveno na respektujícím přístupu, který klade důraz na důstojnost, rovnost a</w:t>
            </w:r>
            <w:r w:rsidRPr="002D68D7" w:rsidR="002831C0">
              <w:rPr>
                <w:rFonts w:cstheme="minorHAnsi"/>
                <w:color w:val="auto"/>
                <w:sz w:val="24"/>
                <w:szCs w:val="28"/>
              </w:rPr>
              <w:t> </w:t>
            </w:r>
            <w:r w:rsidRPr="002D68D7">
              <w:rPr>
                <w:rFonts w:cstheme="minorHAnsi"/>
                <w:color w:val="auto"/>
                <w:sz w:val="24"/>
                <w:szCs w:val="28"/>
              </w:rPr>
              <w:t xml:space="preserve">partnerství mezi pacienty a zdravotníky. Patriarchální model, kdy byl pacient pasivním příjemcem péče, ustoupí systému, kde jsou pacienti aktivními spolutvůrci svého zdravotního plánu. </w:t>
            </w:r>
            <w:r w:rsidRPr="002D68D7" w:rsidR="00E3479B">
              <w:rPr>
                <w:rFonts w:cstheme="minorHAnsi"/>
                <w:color w:val="auto"/>
                <w:sz w:val="24"/>
                <w:szCs w:val="28"/>
              </w:rPr>
              <w:t xml:space="preserve">Zdravotní </w:t>
            </w:r>
            <w:r w:rsidRPr="002D68D7">
              <w:rPr>
                <w:rFonts w:cstheme="minorHAnsi"/>
                <w:color w:val="auto"/>
                <w:sz w:val="24"/>
                <w:szCs w:val="28"/>
              </w:rPr>
              <w:t>péče je individualizovaná, citlivá k</w:t>
            </w:r>
            <w:r w:rsidRPr="002D68D7" w:rsidR="002D68D7">
              <w:rPr>
                <w:rFonts w:cstheme="minorHAnsi"/>
                <w:color w:val="auto"/>
                <w:sz w:val="24"/>
                <w:szCs w:val="28"/>
              </w:rPr>
              <w:t> </w:t>
            </w:r>
            <w:r w:rsidRPr="002D68D7">
              <w:rPr>
                <w:rFonts w:cstheme="minorHAnsi"/>
                <w:color w:val="auto"/>
                <w:sz w:val="24"/>
                <w:szCs w:val="28"/>
              </w:rPr>
              <w:t>potřebám různých skupin a odráží hodnoty důvěry, empatie a</w:t>
            </w:r>
            <w:r w:rsidRPr="002D68D7" w:rsidR="002D68D7">
              <w:rPr>
                <w:rFonts w:cstheme="minorHAnsi"/>
                <w:color w:val="auto"/>
                <w:sz w:val="24"/>
                <w:szCs w:val="28"/>
              </w:rPr>
              <w:t> </w:t>
            </w:r>
            <w:r w:rsidRPr="002D68D7">
              <w:rPr>
                <w:rFonts w:cstheme="minorHAnsi"/>
                <w:color w:val="auto"/>
                <w:sz w:val="24"/>
                <w:szCs w:val="28"/>
              </w:rPr>
              <w:t xml:space="preserve">spolupráce. Díky tomuto přístupu je zdravotní systém efektivní, lidský a podporuje zdraví celé společnosti v souladu s moderními principy sociální spravedlnosti. </w:t>
            </w:r>
            <w:r w:rsidRPr="002D68D7" w:rsidR="00AD467E">
              <w:rPr>
                <w:rFonts w:cstheme="minorHAnsi"/>
                <w:color w:val="auto"/>
                <w:sz w:val="24"/>
                <w:szCs w:val="28"/>
              </w:rPr>
              <w:t>Je nastaven jednotný národní systém sledování a vyhodnocování spokojenosti pacientů v ČR.</w:t>
            </w:r>
          </w:p>
          <w:p w:rsidR="00021EEE" w:rsidRPr="00021EEE" w:rsidP="002D68D7" w14:paraId="611340CD" w14:textId="4883E83F">
            <w:pPr>
              <w:spacing w:before="0" w:after="0"/>
              <w:rPr>
                <w:rFonts w:cs="Arial"/>
                <w:sz w:val="24"/>
              </w:rPr>
            </w:pPr>
            <w:r w:rsidRPr="002D68D7">
              <w:rPr>
                <w:rFonts w:cstheme="minorHAnsi"/>
                <w:color w:val="auto"/>
                <w:sz w:val="24"/>
                <w:szCs w:val="28"/>
              </w:rPr>
              <w:t xml:space="preserve">Ve zdravotnických zařízeních jsou vytvořeny a využívány dobrovolnické programy. Většina nemocnic </w:t>
            </w:r>
            <w:r w:rsidRPr="002D68D7" w:rsidR="00AD467E">
              <w:rPr>
                <w:rFonts w:cstheme="minorHAnsi"/>
                <w:color w:val="auto"/>
                <w:sz w:val="24"/>
                <w:szCs w:val="28"/>
              </w:rPr>
              <w:t>je zapojena do sítí GNTH a HPH</w:t>
            </w:r>
            <w:r w:rsidRPr="002D68D7" w:rsidR="00E3479B">
              <w:rPr>
                <w:rFonts w:cstheme="minorHAnsi"/>
                <w:color w:val="auto"/>
                <w:sz w:val="24"/>
                <w:szCs w:val="28"/>
              </w:rPr>
              <w:t xml:space="preserve"> a využívají NHSP jako nástroj pro sledování a</w:t>
            </w:r>
            <w:r w:rsidR="002D68D7">
              <w:rPr>
                <w:rFonts w:cstheme="minorHAnsi"/>
                <w:color w:val="auto"/>
                <w:sz w:val="24"/>
                <w:szCs w:val="28"/>
              </w:rPr>
              <w:t> </w:t>
            </w:r>
            <w:r w:rsidRPr="002D68D7" w:rsidR="00E3479B">
              <w:rPr>
                <w:rFonts w:cstheme="minorHAnsi"/>
                <w:color w:val="auto"/>
                <w:sz w:val="24"/>
                <w:szCs w:val="28"/>
              </w:rPr>
              <w:t>vyhodnocování spokojenosti pacientů ve zdravotnictví</w:t>
            </w:r>
            <w:r w:rsidRPr="002D68D7" w:rsidR="00AD467E">
              <w:rPr>
                <w:rFonts w:cstheme="minorHAnsi"/>
                <w:color w:val="auto"/>
                <w:sz w:val="24"/>
                <w:szCs w:val="28"/>
              </w:rPr>
              <w:t>.</w:t>
            </w:r>
            <w:r w:rsidR="002D68D7">
              <w:rPr>
                <w:rFonts w:cstheme="minorHAnsi"/>
                <w:color w:val="auto"/>
                <w:sz w:val="24"/>
                <w:szCs w:val="28"/>
              </w:rPr>
              <w:t> </w:t>
            </w:r>
          </w:p>
        </w:tc>
      </w:tr>
      <w:tr w14:paraId="2B9C849F" w14:textId="77777777" w:rsidTr="00B56B1A">
        <w:tblPrEx>
          <w:tblW w:w="8928" w:type="dxa"/>
          <w:tblInd w:w="360"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021EEE" w:rsidRPr="00A955AF" w:rsidP="00B56B1A" w14:paraId="24402755"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021EEE" w:rsidRPr="00520F1D" w:rsidP="00B56B1A" w14:paraId="4C31BFEB" w14:textId="63177B71">
            <w:pPr>
              <w:rPr>
                <w:rFonts w:cs="Arial"/>
                <w:sz w:val="24"/>
              </w:rPr>
            </w:pPr>
            <w:r w:rsidRPr="00A955AF">
              <w:rPr>
                <w:rFonts w:cs="Arial"/>
                <w:sz w:val="24"/>
                <w:szCs w:val="22"/>
              </w:rPr>
              <w:t xml:space="preserve">Státní rozpočet, fondy EU, </w:t>
            </w:r>
            <w:r w:rsidRPr="008F2CA4" w:rsidR="008F2CA4">
              <w:rPr>
                <w:rFonts w:cs="Arial"/>
                <w:sz w:val="24"/>
                <w:szCs w:val="22"/>
              </w:rPr>
              <w:t>Fondy EHP</w:t>
            </w:r>
            <w:r w:rsidRPr="00A955AF">
              <w:rPr>
                <w:rFonts w:cs="Arial"/>
                <w:sz w:val="24"/>
                <w:szCs w:val="22"/>
              </w:rPr>
              <w:t xml:space="preserve">, </w:t>
            </w:r>
            <w:r w:rsidRPr="00A955AF">
              <w:rPr>
                <w:rFonts w:cs="Arial"/>
                <w:sz w:val="24"/>
              </w:rPr>
              <w:t xml:space="preserve">a další donoři. </w:t>
            </w:r>
          </w:p>
        </w:tc>
      </w:tr>
    </w:tbl>
    <w:p w:rsidR="00021EEE" w:rsidRPr="007774A9" w:rsidP="00021EEE" w14:paraId="5C8B686A" w14:textId="77777777">
      <w:pPr>
        <w:pStyle w:val="Bntext"/>
        <w:ind w:firstLine="0"/>
        <w:rPr>
          <w:rFonts w:asciiTheme="minorHAnsi" w:hAnsiTheme="minorHAnsi" w:cs="Arial"/>
          <w:szCs w:val="22"/>
          <w:lang w:val="cs-CZ"/>
        </w:rPr>
      </w:pPr>
    </w:p>
    <w:p w:rsidR="002831C0" w14:paraId="17AD15B2" w14:textId="033584AE">
      <w:pPr>
        <w:spacing w:before="0" w:line="264" w:lineRule="auto"/>
        <w:jc w:val="left"/>
      </w:pPr>
      <w:r>
        <w:br w:type="page"/>
      </w:r>
    </w:p>
    <w:p w:rsidR="006B7070" w:rsidRPr="00A955AF" w14:paraId="372FBE36" w14:textId="77777777">
      <w:pPr>
        <w:spacing w:before="0" w:line="264" w:lineRule="auto"/>
        <w:jc w:val="left"/>
      </w:pPr>
    </w:p>
    <w:p w:rsidR="00244EE3" w:rsidRPr="00A955AF" w:rsidP="00670E0B" w14:paraId="48B47E52" w14:textId="2C403366">
      <w:pPr>
        <w:pStyle w:val="NA2"/>
      </w:pPr>
      <w:bookmarkStart w:id="614" w:name="_Toc7705148"/>
      <w:bookmarkStart w:id="615" w:name="_Toc7705619"/>
      <w:bookmarkStart w:id="616" w:name="_Hlk40448530"/>
      <w:bookmarkStart w:id="617" w:name="_Toc256000063"/>
      <w:r>
        <w:t xml:space="preserve">SC 3.1 </w:t>
      </w:r>
      <w:r w:rsidRPr="00A955AF">
        <w:t>Zapojení vědy a výzkumu do řešení prioritních úkolů zdravotnictví</w:t>
      </w:r>
      <w:bookmarkEnd w:id="617"/>
      <w:bookmarkEnd w:id="614"/>
      <w:bookmarkEnd w:id="615"/>
    </w:p>
    <w:p w:rsidR="002D06A5" w:rsidRPr="00A955AF" w:rsidP="002D06A5" w14:paraId="08CFF8BD" w14:textId="77777777">
      <w:pPr>
        <w:pStyle w:val="Bntext"/>
        <w:spacing w:before="0" w:after="0" w:line="240" w:lineRule="auto"/>
        <w:ind w:firstLine="0"/>
        <w:rPr>
          <w:rFonts w:asciiTheme="minorHAnsi" w:hAnsiTheme="minorHAnsi" w:cs="Arial"/>
          <w:sz w:val="24"/>
          <w:lang w:val="cs-CZ"/>
        </w:rPr>
      </w:pPr>
      <w:r w:rsidRPr="00A955AF">
        <w:rPr>
          <w:rFonts w:asciiTheme="minorHAnsi" w:hAnsiTheme="minorHAnsi" w:cs="Arial"/>
          <w:sz w:val="24"/>
          <w:lang w:val="cs-CZ"/>
        </w:rPr>
        <w:t xml:space="preserve">České zdravotnictví je na velmi dobré úrovni. Její udržení a další zlepšování zásadně souvisí s podporou a uplatněním výzkumu jak základního, tak aplikovaného. Věda a výzkum přispívají k objasňování vzniku a rozvoje chorob, přinášejí nové diagnostické a terapeutické metody a vedou k prevenci nejzávažnějších chorob či přispívají k předcházení epidemií. Využití výsledků výzkumu vede k zavádění inovativních metod a postupů ve zdravotnictví a přispívá dále ke zlepšování zdravotního stavu obyvatelstva. </w:t>
      </w:r>
    </w:p>
    <w:p w:rsidR="002D06A5" w:rsidRPr="00A955AF" w:rsidP="002D06A5" w14:paraId="2D86118D" w14:textId="77777777">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 xml:space="preserve">Dalšími přínosy vědy a výzkumu je podpora účinnosti diagnostických a léčebných postupů, zavádění inovativních metod a postupů ve zdravotnictví. S tím souvisí potřeba dalšího rozvoje stávajících špičkových výzkumných zdravotnických pracovišť, stejně jako nutnost zlepšování podmínek pro vědce, především širší zapojení mladých výzkumných pracovníků a jejich podpora (dostatečné finanční ohodnocení, flexibilní pracovní úvazky atd.). Výsledky výzkumu se pak dostávají do praxe také postgraduálním vzděláváním lékařů i ostatních pracovníků ve zdravotnictví. </w:t>
      </w:r>
    </w:p>
    <w:p w:rsidR="002D06A5" w:rsidRPr="00A955AF" w:rsidP="002D06A5" w14:paraId="0B5C0C1E" w14:textId="77777777">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 xml:space="preserve">Nemalou roli v oblasti vědy a výzkumu hraje spolupráce se špičkovými zahraničními pracovišti a týmy a vytvoření podmínek pro takovou spolupráci. Český zdravotnický výzkum musí držet krok s rozvojem světové vědy. Stejně důležitá je v oblasti zdravotnického výzkumu podpora excelence, jakož i spolupráce veřejného a privátního sektoru.  </w:t>
      </w:r>
    </w:p>
    <w:p w:rsidR="002D06A5" w:rsidRPr="00A955AF" w:rsidP="002D06A5" w14:paraId="65498FB9" w14:textId="77777777">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 xml:space="preserve">Organizačně je nutno hledat cesty k centralizaci a koncentraci výzkumných i léčebných aktivit. Výzkum v této oblasti by měl hledat lepší provázanost s místním průmyslem. Podstatou této strategické výzvy je existence dynamických, nerovnovážných vztahů mezi rychlými pokroky lékařské vědy, měnícími se životními a pracovními podmínkami života lidí a setrvačností lidského i institucionálního chování; tyto faktory se – často s mnohaletým zpožděním – budou promítat do zdravotního stavu české populace. Přitom dobrý zdravotní stav je základním předpokladem uspokojivého uplatnění jedinců ve společnosti a ekonomice. </w:t>
      </w:r>
    </w:p>
    <w:p w:rsidR="002D06A5" w:rsidRPr="00A955AF" w:rsidP="002D06A5" w14:paraId="521B8838" w14:textId="77777777">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Do životního prostředí se každoročně uvolňují tisíce nových chemických látek, jejich</w:t>
      </w:r>
      <w:r>
        <w:rPr>
          <w:rFonts w:asciiTheme="minorHAnsi" w:hAnsiTheme="minorHAnsi" w:cs="Arial"/>
          <w:sz w:val="24"/>
          <w:lang w:val="cs-CZ"/>
        </w:rPr>
        <w:t>ž</w:t>
      </w:r>
      <w:r w:rsidRPr="00A955AF">
        <w:rPr>
          <w:rFonts w:asciiTheme="minorHAnsi" w:hAnsiTheme="minorHAnsi" w:cs="Arial"/>
          <w:sz w:val="24"/>
          <w:lang w:val="cs-CZ"/>
        </w:rPr>
        <w:t xml:space="preserve"> vliv na zdraví ani jejich kumulativní účinky</w:t>
      </w:r>
      <w:r w:rsidRPr="003D2961">
        <w:t xml:space="preserve"> </w:t>
      </w:r>
      <w:r w:rsidRPr="003D2961">
        <w:rPr>
          <w:rFonts w:asciiTheme="minorHAnsi" w:hAnsiTheme="minorHAnsi" w:cs="Arial"/>
          <w:sz w:val="24"/>
          <w:lang w:val="cs-CZ"/>
        </w:rPr>
        <w:t>přesně neznáme</w:t>
      </w:r>
      <w:r w:rsidRPr="00A955AF">
        <w:rPr>
          <w:rFonts w:asciiTheme="minorHAnsi" w:hAnsiTheme="minorHAnsi" w:cs="Arial"/>
          <w:sz w:val="24"/>
          <w:lang w:val="cs-CZ"/>
        </w:rPr>
        <w:t>. K dalším negativním faktorům řadíme hluk, záření či vystavení lidí vlivu znečišťujících látek ve vodě, potravinách nebo ve vzduchu. Nelze opomenout ani rychlost technologických změn a vyšší míru stresu s nimi spojenou. Budou tak zřejmě vznikat dříve neznámá zdravotní rizika spojená s modernizací a rozvojem společnosti (nanotechnologie, geneticky modifikované organismy atd.). Stále hrozí pandemie nových infekčních nemocí. Nové výzvy přinese i změna klimatu, kdy lze očekávat i výskyt chorob v ČR dosud raritních či se nevyskytujících. Zranitelné skupiny (např. kardiaci, děti a</w:t>
      </w:r>
      <w:r>
        <w:rPr>
          <w:rFonts w:asciiTheme="minorHAnsi" w:hAnsiTheme="minorHAnsi" w:cs="Arial"/>
          <w:sz w:val="24"/>
          <w:lang w:val="cs-CZ"/>
        </w:rPr>
        <w:t> </w:t>
      </w:r>
      <w:r w:rsidRPr="00A955AF">
        <w:rPr>
          <w:rFonts w:asciiTheme="minorHAnsi" w:hAnsiTheme="minorHAnsi" w:cs="Arial"/>
          <w:sz w:val="24"/>
          <w:lang w:val="cs-CZ"/>
        </w:rPr>
        <w:t>starší spoluobčané) pak budou více ohroženy vlnami veder.</w:t>
      </w:r>
    </w:p>
    <w:p w:rsidR="002D06A5" w:rsidRPr="00A955AF" w:rsidP="002D06A5" w14:paraId="0545A849" w14:textId="77777777">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Pokrok lékařského poznání v oblasti genetiky a dalších oborů naopak poved</w:t>
      </w:r>
      <w:r>
        <w:rPr>
          <w:rFonts w:asciiTheme="minorHAnsi" w:hAnsiTheme="minorHAnsi" w:cs="Arial"/>
          <w:sz w:val="24"/>
          <w:lang w:val="cs-CZ"/>
        </w:rPr>
        <w:t>e</w:t>
      </w:r>
      <w:r w:rsidRPr="00A955AF">
        <w:rPr>
          <w:rFonts w:asciiTheme="minorHAnsi" w:hAnsiTheme="minorHAnsi" w:cs="Arial"/>
          <w:sz w:val="24"/>
          <w:lang w:val="cs-CZ"/>
        </w:rPr>
        <w:t xml:space="preserve"> k lepšímu poznání mechanismů vzniku onemocnění a k rozšíření možností jejich prevence, léčení či nahrazování poškozených nebo nefunkčních orgánů novými. Velkou roli budou hrát schopnosti systému zdravotnictví adaptovat se na tyto proměny tak, aby byl všem občanům zaručen přístup k podpoře a ochraně jejich zdraví, aby byla posilována motivace ke zdravému životnímu stylu a aby byla důsledně uplatňována pravidla účinné prevence nemocí.</w:t>
      </w:r>
    </w:p>
    <w:p w:rsidR="002D06A5" w:rsidP="002D06A5" w14:paraId="5C55A720" w14:textId="77777777">
      <w:pPr>
        <w:pStyle w:val="Bntext"/>
        <w:spacing w:line="240" w:lineRule="auto"/>
        <w:ind w:firstLine="0"/>
        <w:rPr>
          <w:rFonts w:asciiTheme="minorHAnsi" w:hAnsiTheme="minorHAnsi" w:cs="Arial"/>
          <w:sz w:val="24"/>
          <w:lang w:val="cs-CZ"/>
        </w:rPr>
      </w:pPr>
      <w:r w:rsidRPr="00A955AF">
        <w:rPr>
          <w:rFonts w:asciiTheme="minorHAnsi" w:hAnsiTheme="minorHAnsi" w:cs="Arial"/>
          <w:sz w:val="24"/>
          <w:lang w:val="cs-CZ"/>
        </w:rPr>
        <w:t>Základním a hlavním cílem je zajištění mezinárodně srovnatelné úrovně zdravotnického výzkumu a využití jeho výsledků pro zlepšení zdraví české populace a pro zabezpečení aktuálních potřeb zdravotnictví v ČR.</w:t>
      </w:r>
      <w:r>
        <w:rPr>
          <w:rFonts w:asciiTheme="minorHAnsi" w:hAnsiTheme="minorHAnsi" w:cs="Arial"/>
          <w:sz w:val="24"/>
          <w:lang w:val="cs-CZ"/>
        </w:rPr>
        <w:t xml:space="preserve"> </w:t>
      </w:r>
    </w:p>
    <w:p w:rsidR="002D06A5" w:rsidP="002D06A5" w14:paraId="5CF94FB7" w14:textId="436CFA35">
      <w:pPr>
        <w:pStyle w:val="Bntext"/>
        <w:spacing w:line="240" w:lineRule="auto"/>
        <w:ind w:firstLine="0"/>
        <w:rPr>
          <w:rFonts w:asciiTheme="minorHAnsi" w:hAnsiTheme="minorHAnsi" w:cs="Arial"/>
          <w:sz w:val="24"/>
          <w:lang w:val="cs-CZ"/>
        </w:rPr>
      </w:pPr>
      <w:r>
        <w:rPr>
          <w:rFonts w:asciiTheme="minorHAnsi" w:hAnsiTheme="minorHAnsi" w:cs="Arial"/>
          <w:sz w:val="24"/>
          <w:lang w:val="cs-CZ"/>
        </w:rPr>
        <w:t xml:space="preserve">Hlavními nástroji realizace specifického cíle 3.1 Zapojení vědy a výzkumu do řešení prioritních úkolů zdravotnictví budou programy účelové podpory </w:t>
      </w:r>
      <w:r w:rsidRPr="00794183">
        <w:rPr>
          <w:rFonts w:asciiTheme="minorHAnsi" w:hAnsiTheme="minorHAnsi" w:cs="Arial"/>
          <w:sz w:val="24"/>
          <w:lang w:val="cs-CZ"/>
        </w:rPr>
        <w:t>na podporu zdravotnického aplikovaného výzkumu</w:t>
      </w:r>
      <w:r>
        <w:rPr>
          <w:rFonts w:asciiTheme="minorHAnsi" w:hAnsiTheme="minorHAnsi" w:cs="Arial"/>
          <w:sz w:val="24"/>
          <w:lang w:val="cs-CZ"/>
        </w:rPr>
        <w:t xml:space="preserve"> v gesci MZD.</w:t>
      </w:r>
    </w:p>
    <w:p w:rsidR="00750E19" w:rsidRPr="00A955AF" w:rsidP="006B7070" w14:paraId="75C6E029" w14:textId="53CA71EB">
      <w:pPr>
        <w:spacing w:before="0" w:line="264" w:lineRule="auto"/>
        <w:jc w:val="left"/>
        <w:rPr>
          <w:rFonts w:ascii="Arial" w:hAnsi="Arial" w:cs="Arial"/>
          <w:b/>
          <w:sz w:val="24"/>
        </w:rPr>
      </w:pPr>
    </w:p>
    <w:tbl>
      <w:tblPr>
        <w:tblpPr w:leftFromText="141" w:rightFromText="141" w:vertAnchor="text" w:tblpX="360" w:tblpY="1"/>
        <w:tblOverlap w:val="neve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8"/>
        <w:gridCol w:w="5699"/>
        <w:gridCol w:w="1071"/>
      </w:tblGrid>
      <w:tr w14:paraId="3217729A" w14:textId="77777777" w:rsidTr="0070747B">
        <w:tblPrEx>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blHeader/>
        </w:trPr>
        <w:tc>
          <w:tcPr>
            <w:tcW w:w="2158" w:type="dxa"/>
            <w:tcBorders>
              <w:top w:val="single" w:sz="4" w:space="0" w:color="auto"/>
              <w:left w:val="single" w:sz="4" w:space="0" w:color="auto"/>
              <w:bottom w:val="single" w:sz="4" w:space="0" w:color="auto"/>
              <w:right w:val="single" w:sz="4" w:space="0" w:color="auto"/>
            </w:tcBorders>
            <w:shd w:val="clear" w:color="auto" w:fill="CCECFF"/>
            <w:vAlign w:val="center"/>
            <w:hideMark/>
          </w:tcPr>
          <w:p w:rsidR="000676E1" w:rsidRPr="00A955AF" w:rsidP="00C90C68" w14:paraId="3E3BEB99" w14:textId="77777777">
            <w:pPr>
              <w:spacing w:line="276" w:lineRule="auto"/>
              <w:jc w:val="left"/>
              <w:rPr>
                <w:rFonts w:eastAsiaTheme="minorHAnsi" w:cs="Arial"/>
                <w:b/>
                <w:color w:val="205493"/>
                <w:sz w:val="24"/>
              </w:rPr>
            </w:pPr>
            <w:r w:rsidRPr="00A955AF">
              <w:rPr>
                <w:rFonts w:cs="Arial"/>
                <w:b/>
                <w:color w:val="205493"/>
                <w:sz w:val="24"/>
              </w:rPr>
              <w:t>Číslo a název specifického cíle</w:t>
            </w:r>
          </w:p>
        </w:tc>
        <w:tc>
          <w:tcPr>
            <w:tcW w:w="5699" w:type="dxa"/>
            <w:tcBorders>
              <w:top w:val="single" w:sz="4" w:space="0" w:color="auto"/>
              <w:left w:val="single" w:sz="4" w:space="0" w:color="auto"/>
              <w:bottom w:val="single" w:sz="4" w:space="0" w:color="auto"/>
              <w:right w:val="nil"/>
            </w:tcBorders>
            <w:shd w:val="clear" w:color="auto" w:fill="CCECFF"/>
            <w:vAlign w:val="center"/>
            <w:hideMark/>
          </w:tcPr>
          <w:p w:rsidR="000676E1" w:rsidRPr="00A955AF" w:rsidP="00C90C68" w14:paraId="28536110" w14:textId="77777777">
            <w:pPr>
              <w:spacing w:line="276" w:lineRule="auto"/>
              <w:rPr>
                <w:rFonts w:eastAsiaTheme="minorHAnsi" w:cs="Arial"/>
                <w:b/>
                <w:color w:val="205493"/>
                <w:sz w:val="24"/>
              </w:rPr>
            </w:pPr>
            <w:r w:rsidRPr="00A955AF">
              <w:rPr>
                <w:rFonts w:cs="Arial"/>
                <w:b/>
                <w:color w:val="205493"/>
                <w:sz w:val="24"/>
              </w:rPr>
              <w:t>3.1 Zapojení vědy a výzkumu do řešení prioritních úkolů zdravotnictví</w:t>
            </w:r>
          </w:p>
        </w:tc>
        <w:tc>
          <w:tcPr>
            <w:tcW w:w="1071" w:type="dxa"/>
            <w:tcBorders>
              <w:top w:val="single" w:sz="4" w:space="0" w:color="auto"/>
              <w:left w:val="nil"/>
              <w:bottom w:val="single" w:sz="4" w:space="0" w:color="auto"/>
              <w:right w:val="single" w:sz="4" w:space="0" w:color="auto"/>
            </w:tcBorders>
            <w:shd w:val="clear" w:color="auto" w:fill="CCECFF"/>
            <w:vAlign w:val="center"/>
          </w:tcPr>
          <w:p w:rsidR="000676E1" w:rsidRPr="00A955AF" w:rsidP="00C90C68" w14:paraId="1BCA11BE" w14:textId="0EF3AD0C">
            <w:pPr>
              <w:spacing w:line="276" w:lineRule="auto"/>
              <w:jc w:val="right"/>
              <w:rPr>
                <w:rFonts w:eastAsiaTheme="minorHAnsi" w:cs="Arial"/>
                <w:b/>
                <w:color w:val="205493"/>
                <w:sz w:val="24"/>
              </w:rPr>
            </w:pPr>
            <w:r w:rsidRPr="00A955AF">
              <w:rPr>
                <w:rFonts w:eastAsiaTheme="minorHAnsi" w:cs="Arial"/>
                <w:b/>
                <w:noProof/>
                <w:color w:val="205493"/>
                <w:sz w:val="24"/>
                <w:lang w:eastAsia="cs-CZ"/>
              </w:rPr>
              <w:drawing>
                <wp:inline distT="0" distB="0" distL="0" distR="0">
                  <wp:extent cx="428491" cy="432000"/>
                  <wp:effectExtent l="0" t="0" r="0" b="635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ko-3-1.png"/>
                          <pic:cNvPicPr/>
                        </pic:nvPicPr>
                        <pic:blipFill>
                          <a:blip xmlns:r="http://schemas.openxmlformats.org/officeDocument/2006/relationships" r:embed="rId52" cstate="print">
                            <a:extLst>
                              <a:ext xmlns:a="http://schemas.openxmlformats.org/drawingml/2006/main" uri="{28A0092B-C50C-407E-A947-70E740481C1C}">
                                <a14:useLocalDpi xmlns:a14="http://schemas.microsoft.com/office/drawing/2010/main" val="0"/>
                              </a:ext>
                            </a:extLst>
                          </a:blip>
                          <a:stretch>
                            <a:fillRect/>
                          </a:stretch>
                        </pic:blipFill>
                        <pic:spPr>
                          <a:xfrm>
                            <a:off x="0" y="0"/>
                            <a:ext cx="428491" cy="432000"/>
                          </a:xfrm>
                          <a:prstGeom prst="rect">
                            <a:avLst/>
                          </a:prstGeom>
                        </pic:spPr>
                      </pic:pic>
                    </a:graphicData>
                  </a:graphic>
                </wp:inline>
              </w:drawing>
            </w:r>
          </w:p>
        </w:tc>
      </w:tr>
      <w:tr w14:paraId="1783CA78" w14:textId="77777777" w:rsidTr="007941F6">
        <w:tblPrEx>
          <w:tblW w:w="8928" w:type="dxa"/>
          <w:tblLayout w:type="fixed"/>
          <w:tblLook w:val="04A0"/>
        </w:tblPrEx>
        <w:trPr>
          <w:trHeight w:val="716"/>
        </w:trPr>
        <w:tc>
          <w:tcPr>
            <w:tcW w:w="2158" w:type="dxa"/>
            <w:tcBorders>
              <w:top w:val="single" w:sz="4" w:space="0" w:color="auto"/>
              <w:left w:val="single" w:sz="4" w:space="0" w:color="auto"/>
              <w:bottom w:val="single" w:sz="4" w:space="0" w:color="auto"/>
              <w:right w:val="single" w:sz="4" w:space="0" w:color="auto"/>
            </w:tcBorders>
            <w:vAlign w:val="center"/>
            <w:hideMark/>
          </w:tcPr>
          <w:p w:rsidR="002D06A5" w:rsidRPr="00A955AF" w:rsidP="002D06A5" w14:paraId="489449D9" w14:textId="31AED3DC">
            <w:pPr>
              <w:spacing w:line="276" w:lineRule="auto"/>
              <w:rPr>
                <w:rFonts w:eastAsiaTheme="minorHAnsi" w:cs="Arial"/>
                <w:b/>
                <w:sz w:val="24"/>
              </w:rPr>
            </w:pP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2D06A5" w:rsidRPr="00B07367" w:rsidP="002D06A5" w14:paraId="47126250" w14:textId="77777777">
            <w:pPr>
              <w:rPr>
                <w:rFonts w:cs="Arial"/>
                <w:color w:val="222222"/>
                <w:sz w:val="24"/>
              </w:rPr>
            </w:pPr>
            <w:r w:rsidRPr="00B07367">
              <w:rPr>
                <w:rFonts w:cs="Arial"/>
                <w:color w:val="222222"/>
                <w:sz w:val="24"/>
              </w:rPr>
              <w:t xml:space="preserve">Vzhledem ke specifickému charakteru zdravotnického výzkumu není tato oblast ošetřena implementačním plánem, ale koncepcí zdravotnického výzkumu, která </w:t>
            </w:r>
            <w:r>
              <w:rPr>
                <w:rFonts w:cs="Arial"/>
                <w:color w:val="222222"/>
                <w:sz w:val="24"/>
              </w:rPr>
              <w:t>vychází</w:t>
            </w:r>
            <w:r w:rsidRPr="00B07367">
              <w:rPr>
                <w:rFonts w:cs="Arial"/>
                <w:color w:val="222222"/>
                <w:sz w:val="24"/>
              </w:rPr>
              <w:t xml:space="preserve"> z priorit Národní polit</w:t>
            </w:r>
            <w:r>
              <w:rPr>
                <w:rFonts w:cs="Arial"/>
                <w:color w:val="222222"/>
                <w:sz w:val="24"/>
              </w:rPr>
              <w:t>i</w:t>
            </w:r>
            <w:r w:rsidRPr="00B07367">
              <w:rPr>
                <w:rFonts w:cs="Arial"/>
                <w:color w:val="222222"/>
                <w:sz w:val="24"/>
              </w:rPr>
              <w:t xml:space="preserve">ky výzkumu, vývoje a inovací České republiky 2021+ v gesci Rady vlády pro výzkum, vývoj a inovace. </w:t>
            </w:r>
          </w:p>
          <w:p w:rsidR="00070162" w:rsidRPr="00070162" w:rsidP="00070162" w14:paraId="6366269E" w14:textId="29A6CBCC">
            <w:pPr>
              <w:rPr>
                <w:rFonts w:cs="Arial"/>
                <w:color w:val="222222"/>
                <w:sz w:val="24"/>
              </w:rPr>
            </w:pPr>
            <w:r w:rsidRPr="00B07367">
              <w:rPr>
                <w:rFonts w:cs="Arial"/>
                <w:color w:val="222222"/>
                <w:sz w:val="24"/>
              </w:rPr>
              <w:t xml:space="preserve">V době přípravy Strategického rámce 2030 byla stále v platnosti Koncepce zdravotnického výzkumu do roku 2022 navazující na Národní priority orientovaného výzkumu, experimentálního vývoje a inovací. </w:t>
            </w:r>
            <w:r>
              <w:rPr>
                <w:rFonts w:cs="Arial"/>
                <w:color w:val="222222"/>
                <w:sz w:val="24"/>
              </w:rPr>
              <w:t>V roce 2020 schválila vláda České republiky nový zastřešující strategický dokument, a to Národní politiku výzkumu, vývoje a inovací České republiky 2021+.</w:t>
            </w:r>
            <w:r w:rsidRPr="00B07367">
              <w:rPr>
                <w:rFonts w:cs="Arial"/>
                <w:color w:val="222222"/>
                <w:sz w:val="24"/>
              </w:rPr>
              <w:t xml:space="preserve"> </w:t>
            </w:r>
            <w:r w:rsidRPr="00070162">
              <w:rPr>
                <w:rFonts w:cs="Arial"/>
                <w:color w:val="222222"/>
                <w:sz w:val="24"/>
              </w:rPr>
              <w:t xml:space="preserve">V době přípravy Strategického rámce </w:t>
            </w:r>
            <w:r>
              <w:rPr>
                <w:rFonts w:cs="Arial"/>
                <w:color w:val="222222"/>
                <w:sz w:val="24"/>
              </w:rPr>
              <w:t xml:space="preserve">Zdraví </w:t>
            </w:r>
            <w:r w:rsidRPr="00070162">
              <w:rPr>
                <w:rFonts w:cs="Arial"/>
                <w:color w:val="222222"/>
                <w:sz w:val="24"/>
              </w:rPr>
              <w:t>203</w:t>
            </w:r>
            <w:r>
              <w:rPr>
                <w:rFonts w:cs="Arial"/>
                <w:color w:val="222222"/>
                <w:sz w:val="24"/>
              </w:rPr>
              <w:t>5</w:t>
            </w:r>
            <w:r w:rsidRPr="00070162">
              <w:rPr>
                <w:rFonts w:cs="Arial"/>
                <w:color w:val="222222"/>
                <w:sz w:val="24"/>
              </w:rPr>
              <w:t xml:space="preserve"> byla stále v platnosti Koncepce zdravotnického výzkumu do roku 2022 navazující na Národní priority orientovaného výzkumu, experimentálního vývoje a inovací. V roce 2020 schválila vláda České republiky nový zastřešující strategický dokument, a to Národní politiku výzkumu, vývoje a</w:t>
            </w:r>
            <w:r w:rsidR="002D68D7">
              <w:rPr>
                <w:rFonts w:cs="Arial"/>
                <w:color w:val="222222"/>
                <w:sz w:val="24"/>
              </w:rPr>
              <w:t> </w:t>
            </w:r>
            <w:r w:rsidRPr="00070162">
              <w:rPr>
                <w:rFonts w:cs="Arial"/>
                <w:color w:val="222222"/>
                <w:sz w:val="24"/>
              </w:rPr>
              <w:t xml:space="preserve">inovací České republiky 2021+., který pravděpodobně v roce 2026 nahradí dokument Národní priority orientovaného výzkumu. </w:t>
            </w:r>
            <w:r w:rsidR="00A92235">
              <w:rPr>
                <w:rFonts w:cs="Arial"/>
                <w:color w:val="222222"/>
                <w:sz w:val="24"/>
              </w:rPr>
              <w:t xml:space="preserve"> V roce 2024 začaly práce na Národní strategii pro klinická hodnocení v ČR jako jedné z důležitých oblastí zdravotnického výzkumu, s předpokládaným datem přijetí v druhé polovině roku 2025.</w:t>
            </w:r>
          </w:p>
          <w:p w:rsidR="002D06A5" w:rsidRPr="00B07367" w:rsidP="002D06A5" w14:paraId="27528330" w14:textId="60E46D23">
            <w:pPr>
              <w:rPr>
                <w:rFonts w:cs="Arial"/>
                <w:color w:val="222222"/>
                <w:sz w:val="24"/>
              </w:rPr>
            </w:pPr>
          </w:p>
          <w:p w:rsidR="002D06A5" w:rsidRPr="00B07367" w:rsidP="002D06A5" w14:paraId="237F8009" w14:textId="7F4982CD">
            <w:pPr>
              <w:rPr>
                <w:rFonts w:cs="Arial"/>
                <w:color w:val="222222"/>
                <w:sz w:val="24"/>
              </w:rPr>
            </w:pPr>
            <w:r>
              <w:rPr>
                <w:rFonts w:cs="Arial"/>
                <w:color w:val="222222"/>
                <w:sz w:val="24"/>
              </w:rPr>
              <w:t>Pro oblast zdravotnictví navazuje na tento dokument Koncepce zdravotnického výzkumu do roku 2030 schválená v prosinci 2022 a</w:t>
            </w:r>
            <w:r w:rsidR="002831C0">
              <w:rPr>
                <w:rFonts w:cs="Arial"/>
                <w:color w:val="222222"/>
                <w:sz w:val="24"/>
              </w:rPr>
              <w:t> </w:t>
            </w:r>
            <w:r>
              <w:rPr>
                <w:rFonts w:cs="Arial"/>
                <w:color w:val="222222"/>
                <w:sz w:val="24"/>
              </w:rPr>
              <w:t xml:space="preserve">prostřednictvím této koncepce je dále </w:t>
            </w:r>
            <w:r w:rsidRPr="00B07367">
              <w:rPr>
                <w:rFonts w:cs="Arial"/>
                <w:color w:val="222222"/>
                <w:sz w:val="24"/>
              </w:rPr>
              <w:t>naplňován specifický cíl č.</w:t>
            </w:r>
            <w:r w:rsidR="002831C0">
              <w:rPr>
                <w:rFonts w:cs="Arial"/>
                <w:color w:val="222222"/>
                <w:sz w:val="24"/>
              </w:rPr>
              <w:t> </w:t>
            </w:r>
            <w:r w:rsidRPr="00B07367">
              <w:rPr>
                <w:rFonts w:cs="Arial"/>
                <w:color w:val="222222"/>
                <w:sz w:val="24"/>
              </w:rPr>
              <w:t xml:space="preserve">3.1 Zapojení vědy a výzkumu do řešení prioritních úkolů zdravotnictví.  </w:t>
            </w:r>
          </w:p>
          <w:p w:rsidR="002D06A5" w:rsidRPr="00401459" w:rsidP="002D06A5" w14:paraId="6D5FAA90" w14:textId="77777777">
            <w:pPr>
              <w:rPr>
                <w:sz w:val="24"/>
              </w:rPr>
            </w:pPr>
            <w:r w:rsidRPr="00B07367">
              <w:rPr>
                <w:rFonts w:cs="Arial"/>
                <w:color w:val="222222"/>
                <w:sz w:val="24"/>
              </w:rPr>
              <w:t xml:space="preserve">Koncepce </w:t>
            </w:r>
            <w:r>
              <w:rPr>
                <w:rFonts w:cs="Arial"/>
                <w:color w:val="222222"/>
                <w:sz w:val="24"/>
              </w:rPr>
              <w:t xml:space="preserve">je </w:t>
            </w:r>
            <w:r w:rsidRPr="00B07367">
              <w:rPr>
                <w:rFonts w:cs="Arial"/>
                <w:color w:val="222222"/>
                <w:sz w:val="24"/>
              </w:rPr>
              <w:t xml:space="preserve">kromě priorit uvedených NP VaVaI 2021+ zaměřena </w:t>
            </w:r>
            <w:r>
              <w:rPr>
                <w:rFonts w:cs="Arial"/>
                <w:color w:val="222222"/>
                <w:sz w:val="24"/>
              </w:rPr>
              <w:t xml:space="preserve">v oblasti veřejného zdraví </w:t>
            </w:r>
            <w:r w:rsidRPr="00B07367">
              <w:rPr>
                <w:rFonts w:cs="Arial"/>
                <w:color w:val="222222"/>
                <w:sz w:val="24"/>
              </w:rPr>
              <w:t>na:</w:t>
            </w:r>
            <w:r w:rsidRPr="00B07367">
              <w:rPr>
                <w:rFonts w:cs="Arial"/>
                <w:color w:val="222222"/>
                <w:sz w:val="24"/>
              </w:rPr>
              <w:t xml:space="preserve"> </w:t>
            </w:r>
          </w:p>
          <w:p w:rsidR="002D06A5" w:rsidP="006C359E" w14:paraId="0A1F5997" w14:textId="77777777">
            <w:pPr>
              <w:pStyle w:val="ListParagraph"/>
              <w:numPr>
                <w:ilvl w:val="0"/>
                <w:numId w:val="32"/>
              </w:numPr>
              <w:rPr>
                <w:sz w:val="24"/>
                <w:szCs w:val="24"/>
              </w:rPr>
            </w:pPr>
            <w:r>
              <w:rPr>
                <w:sz w:val="24"/>
                <w:szCs w:val="24"/>
              </w:rPr>
              <w:t>Socioekonomické aspekty zdravotnictví,</w:t>
            </w:r>
          </w:p>
          <w:p w:rsidR="002D06A5" w:rsidP="006C359E" w14:paraId="6FBCB252" w14:textId="77777777">
            <w:pPr>
              <w:pStyle w:val="ListParagraph"/>
              <w:numPr>
                <w:ilvl w:val="0"/>
                <w:numId w:val="32"/>
              </w:numPr>
              <w:rPr>
                <w:sz w:val="24"/>
                <w:szCs w:val="24"/>
              </w:rPr>
            </w:pPr>
            <w:r>
              <w:rPr>
                <w:sz w:val="24"/>
                <w:szCs w:val="24"/>
              </w:rPr>
              <w:t>Digitalizaci zdravotnictví,</w:t>
            </w:r>
          </w:p>
          <w:p w:rsidR="002D06A5" w:rsidP="006C359E" w14:paraId="3511E408" w14:textId="77777777">
            <w:pPr>
              <w:pStyle w:val="ListParagraph"/>
              <w:numPr>
                <w:ilvl w:val="0"/>
                <w:numId w:val="32"/>
              </w:numPr>
              <w:rPr>
                <w:sz w:val="24"/>
                <w:szCs w:val="24"/>
              </w:rPr>
            </w:pPr>
            <w:r>
              <w:rPr>
                <w:sz w:val="24"/>
                <w:szCs w:val="24"/>
              </w:rPr>
              <w:t>Demografické změny a péče o seniory,</w:t>
            </w:r>
          </w:p>
          <w:p w:rsidR="002D06A5" w:rsidP="006C359E" w14:paraId="0A65E4A5" w14:textId="77777777">
            <w:pPr>
              <w:pStyle w:val="ListParagraph"/>
              <w:numPr>
                <w:ilvl w:val="0"/>
                <w:numId w:val="32"/>
              </w:numPr>
              <w:rPr>
                <w:sz w:val="24"/>
                <w:szCs w:val="24"/>
              </w:rPr>
            </w:pPr>
            <w:r>
              <w:rPr>
                <w:sz w:val="24"/>
                <w:szCs w:val="24"/>
              </w:rPr>
              <w:t>Zdravotní péče,</w:t>
            </w:r>
          </w:p>
          <w:p w:rsidR="002D06A5" w:rsidP="006C359E" w14:paraId="02014A56" w14:textId="77777777">
            <w:pPr>
              <w:pStyle w:val="ListParagraph"/>
              <w:numPr>
                <w:ilvl w:val="0"/>
                <w:numId w:val="32"/>
              </w:numPr>
              <w:rPr>
                <w:sz w:val="24"/>
                <w:szCs w:val="24"/>
              </w:rPr>
            </w:pPr>
            <w:r>
              <w:rPr>
                <w:sz w:val="24"/>
                <w:szCs w:val="24"/>
              </w:rPr>
              <w:t>Podporu zdravotní gramotnosti a orientace na pacienta,</w:t>
            </w:r>
          </w:p>
          <w:p w:rsidR="002D06A5" w:rsidP="006C359E" w14:paraId="068D8828" w14:textId="77777777">
            <w:pPr>
              <w:pStyle w:val="ListParagraph"/>
              <w:numPr>
                <w:ilvl w:val="0"/>
                <w:numId w:val="32"/>
              </w:numPr>
              <w:rPr>
                <w:sz w:val="24"/>
                <w:szCs w:val="24"/>
              </w:rPr>
            </w:pPr>
            <w:r>
              <w:rPr>
                <w:sz w:val="24"/>
                <w:szCs w:val="24"/>
              </w:rPr>
              <w:t>Podporu zdraví a prevenci,</w:t>
            </w:r>
          </w:p>
          <w:p w:rsidR="002D06A5" w:rsidP="006C359E" w14:paraId="7EAD21E0" w14:textId="77777777">
            <w:pPr>
              <w:pStyle w:val="ListParagraph"/>
              <w:numPr>
                <w:ilvl w:val="0"/>
                <w:numId w:val="32"/>
              </w:numPr>
              <w:rPr>
                <w:sz w:val="24"/>
                <w:szCs w:val="24"/>
              </w:rPr>
            </w:pPr>
            <w:r>
              <w:rPr>
                <w:sz w:val="24"/>
                <w:szCs w:val="24"/>
              </w:rPr>
              <w:t>Globální zdraví,</w:t>
            </w:r>
          </w:p>
          <w:p w:rsidR="002D06A5" w:rsidRPr="00A80CDD" w:rsidP="002D06A5" w14:paraId="52F979D0" w14:textId="77777777">
            <w:pPr>
              <w:rPr>
                <w:sz w:val="24"/>
              </w:rPr>
            </w:pPr>
            <w:r>
              <w:rPr>
                <w:sz w:val="24"/>
              </w:rPr>
              <w:t>v oblasti patogeneze a rozvoje chorob na:</w:t>
            </w:r>
          </w:p>
          <w:p w:rsidR="002D06A5" w:rsidP="006C359E" w14:paraId="47C2FD66" w14:textId="77777777">
            <w:pPr>
              <w:pStyle w:val="ListParagraph"/>
              <w:numPr>
                <w:ilvl w:val="0"/>
                <w:numId w:val="32"/>
              </w:numPr>
              <w:rPr>
                <w:sz w:val="24"/>
                <w:szCs w:val="24"/>
              </w:rPr>
            </w:pPr>
            <w:r>
              <w:rPr>
                <w:sz w:val="24"/>
                <w:szCs w:val="24"/>
              </w:rPr>
              <w:t>Metabolické a endokrinní choroby</w:t>
            </w:r>
          </w:p>
          <w:p w:rsidR="002D06A5" w:rsidP="006C359E" w14:paraId="1E800DEB" w14:textId="77777777">
            <w:pPr>
              <w:pStyle w:val="ListParagraph"/>
              <w:numPr>
                <w:ilvl w:val="0"/>
                <w:numId w:val="32"/>
              </w:numPr>
              <w:rPr>
                <w:sz w:val="24"/>
                <w:szCs w:val="24"/>
              </w:rPr>
            </w:pPr>
            <w:r>
              <w:rPr>
                <w:sz w:val="24"/>
                <w:szCs w:val="24"/>
              </w:rPr>
              <w:t xml:space="preserve">Nemoci oběhové soustavy </w:t>
            </w:r>
          </w:p>
          <w:p w:rsidR="002D06A5" w:rsidP="006C359E" w14:paraId="31A2BE5F" w14:textId="77777777">
            <w:pPr>
              <w:pStyle w:val="ListParagraph"/>
              <w:numPr>
                <w:ilvl w:val="0"/>
                <w:numId w:val="32"/>
              </w:numPr>
              <w:rPr>
                <w:sz w:val="24"/>
                <w:szCs w:val="24"/>
              </w:rPr>
            </w:pPr>
            <w:r>
              <w:rPr>
                <w:sz w:val="24"/>
                <w:szCs w:val="24"/>
              </w:rPr>
              <w:t>Nádorová onemocnění</w:t>
            </w:r>
          </w:p>
          <w:p w:rsidR="002D06A5" w:rsidP="006C359E" w14:paraId="4B6E1FB9" w14:textId="77777777">
            <w:pPr>
              <w:pStyle w:val="ListParagraph"/>
              <w:numPr>
                <w:ilvl w:val="0"/>
                <w:numId w:val="32"/>
              </w:numPr>
              <w:rPr>
                <w:sz w:val="24"/>
                <w:szCs w:val="24"/>
              </w:rPr>
            </w:pPr>
            <w:r>
              <w:rPr>
                <w:sz w:val="24"/>
                <w:szCs w:val="24"/>
              </w:rPr>
              <w:t>Chronické nemoci plic</w:t>
            </w:r>
          </w:p>
          <w:p w:rsidR="002D06A5" w:rsidP="006C359E" w14:paraId="5AC3D48C" w14:textId="77777777">
            <w:pPr>
              <w:pStyle w:val="ListParagraph"/>
              <w:numPr>
                <w:ilvl w:val="0"/>
                <w:numId w:val="32"/>
              </w:numPr>
              <w:rPr>
                <w:sz w:val="24"/>
                <w:szCs w:val="24"/>
              </w:rPr>
            </w:pPr>
            <w:r>
              <w:rPr>
                <w:sz w:val="24"/>
                <w:szCs w:val="24"/>
              </w:rPr>
              <w:t>Onemocnění krve</w:t>
            </w:r>
          </w:p>
          <w:p w:rsidR="002D06A5" w:rsidP="006C359E" w14:paraId="25BDDE9F" w14:textId="77777777">
            <w:pPr>
              <w:pStyle w:val="ListParagraph"/>
              <w:numPr>
                <w:ilvl w:val="0"/>
                <w:numId w:val="32"/>
              </w:numPr>
              <w:rPr>
                <w:sz w:val="24"/>
                <w:szCs w:val="24"/>
              </w:rPr>
            </w:pPr>
            <w:r>
              <w:rPr>
                <w:sz w:val="24"/>
                <w:szCs w:val="24"/>
              </w:rPr>
              <w:t>Nervová a psychická onemocnění</w:t>
            </w:r>
          </w:p>
          <w:p w:rsidR="002D06A5" w:rsidP="006C359E" w14:paraId="0012327D" w14:textId="77777777">
            <w:pPr>
              <w:pStyle w:val="ListParagraph"/>
              <w:numPr>
                <w:ilvl w:val="0"/>
                <w:numId w:val="32"/>
              </w:numPr>
              <w:rPr>
                <w:sz w:val="24"/>
                <w:szCs w:val="24"/>
              </w:rPr>
            </w:pPr>
            <w:r>
              <w:rPr>
                <w:sz w:val="24"/>
                <w:szCs w:val="24"/>
              </w:rPr>
              <w:t>Onemocnění pohybového aparátu a zánětlivá onemocnění</w:t>
            </w:r>
          </w:p>
          <w:p w:rsidR="002D06A5" w:rsidP="006C359E" w14:paraId="552785C7" w14:textId="77777777">
            <w:pPr>
              <w:pStyle w:val="ListParagraph"/>
              <w:numPr>
                <w:ilvl w:val="0"/>
                <w:numId w:val="32"/>
              </w:numPr>
              <w:rPr>
                <w:sz w:val="24"/>
                <w:szCs w:val="24"/>
              </w:rPr>
            </w:pPr>
            <w:r>
              <w:rPr>
                <w:sz w:val="24"/>
                <w:szCs w:val="24"/>
              </w:rPr>
              <w:t>Imunopatologické choroby</w:t>
            </w:r>
          </w:p>
          <w:p w:rsidR="002D06A5" w:rsidP="006C359E" w14:paraId="68440F1D" w14:textId="77777777">
            <w:pPr>
              <w:pStyle w:val="ListParagraph"/>
              <w:numPr>
                <w:ilvl w:val="0"/>
                <w:numId w:val="32"/>
              </w:numPr>
              <w:rPr>
                <w:sz w:val="24"/>
                <w:szCs w:val="24"/>
              </w:rPr>
            </w:pPr>
            <w:r>
              <w:rPr>
                <w:sz w:val="24"/>
                <w:szCs w:val="24"/>
              </w:rPr>
              <w:t>Infekční onemocnění</w:t>
            </w:r>
          </w:p>
          <w:p w:rsidR="002D06A5" w:rsidP="006C359E" w14:paraId="1604C1A0" w14:textId="77777777">
            <w:pPr>
              <w:pStyle w:val="ListParagraph"/>
              <w:numPr>
                <w:ilvl w:val="0"/>
                <w:numId w:val="32"/>
              </w:numPr>
              <w:rPr>
                <w:sz w:val="24"/>
                <w:szCs w:val="24"/>
              </w:rPr>
            </w:pPr>
            <w:r>
              <w:rPr>
                <w:sz w:val="24"/>
                <w:szCs w:val="24"/>
              </w:rPr>
              <w:t xml:space="preserve">Onemocnění perinatálního období a dětského věku </w:t>
            </w:r>
          </w:p>
          <w:p w:rsidR="002D06A5" w:rsidP="002D06A5" w14:paraId="4F84D4CA" w14:textId="77777777">
            <w:pPr>
              <w:rPr>
                <w:sz w:val="24"/>
              </w:rPr>
            </w:pPr>
            <w:r>
              <w:rPr>
                <w:sz w:val="24"/>
              </w:rPr>
              <w:t>V oblasti inovativních řešení pro medicínu na:</w:t>
            </w:r>
          </w:p>
          <w:p w:rsidR="002D06A5" w:rsidP="006C359E" w14:paraId="35E43608" w14:textId="2BE13EF9">
            <w:pPr>
              <w:pStyle w:val="ListParagraph"/>
              <w:numPr>
                <w:ilvl w:val="0"/>
                <w:numId w:val="57"/>
              </w:numPr>
              <w:rPr>
                <w:sz w:val="24"/>
              </w:rPr>
            </w:pPr>
            <w:r>
              <w:rPr>
                <w:sz w:val="24"/>
              </w:rPr>
              <w:t>Personalizovanou medicínu a nové diagnostické a</w:t>
            </w:r>
            <w:r w:rsidR="002831C0">
              <w:rPr>
                <w:sz w:val="24"/>
              </w:rPr>
              <w:t> </w:t>
            </w:r>
            <w:r>
              <w:rPr>
                <w:sz w:val="24"/>
              </w:rPr>
              <w:t>teranostické postupy</w:t>
            </w:r>
          </w:p>
          <w:p w:rsidR="002D06A5" w:rsidP="006C359E" w14:paraId="0EF992EC" w14:textId="77777777">
            <w:pPr>
              <w:pStyle w:val="ListParagraph"/>
              <w:numPr>
                <w:ilvl w:val="0"/>
                <w:numId w:val="57"/>
              </w:numPr>
              <w:rPr>
                <w:sz w:val="24"/>
              </w:rPr>
            </w:pPr>
            <w:r>
              <w:rPr>
                <w:sz w:val="24"/>
              </w:rPr>
              <w:t>Nízkomolekulární léčiva</w:t>
            </w:r>
          </w:p>
          <w:p w:rsidR="002D06A5" w:rsidP="006C359E" w14:paraId="17861C30" w14:textId="77777777">
            <w:pPr>
              <w:pStyle w:val="ListParagraph"/>
              <w:numPr>
                <w:ilvl w:val="0"/>
                <w:numId w:val="57"/>
              </w:numPr>
              <w:rPr>
                <w:sz w:val="24"/>
              </w:rPr>
            </w:pPr>
            <w:r>
              <w:rPr>
                <w:sz w:val="24"/>
              </w:rPr>
              <w:t>Léčivé přípravky pro moderní terapie</w:t>
            </w:r>
          </w:p>
          <w:p w:rsidR="002D06A5" w:rsidP="006C359E" w14:paraId="0EF4169C" w14:textId="77777777">
            <w:pPr>
              <w:pStyle w:val="ListParagraph"/>
              <w:numPr>
                <w:ilvl w:val="0"/>
                <w:numId w:val="57"/>
              </w:numPr>
              <w:rPr>
                <w:sz w:val="24"/>
              </w:rPr>
            </w:pPr>
            <w:r>
              <w:rPr>
                <w:sz w:val="24"/>
              </w:rPr>
              <w:t>Biologická léčiva včetně profylaktických vakcín</w:t>
            </w:r>
          </w:p>
          <w:p w:rsidR="002D06A5" w:rsidP="006C359E" w14:paraId="451428DA" w14:textId="77777777">
            <w:pPr>
              <w:pStyle w:val="ListParagraph"/>
              <w:numPr>
                <w:ilvl w:val="0"/>
                <w:numId w:val="57"/>
              </w:numPr>
              <w:rPr>
                <w:sz w:val="24"/>
              </w:rPr>
            </w:pPr>
            <w:r>
              <w:rPr>
                <w:sz w:val="24"/>
              </w:rPr>
              <w:t>Nové formulace léčiv</w:t>
            </w:r>
          </w:p>
          <w:p w:rsidR="002D06A5" w:rsidP="006C359E" w14:paraId="3170064B" w14:textId="4B8179E2">
            <w:pPr>
              <w:pStyle w:val="ListParagraph"/>
              <w:numPr>
                <w:ilvl w:val="0"/>
                <w:numId w:val="57"/>
              </w:numPr>
              <w:rPr>
                <w:sz w:val="24"/>
              </w:rPr>
            </w:pPr>
            <w:r>
              <w:rPr>
                <w:sz w:val="24"/>
              </w:rPr>
              <w:t>Vývoj a výzkum v oblasti nových lékařských přístrojů a</w:t>
            </w:r>
            <w:r w:rsidR="002831C0">
              <w:rPr>
                <w:sz w:val="24"/>
              </w:rPr>
              <w:t> </w:t>
            </w:r>
            <w:r>
              <w:rPr>
                <w:sz w:val="24"/>
              </w:rPr>
              <w:t>zařízení</w:t>
            </w:r>
          </w:p>
          <w:p w:rsidR="002D06A5" w:rsidP="006C359E" w14:paraId="31AE2F95" w14:textId="77777777">
            <w:pPr>
              <w:pStyle w:val="ListParagraph"/>
              <w:numPr>
                <w:ilvl w:val="0"/>
                <w:numId w:val="57"/>
              </w:numPr>
              <w:rPr>
                <w:sz w:val="24"/>
              </w:rPr>
            </w:pPr>
            <w:r>
              <w:rPr>
                <w:sz w:val="24"/>
              </w:rPr>
              <w:t>Inovativní výzkum v chirurgii včetně transplantací</w:t>
            </w:r>
          </w:p>
          <w:p w:rsidR="002D06A5" w:rsidP="006C359E" w14:paraId="026433C9" w14:textId="77777777">
            <w:pPr>
              <w:pStyle w:val="ListParagraph"/>
              <w:numPr>
                <w:ilvl w:val="0"/>
                <w:numId w:val="57"/>
              </w:numPr>
              <w:rPr>
                <w:sz w:val="24"/>
              </w:rPr>
            </w:pPr>
            <w:r>
              <w:rPr>
                <w:sz w:val="24"/>
              </w:rPr>
              <w:t>Telemedicínu a eHealth</w:t>
            </w:r>
          </w:p>
          <w:p w:rsidR="002D06A5" w:rsidRPr="00AD28CD" w:rsidP="006C359E" w14:paraId="59235287" w14:textId="77777777">
            <w:pPr>
              <w:pStyle w:val="ListParagraph"/>
              <w:numPr>
                <w:ilvl w:val="0"/>
                <w:numId w:val="57"/>
              </w:numPr>
              <w:rPr>
                <w:sz w:val="24"/>
              </w:rPr>
            </w:pPr>
            <w:r>
              <w:rPr>
                <w:sz w:val="24"/>
              </w:rPr>
              <w:t>Inovativní postupy v oblasti paliativní a podpůrné péče.</w:t>
            </w:r>
          </w:p>
          <w:p w:rsidR="002D06A5" w:rsidRPr="00B07367" w:rsidP="002D06A5" w14:paraId="4844EEA3" w14:textId="6791FCA2">
            <w:pPr>
              <w:rPr>
                <w:sz w:val="24"/>
              </w:rPr>
            </w:pPr>
          </w:p>
        </w:tc>
      </w:tr>
      <w:tr w14:paraId="5F5AB289"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35FB1C9C" w14:textId="1908C6B4">
            <w:pPr>
              <w:spacing w:line="276" w:lineRule="auto"/>
              <w:rPr>
                <w:rFonts w:eastAsiaTheme="minorHAnsi" w:cs="Arial"/>
                <w:b/>
                <w:sz w:val="24"/>
              </w:rPr>
            </w:pPr>
            <w:r w:rsidRPr="00A955AF">
              <w:rPr>
                <w:rFonts w:cs="Arial"/>
                <w:b/>
                <w:sz w:val="24"/>
              </w:rPr>
              <w:t>Příklady hlavních opatření</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2D06A5" w:rsidRPr="00A955AF" w:rsidP="00070162" w14:paraId="452F4565" w14:textId="77777777">
            <w:pPr>
              <w:pStyle w:val="NormalWeb"/>
              <w:numPr>
                <w:ilvl w:val="0"/>
                <w:numId w:val="17"/>
              </w:numPr>
              <w:spacing w:before="100" w:beforeAutospacing="1" w:after="100" w:afterAutospacing="1"/>
              <w:jc w:val="both"/>
              <w:rPr>
                <w:rFonts w:eastAsia="Times New Roman" w:asciiTheme="minorHAnsi" w:hAnsiTheme="minorHAnsi" w:cs="Arial"/>
                <w:color w:val="000000"/>
              </w:rPr>
            </w:pPr>
            <w:r w:rsidRPr="00A955AF">
              <w:rPr>
                <w:rFonts w:asciiTheme="minorHAnsi" w:hAnsiTheme="minorHAnsi" w:cs="Arial"/>
                <w:color w:val="000000"/>
              </w:rPr>
              <w:t xml:space="preserve">Spolupráce s Radou pro výzkum, vývoj a inovace </w:t>
            </w:r>
            <w:r>
              <w:rPr>
                <w:rFonts w:asciiTheme="minorHAnsi" w:hAnsiTheme="minorHAnsi" w:cs="Arial"/>
                <w:color w:val="000000"/>
              </w:rPr>
              <w:t>na formování vhodných a předvídatelných podmínek při rozdělování účelové podpory pro oblast zdravotnického výzkumu a institucionální podpory pro relevantní výzkumné organizace</w:t>
            </w:r>
          </w:p>
          <w:p w:rsidR="002D06A5" w:rsidP="00070162" w14:paraId="41860A15" w14:textId="77777777">
            <w:pPr>
              <w:pStyle w:val="NormalWeb"/>
              <w:numPr>
                <w:ilvl w:val="0"/>
                <w:numId w:val="17"/>
              </w:numPr>
              <w:spacing w:before="100" w:beforeAutospacing="1" w:after="100" w:afterAutospacing="1"/>
              <w:jc w:val="both"/>
              <w:rPr>
                <w:rFonts w:asciiTheme="minorHAnsi" w:hAnsiTheme="minorHAnsi" w:cs="Arial"/>
                <w:color w:val="000000"/>
              </w:rPr>
            </w:pPr>
            <w:r w:rsidRPr="00A955AF">
              <w:rPr>
                <w:rFonts w:asciiTheme="minorHAnsi" w:hAnsiTheme="minorHAnsi" w:cs="Arial"/>
                <w:color w:val="000000"/>
              </w:rPr>
              <w:t>Realizace programu účelové podpory</w:t>
            </w:r>
            <w:r>
              <w:rPr>
                <w:rFonts w:asciiTheme="minorHAnsi" w:hAnsiTheme="minorHAnsi" w:cs="Arial"/>
                <w:color w:val="000000"/>
              </w:rPr>
              <w:t>, jehož priority vycházejí z Koncepce zdravotnického výzkumu do roku 2030, dlouhodobě zajišťovaná Agenturou pro zdravotnický výzkum České republiky</w:t>
            </w:r>
          </w:p>
          <w:p w:rsidR="002D06A5" w:rsidRPr="004362AC" w:rsidP="00070162" w14:paraId="4E3DB207" w14:textId="77777777">
            <w:pPr>
              <w:pStyle w:val="NormalWeb"/>
              <w:numPr>
                <w:ilvl w:val="0"/>
                <w:numId w:val="17"/>
              </w:numPr>
              <w:spacing w:before="100" w:beforeAutospacing="1" w:after="100" w:afterAutospacing="1"/>
              <w:jc w:val="both"/>
              <w:rPr>
                <w:rFonts w:asciiTheme="minorHAnsi" w:hAnsiTheme="minorHAnsi" w:cs="Arial"/>
                <w:color w:val="000000"/>
              </w:rPr>
            </w:pPr>
            <w:r>
              <w:rPr>
                <w:rFonts w:asciiTheme="minorHAnsi" w:hAnsiTheme="minorHAnsi" w:cs="Arial"/>
                <w:color w:val="000000"/>
              </w:rPr>
              <w:t>Podpora excelence ve zdravotnickém výzkumu skrze národní koordinaci Evropských partnerství v oblasti zdraví, s cílem umožnit zapojení českých vědců do nadnárodních partnerství v rámci programu Horizont Evropa</w:t>
            </w:r>
          </w:p>
          <w:p w:rsidR="002D06A5" w:rsidRPr="00A955AF" w:rsidP="00070162" w14:paraId="2FE38DB0" w14:textId="5555664C">
            <w:pPr>
              <w:pStyle w:val="NormalWeb"/>
              <w:numPr>
                <w:ilvl w:val="0"/>
                <w:numId w:val="17"/>
              </w:numPr>
              <w:spacing w:before="100" w:beforeAutospacing="1" w:after="100" w:afterAutospacing="1"/>
              <w:jc w:val="both"/>
              <w:rPr>
                <w:rFonts w:asciiTheme="minorHAnsi" w:hAnsiTheme="minorHAnsi" w:cs="Arial"/>
                <w:color w:val="000000"/>
              </w:rPr>
            </w:pPr>
            <w:r>
              <w:rPr>
                <w:rFonts w:asciiTheme="minorHAnsi" w:hAnsiTheme="minorHAnsi" w:cs="Arial"/>
                <w:color w:val="000000"/>
              </w:rPr>
              <w:t>Plná i</w:t>
            </w:r>
            <w:r w:rsidRPr="00A955AF">
              <w:rPr>
                <w:rFonts w:asciiTheme="minorHAnsi" w:hAnsiTheme="minorHAnsi" w:cs="Arial"/>
                <w:color w:val="000000"/>
              </w:rPr>
              <w:t>mplementace Metodiky hodnocení výzkumných organizací a</w:t>
            </w:r>
            <w:r w:rsidRPr="00A955AF">
              <w:rPr>
                <w:rFonts w:asciiTheme="minorHAnsi" w:hAnsiTheme="minorHAnsi"/>
              </w:rPr>
              <w:t> </w:t>
            </w:r>
            <w:r w:rsidRPr="00A955AF">
              <w:rPr>
                <w:rFonts w:asciiTheme="minorHAnsi" w:hAnsiTheme="minorHAnsi" w:cs="Arial"/>
                <w:color w:val="000000"/>
              </w:rPr>
              <w:t>programů účelové podpory výzkumu, vývoje a</w:t>
            </w:r>
            <w:r w:rsidR="002831C0">
              <w:rPr>
                <w:rFonts w:asciiTheme="minorHAnsi" w:hAnsiTheme="minorHAnsi" w:cs="Arial"/>
                <w:color w:val="000000"/>
              </w:rPr>
              <w:t> </w:t>
            </w:r>
            <w:r w:rsidRPr="00A955AF">
              <w:rPr>
                <w:rFonts w:asciiTheme="minorHAnsi" w:hAnsiTheme="minorHAnsi" w:cs="Arial"/>
                <w:color w:val="000000"/>
              </w:rPr>
              <w:t>inovací (Metodika 17+)</w:t>
            </w:r>
          </w:p>
          <w:p w:rsidR="002D06A5" w:rsidP="00070162" w14:paraId="47BF55EE" w14:textId="77777777">
            <w:pPr>
              <w:pStyle w:val="NormalWeb"/>
              <w:numPr>
                <w:ilvl w:val="0"/>
                <w:numId w:val="17"/>
              </w:numPr>
              <w:spacing w:before="100" w:beforeAutospacing="1" w:after="100" w:afterAutospacing="1"/>
              <w:jc w:val="both"/>
              <w:rPr>
                <w:rFonts w:asciiTheme="minorHAnsi" w:hAnsiTheme="minorHAnsi" w:cs="Arial"/>
                <w:color w:val="000000"/>
              </w:rPr>
            </w:pPr>
            <w:r w:rsidRPr="00A955AF">
              <w:rPr>
                <w:rFonts w:asciiTheme="minorHAnsi" w:hAnsiTheme="minorHAnsi" w:cs="Arial"/>
                <w:color w:val="000000"/>
              </w:rPr>
              <w:t>Nastavení systému institucionální podpory, který dostatečně zohlední hodnocení organizací podle Metodiky 17+, přesun prostředků z národních programů udržitelnosti a aktuální potřeby v oblasti výzkumu</w:t>
            </w:r>
            <w:r>
              <w:rPr>
                <w:rFonts w:asciiTheme="minorHAnsi" w:hAnsiTheme="minorHAnsi" w:cs="Arial"/>
                <w:color w:val="000000"/>
              </w:rPr>
              <w:t>,</w:t>
            </w:r>
            <w:r w:rsidRPr="00A955AF">
              <w:rPr>
                <w:rFonts w:asciiTheme="minorHAnsi" w:hAnsiTheme="minorHAnsi" w:cs="Arial"/>
                <w:color w:val="000000"/>
              </w:rPr>
              <w:t xml:space="preserve"> např. zapojení mladých vědců)</w:t>
            </w:r>
          </w:p>
          <w:p w:rsidR="00256F02" w:rsidP="00070162" w14:paraId="7E4F66D5" w14:textId="77777777">
            <w:pPr>
              <w:pStyle w:val="NormalWeb"/>
              <w:numPr>
                <w:ilvl w:val="0"/>
                <w:numId w:val="17"/>
              </w:numPr>
              <w:spacing w:before="100" w:beforeAutospacing="1" w:after="100" w:afterAutospacing="1"/>
              <w:jc w:val="both"/>
              <w:rPr>
                <w:rFonts w:asciiTheme="minorHAnsi" w:hAnsiTheme="minorHAnsi" w:cs="Arial"/>
                <w:color w:val="000000"/>
              </w:rPr>
            </w:pPr>
            <w:r>
              <w:rPr>
                <w:rFonts w:asciiTheme="minorHAnsi" w:hAnsiTheme="minorHAnsi" w:cs="Arial"/>
                <w:color w:val="000000"/>
              </w:rPr>
              <w:t>Vytvoření vhodných podmínek pro realizaci klinických hodnocení prováděných nekomerčními zadavateli.</w:t>
            </w:r>
          </w:p>
          <w:p w:rsidR="00070162" w:rsidP="00070162" w14:paraId="68A04248" w14:textId="77777777">
            <w:pPr>
              <w:pStyle w:val="xmsolistparagraph"/>
              <w:numPr>
                <w:ilvl w:val="0"/>
                <w:numId w:val="17"/>
              </w:numPr>
              <w:rPr>
                <w:rFonts w:eastAsia="Times New Roman"/>
              </w:rPr>
            </w:pPr>
            <w:r>
              <w:rPr>
                <w:rFonts w:eastAsia="Times New Roman"/>
              </w:rPr>
              <w:t xml:space="preserve">Tvorba a implementace Národní strategie pro klinická hodnocení v České republice </w:t>
            </w:r>
          </w:p>
          <w:p w:rsidR="00070162" w:rsidRPr="0070747B" w:rsidP="0070747B" w14:paraId="0E2FEB18" w14:textId="5136D941">
            <w:pPr>
              <w:pStyle w:val="xmsolistparagraph"/>
              <w:numPr>
                <w:ilvl w:val="0"/>
                <w:numId w:val="17"/>
              </w:numPr>
              <w:rPr>
                <w:rFonts w:eastAsia="Times New Roman"/>
              </w:rPr>
            </w:pPr>
            <w:r>
              <w:rPr>
                <w:rFonts w:eastAsia="Times New Roman"/>
              </w:rPr>
              <w:t>Podpora vzniku a rozvoje oddělení klinických studií u poskytovatelů zdravotních služeb, včetně metodik organizace práce a financování.</w:t>
            </w:r>
          </w:p>
        </w:tc>
      </w:tr>
      <w:tr w14:paraId="3E1E5773"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3580222A" w14:textId="77777777">
            <w:pPr>
              <w:spacing w:line="276" w:lineRule="auto"/>
              <w:rPr>
                <w:rFonts w:eastAsiaTheme="minorHAnsi" w:cs="Arial"/>
                <w:b/>
                <w:sz w:val="24"/>
              </w:rPr>
            </w:pPr>
            <w:r w:rsidRPr="00A955AF">
              <w:rPr>
                <w:rFonts w:cs="Arial"/>
                <w:b/>
                <w:sz w:val="24"/>
              </w:rPr>
              <w:t>Doba trvání implementace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0FAB6A6B" w14:textId="4CB28BB0">
            <w:pPr>
              <w:spacing w:line="276" w:lineRule="auto"/>
              <w:rPr>
                <w:rFonts w:eastAsiaTheme="minorHAnsi" w:cs="Arial"/>
                <w:sz w:val="24"/>
              </w:rPr>
            </w:pPr>
            <w:r w:rsidRPr="00A955AF">
              <w:rPr>
                <w:rFonts w:cs="Arial"/>
                <w:sz w:val="24"/>
              </w:rPr>
              <w:t>202</w:t>
            </w:r>
            <w:r>
              <w:rPr>
                <w:rFonts w:cs="Arial"/>
                <w:sz w:val="24"/>
              </w:rPr>
              <w:t>2</w:t>
            </w:r>
            <w:r w:rsidR="008365B5">
              <w:rPr>
                <w:rFonts w:cs="Arial"/>
                <w:sz w:val="24"/>
              </w:rPr>
              <w:t>–</w:t>
            </w:r>
            <w:r w:rsidRPr="00A955AF">
              <w:rPr>
                <w:rFonts w:cs="Arial"/>
                <w:sz w:val="24"/>
              </w:rPr>
              <w:t>203</w:t>
            </w:r>
            <w:r w:rsidR="002D06A5">
              <w:rPr>
                <w:rFonts w:cs="Arial"/>
                <w:sz w:val="24"/>
              </w:rPr>
              <w:t>5</w:t>
            </w:r>
          </w:p>
        </w:tc>
      </w:tr>
      <w:tr w14:paraId="0DB1EF45"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2D0DA2AE" w14:textId="77777777">
            <w:pPr>
              <w:spacing w:line="276" w:lineRule="auto"/>
              <w:rPr>
                <w:rFonts w:eastAsiaTheme="minorHAnsi" w:cs="Arial"/>
                <w:b/>
                <w:sz w:val="24"/>
              </w:rPr>
            </w:pPr>
            <w:r w:rsidRPr="00A955AF">
              <w:rPr>
                <w:rFonts w:cs="Arial"/>
                <w:b/>
                <w:sz w:val="24"/>
              </w:rPr>
              <w:t>Garant</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7F26C71F" w14:textId="00F9BA45">
            <w:pPr>
              <w:spacing w:line="276" w:lineRule="auto"/>
              <w:rPr>
                <w:rFonts w:eastAsiaTheme="minorHAnsi" w:cs="Arial"/>
                <w:sz w:val="24"/>
              </w:rPr>
            </w:pPr>
            <w:r w:rsidRPr="00A955AF">
              <w:rPr>
                <w:rFonts w:cs="Arial"/>
                <w:sz w:val="24"/>
              </w:rPr>
              <w:t>MZ</w:t>
            </w:r>
            <w:r>
              <w:rPr>
                <w:rFonts w:cs="Arial"/>
                <w:sz w:val="24"/>
              </w:rPr>
              <w:t>D – vrchní</w:t>
            </w:r>
            <w:r w:rsidR="002D06A5">
              <w:rPr>
                <w:rFonts w:cs="Arial"/>
                <w:sz w:val="24"/>
              </w:rPr>
              <w:t xml:space="preserve"> ředitel sekce pro zdravotní péči</w:t>
            </w:r>
          </w:p>
        </w:tc>
      </w:tr>
      <w:tr w14:paraId="751A14C8"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71FE1AE3" w14:textId="77777777">
            <w:pPr>
              <w:spacing w:line="276" w:lineRule="auto"/>
              <w:rPr>
                <w:rFonts w:eastAsiaTheme="minorHAnsi" w:cs="Arial"/>
                <w:b/>
                <w:sz w:val="24"/>
              </w:rPr>
            </w:pPr>
            <w:r w:rsidRPr="00A955AF">
              <w:rPr>
                <w:rFonts w:cs="Arial"/>
                <w:b/>
                <w:sz w:val="24"/>
              </w:rPr>
              <w:t>Spolupracující instituce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3C5A73D2" w14:textId="4E60BD59">
            <w:pPr>
              <w:spacing w:line="276" w:lineRule="auto"/>
              <w:rPr>
                <w:rFonts w:eastAsiaTheme="minorHAnsi" w:cs="Arial"/>
                <w:sz w:val="24"/>
              </w:rPr>
            </w:pPr>
            <w:r w:rsidRPr="00A955AF">
              <w:rPr>
                <w:rFonts w:cs="Arial"/>
                <w:sz w:val="24"/>
              </w:rPr>
              <w:t>Agentura pro zdravotnický výzkum</w:t>
            </w:r>
            <w:r w:rsidRPr="00A955AF" w:rsidR="002A2858">
              <w:rPr>
                <w:rFonts w:cs="Arial"/>
                <w:sz w:val="24"/>
              </w:rPr>
              <w:t>,</w:t>
            </w:r>
            <w:r w:rsidRPr="00A955AF" w:rsidR="00377F83">
              <w:rPr>
                <w:rFonts w:cs="Arial"/>
                <w:sz w:val="24"/>
              </w:rPr>
              <w:t xml:space="preserve"> Úřad vlády ČR (Rada pro výzkum, vývoj a inovace)</w:t>
            </w:r>
            <w:r w:rsidR="00377F83">
              <w:rPr>
                <w:rFonts w:cs="Arial"/>
                <w:sz w:val="24"/>
              </w:rPr>
              <w:t xml:space="preserve">, </w:t>
            </w:r>
            <w:r w:rsidRPr="00A955AF" w:rsidR="002A2858">
              <w:rPr>
                <w:rFonts w:cs="Arial"/>
                <w:sz w:val="24"/>
              </w:rPr>
              <w:t xml:space="preserve">MŠMT, </w:t>
            </w:r>
            <w:r w:rsidRPr="00A955AF" w:rsidR="00FE7224">
              <w:rPr>
                <w:rFonts w:cs="Arial"/>
                <w:sz w:val="24"/>
              </w:rPr>
              <w:t>zdravotní pojišťovny</w:t>
            </w:r>
            <w:r w:rsidRPr="00A955AF" w:rsidR="0077454B">
              <w:rPr>
                <w:rFonts w:cs="Arial"/>
                <w:sz w:val="24"/>
              </w:rPr>
              <w:t>, NÚKIB</w:t>
            </w:r>
            <w:r w:rsidR="00E53E13">
              <w:rPr>
                <w:rFonts w:cs="Arial"/>
                <w:color w:val="222222"/>
                <w:sz w:val="24"/>
              </w:rPr>
              <w:t>, lékařské fakulty,</w:t>
            </w:r>
            <w:r w:rsidR="00B1421E">
              <w:rPr>
                <w:rFonts w:cs="Arial"/>
                <w:color w:val="222222"/>
                <w:sz w:val="24"/>
              </w:rPr>
              <w:t xml:space="preserve"> velké výzkumné infrastruktury</w:t>
            </w:r>
            <w:r>
              <w:rPr>
                <w:rStyle w:val="FootnoteReference"/>
                <w:rFonts w:cs="Arial"/>
                <w:color w:val="222222"/>
                <w:sz w:val="24"/>
              </w:rPr>
              <w:footnoteReference w:id="66"/>
            </w:r>
            <w:r w:rsidR="00B1421E">
              <w:rPr>
                <w:rFonts w:cs="Arial"/>
                <w:color w:val="222222"/>
                <w:sz w:val="24"/>
              </w:rPr>
              <w:t xml:space="preserve"> v působící v resortu zdravotnictví</w:t>
            </w:r>
          </w:p>
        </w:tc>
      </w:tr>
      <w:tr w14:paraId="06EE4E64" w14:textId="77777777" w:rsidTr="00C90C68">
        <w:tblPrEx>
          <w:tblW w:w="8928" w:type="dxa"/>
          <w:tblLayout w:type="fixed"/>
          <w:tblLook w:val="04A0"/>
        </w:tblPrEx>
        <w:trPr>
          <w:trHeight w:val="710"/>
        </w:trPr>
        <w:tc>
          <w:tcPr>
            <w:tcW w:w="2158" w:type="dxa"/>
            <w:tcBorders>
              <w:top w:val="single" w:sz="4" w:space="0" w:color="auto"/>
              <w:left w:val="single" w:sz="4" w:space="0" w:color="auto"/>
              <w:bottom w:val="single" w:sz="4" w:space="0" w:color="auto"/>
              <w:right w:val="single" w:sz="4" w:space="0" w:color="auto"/>
            </w:tcBorders>
            <w:vAlign w:val="center"/>
            <w:hideMark/>
          </w:tcPr>
          <w:p w:rsidR="00B44F3B" w:rsidRPr="00A955AF" w:rsidP="00C90C68" w14:paraId="049C202A" w14:textId="77777777">
            <w:pPr>
              <w:spacing w:line="276" w:lineRule="auto"/>
              <w:rPr>
                <w:rFonts w:eastAsiaTheme="minorHAnsi" w:cs="Arial"/>
                <w:b/>
                <w:sz w:val="24"/>
              </w:rPr>
            </w:pPr>
            <w:r w:rsidRPr="00A955AF">
              <w:rPr>
                <w:rFonts w:cs="Arial"/>
                <w:b/>
                <w:sz w:val="24"/>
              </w:rPr>
              <w:t>Vazba na další specifické cíle</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2D06A5" w:rsidRPr="002D06A5" w:rsidP="006C359E" w14:paraId="4F67FC54" w14:textId="582A06F7">
            <w:pPr>
              <w:pStyle w:val="ListParagraph"/>
              <w:numPr>
                <w:ilvl w:val="1"/>
                <w:numId w:val="58"/>
              </w:numPr>
              <w:spacing w:line="276" w:lineRule="auto"/>
              <w:rPr>
                <w:rFonts w:cs="Arial"/>
                <w:sz w:val="24"/>
              </w:rPr>
            </w:pPr>
            <w:r w:rsidRPr="002D06A5">
              <w:rPr>
                <w:rFonts w:cs="Arial"/>
                <w:sz w:val="24"/>
              </w:rPr>
              <w:t>Primární prevence a ochrana veřejného zdraví</w:t>
            </w:r>
          </w:p>
          <w:p w:rsidR="002D06A5" w:rsidRPr="002D06A5" w:rsidP="006C359E" w14:paraId="2EF3C06E" w14:textId="32724CE2">
            <w:pPr>
              <w:pStyle w:val="ListParagraph"/>
              <w:numPr>
                <w:ilvl w:val="1"/>
                <w:numId w:val="58"/>
              </w:numPr>
              <w:spacing w:line="276" w:lineRule="auto"/>
              <w:rPr>
                <w:rFonts w:cs="Arial"/>
                <w:sz w:val="24"/>
              </w:rPr>
            </w:pPr>
            <w:r>
              <w:rPr>
                <w:rFonts w:cs="Arial"/>
                <w:sz w:val="24"/>
              </w:rPr>
              <w:t>Sekundární prevence a screeningové programy</w:t>
            </w:r>
          </w:p>
          <w:p w:rsidR="005967AC" w:rsidRPr="00A955AF" w:rsidP="00C90C68" w14:paraId="063A557D" w14:textId="6875E744">
            <w:pPr>
              <w:spacing w:line="276" w:lineRule="auto"/>
              <w:ind w:left="601" w:hanging="601"/>
              <w:rPr>
                <w:rFonts w:eastAsiaTheme="minorHAnsi" w:cs="Arial"/>
                <w:sz w:val="24"/>
              </w:rPr>
            </w:pPr>
            <w:r w:rsidRPr="00A955AF">
              <w:rPr>
                <w:rFonts w:cs="Arial"/>
                <w:sz w:val="24"/>
              </w:rPr>
              <w:t>2.3</w:t>
            </w:r>
            <w:r w:rsidRPr="00A955AF" w:rsidR="00741CBA">
              <w:rPr>
                <w:rFonts w:cs="Arial"/>
                <w:sz w:val="24"/>
              </w:rPr>
              <w:t xml:space="preserve"> </w:t>
            </w:r>
            <w:r w:rsidR="003658A0">
              <w:rPr>
                <w:rFonts w:cs="Arial"/>
                <w:sz w:val="24"/>
              </w:rPr>
              <w:t xml:space="preserve">     </w:t>
            </w:r>
            <w:r w:rsidRPr="00A955AF">
              <w:rPr>
                <w:rFonts w:cs="Arial"/>
                <w:sz w:val="24"/>
              </w:rPr>
              <w:t>Digitalizace zdravotnictví</w:t>
            </w:r>
          </w:p>
        </w:tc>
      </w:tr>
      <w:tr w14:paraId="5139D48D"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2D06A5" w:rsidRPr="00A955AF" w:rsidP="002D06A5" w14:paraId="7F420BB8" w14:textId="77777777">
            <w:pPr>
              <w:spacing w:line="276" w:lineRule="auto"/>
              <w:rPr>
                <w:rFonts w:eastAsiaTheme="minorHAnsi" w:cs="Arial"/>
                <w:b/>
                <w:sz w:val="24"/>
              </w:rPr>
            </w:pPr>
            <w:r w:rsidRPr="00A955AF">
              <w:rPr>
                <w:rFonts w:cs="Arial"/>
                <w:b/>
                <w:sz w:val="24"/>
              </w:rPr>
              <w:t xml:space="preserve">Indikátory </w:t>
            </w:r>
          </w:p>
        </w:tc>
        <w:tc>
          <w:tcPr>
            <w:tcW w:w="6770" w:type="dxa"/>
            <w:gridSpan w:val="2"/>
            <w:tcBorders>
              <w:top w:val="single" w:sz="4" w:space="0" w:color="auto"/>
              <w:left w:val="single" w:sz="4" w:space="0" w:color="auto"/>
              <w:bottom w:val="single" w:sz="4" w:space="0" w:color="auto"/>
              <w:right w:val="single" w:sz="4" w:space="0" w:color="auto"/>
            </w:tcBorders>
            <w:vAlign w:val="center"/>
            <w:hideMark/>
          </w:tcPr>
          <w:p w:rsidR="002D06A5" w:rsidRPr="00A955AF" w:rsidP="002D06A5" w14:paraId="27D54B11" w14:textId="77777777">
            <w:pPr>
              <w:tabs>
                <w:tab w:val="num" w:pos="585"/>
              </w:tabs>
              <w:overflowPunct w:val="0"/>
              <w:autoSpaceDE w:val="0"/>
              <w:autoSpaceDN w:val="0"/>
              <w:adjustRightInd w:val="0"/>
              <w:rPr>
                <w:rFonts w:cs="Arial"/>
                <w:sz w:val="24"/>
              </w:rPr>
            </w:pPr>
            <w:r w:rsidRPr="00A955AF">
              <w:rPr>
                <w:rFonts w:cs="Arial"/>
                <w:sz w:val="24"/>
              </w:rPr>
              <w:t xml:space="preserve">Na úrovni dopadu: </w:t>
            </w:r>
          </w:p>
          <w:p w:rsidR="002D06A5" w:rsidRPr="00A955AF" w:rsidP="002D06A5" w14:paraId="3CAD9B0D" w14:textId="77777777">
            <w:pPr>
              <w:pStyle w:val="ListParagraph"/>
              <w:numPr>
                <w:ilvl w:val="0"/>
                <w:numId w:val="18"/>
              </w:numPr>
              <w:autoSpaceDE/>
              <w:autoSpaceDN/>
              <w:adjustRightInd/>
              <w:spacing w:line="276" w:lineRule="auto"/>
              <w:contextualSpacing/>
              <w:rPr>
                <w:rFonts w:eastAsiaTheme="minorHAnsi" w:cs="Arial"/>
                <w:sz w:val="24"/>
                <w:szCs w:val="24"/>
              </w:rPr>
            </w:pPr>
            <w:r w:rsidRPr="00A955AF">
              <w:rPr>
                <w:rFonts w:cs="Arial"/>
                <w:sz w:val="24"/>
                <w:szCs w:val="24"/>
              </w:rPr>
              <w:t>Počet vytvořených programů podpory výzkumu</w:t>
            </w:r>
          </w:p>
          <w:p w:rsidR="002D06A5" w:rsidRPr="00401459" w:rsidP="002D06A5" w14:paraId="6B220D53" w14:textId="77777777">
            <w:pPr>
              <w:pStyle w:val="ListParagraph"/>
              <w:numPr>
                <w:ilvl w:val="0"/>
                <w:numId w:val="18"/>
              </w:numPr>
              <w:autoSpaceDE/>
              <w:autoSpaceDN/>
              <w:adjustRightInd/>
              <w:spacing w:line="276" w:lineRule="auto"/>
              <w:contextualSpacing/>
              <w:rPr>
                <w:rFonts w:eastAsiaTheme="minorHAnsi" w:cs="Arial"/>
                <w:sz w:val="24"/>
                <w:szCs w:val="24"/>
              </w:rPr>
            </w:pPr>
            <w:r>
              <w:rPr>
                <w:rFonts w:eastAsiaTheme="minorHAnsi" w:cs="Arial"/>
                <w:sz w:val="24"/>
                <w:szCs w:val="24"/>
              </w:rPr>
              <w:t>Zvýšení kvality zdravotnického výzkum v ČR</w:t>
            </w:r>
          </w:p>
          <w:p w:rsidR="002D06A5" w:rsidP="002D06A5" w14:paraId="14660D8F" w14:textId="77777777">
            <w:pPr>
              <w:pStyle w:val="ListParagraph"/>
              <w:numPr>
                <w:ilvl w:val="0"/>
                <w:numId w:val="18"/>
              </w:numPr>
              <w:autoSpaceDE/>
              <w:autoSpaceDN/>
              <w:adjustRightInd/>
              <w:spacing w:line="276" w:lineRule="auto"/>
              <w:contextualSpacing/>
              <w:rPr>
                <w:rFonts w:eastAsiaTheme="minorHAnsi" w:cs="Arial"/>
                <w:sz w:val="24"/>
                <w:szCs w:val="24"/>
              </w:rPr>
            </w:pPr>
            <w:r>
              <w:rPr>
                <w:rFonts w:eastAsiaTheme="minorHAnsi" w:cs="Arial"/>
                <w:sz w:val="24"/>
                <w:szCs w:val="24"/>
              </w:rPr>
              <w:t>Posílení mezinárodní konkurenceschopnosti českého zdravotnického výzkumu</w:t>
            </w:r>
          </w:p>
          <w:p w:rsidR="002D06A5" w:rsidP="002D06A5" w14:paraId="2A22E9B6" w14:textId="77777777">
            <w:pPr>
              <w:pStyle w:val="ListParagraph"/>
              <w:numPr>
                <w:ilvl w:val="0"/>
                <w:numId w:val="18"/>
              </w:numPr>
              <w:autoSpaceDE/>
              <w:autoSpaceDN/>
              <w:adjustRightInd/>
              <w:spacing w:line="276" w:lineRule="auto"/>
              <w:contextualSpacing/>
              <w:rPr>
                <w:rFonts w:eastAsiaTheme="minorHAnsi" w:cs="Arial"/>
                <w:sz w:val="24"/>
                <w:szCs w:val="24"/>
              </w:rPr>
            </w:pPr>
            <w:r>
              <w:rPr>
                <w:rFonts w:eastAsiaTheme="minorHAnsi" w:cs="Arial"/>
                <w:sz w:val="24"/>
                <w:szCs w:val="24"/>
              </w:rPr>
              <w:t>Posílení personální základny zdravotnického výzkumu</w:t>
            </w:r>
          </w:p>
          <w:p w:rsidR="002D06A5" w:rsidRPr="00A955AF" w:rsidP="002D06A5" w14:paraId="186CBEE4" w14:textId="77777777">
            <w:pPr>
              <w:pStyle w:val="ListParagraph"/>
              <w:numPr>
                <w:ilvl w:val="0"/>
                <w:numId w:val="18"/>
              </w:numPr>
              <w:autoSpaceDE/>
              <w:autoSpaceDN/>
              <w:adjustRightInd/>
              <w:spacing w:line="276" w:lineRule="auto"/>
              <w:contextualSpacing/>
              <w:rPr>
                <w:rFonts w:eastAsiaTheme="minorHAnsi" w:cs="Arial"/>
                <w:sz w:val="24"/>
                <w:szCs w:val="24"/>
              </w:rPr>
            </w:pPr>
            <w:r>
              <w:rPr>
                <w:rFonts w:eastAsiaTheme="minorHAnsi" w:cs="Arial"/>
                <w:sz w:val="24"/>
                <w:szCs w:val="24"/>
              </w:rPr>
              <w:t>Posílení mezioborové spolupráce</w:t>
            </w:r>
          </w:p>
          <w:p w:rsidR="002D06A5" w:rsidRPr="00A955AF" w:rsidP="002D06A5" w14:paraId="1EE3E727" w14:textId="77777777">
            <w:pPr>
              <w:overflowPunct w:val="0"/>
              <w:rPr>
                <w:rFonts w:cs="Arial"/>
                <w:sz w:val="24"/>
              </w:rPr>
            </w:pPr>
            <w:r w:rsidRPr="00A955AF">
              <w:rPr>
                <w:rFonts w:cs="Arial"/>
                <w:sz w:val="24"/>
              </w:rPr>
              <w:t>Na úrovni výsledků/výstupů:</w:t>
            </w:r>
          </w:p>
          <w:p w:rsidR="002D06A5" w:rsidP="002D06A5" w14:paraId="28279118" w14:textId="5EDB2FE4">
            <w:pPr>
              <w:pStyle w:val="ListParagraph"/>
              <w:numPr>
                <w:ilvl w:val="0"/>
                <w:numId w:val="18"/>
              </w:numPr>
              <w:autoSpaceDE/>
              <w:autoSpaceDN/>
              <w:adjustRightInd/>
              <w:spacing w:line="276" w:lineRule="auto"/>
              <w:contextualSpacing/>
              <w:rPr>
                <w:rFonts w:cs="Arial"/>
                <w:sz w:val="24"/>
                <w:szCs w:val="24"/>
              </w:rPr>
            </w:pPr>
            <w:r>
              <w:rPr>
                <w:rFonts w:cs="Arial"/>
                <w:sz w:val="24"/>
                <w:szCs w:val="24"/>
              </w:rPr>
              <w:t>P</w:t>
            </w:r>
            <w:r w:rsidRPr="00AC0285">
              <w:rPr>
                <w:rFonts w:cs="Arial"/>
                <w:sz w:val="24"/>
                <w:szCs w:val="24"/>
              </w:rPr>
              <w:t>očet a kvalita výsledků zdravotnického výzkumu (citační ohlas, procento publikací v Q1 časopisech dle databáze WoS)</w:t>
            </w:r>
          </w:p>
          <w:p w:rsidR="002D06A5" w:rsidP="002D06A5" w14:paraId="10F61BF7" w14:textId="5319673B">
            <w:pPr>
              <w:pStyle w:val="ListParagraph"/>
              <w:numPr>
                <w:ilvl w:val="0"/>
                <w:numId w:val="18"/>
              </w:numPr>
              <w:autoSpaceDE/>
              <w:autoSpaceDN/>
              <w:adjustRightInd/>
              <w:spacing w:line="276" w:lineRule="auto"/>
              <w:contextualSpacing/>
              <w:rPr>
                <w:rFonts w:cs="Arial"/>
                <w:sz w:val="24"/>
                <w:szCs w:val="24"/>
              </w:rPr>
            </w:pPr>
            <w:r>
              <w:rPr>
                <w:rFonts w:cs="Arial"/>
                <w:sz w:val="24"/>
                <w:szCs w:val="24"/>
              </w:rPr>
              <w:t>P</w:t>
            </w:r>
            <w:r w:rsidRPr="00AC0285">
              <w:rPr>
                <w:rFonts w:cs="Arial"/>
                <w:sz w:val="24"/>
                <w:szCs w:val="24"/>
              </w:rPr>
              <w:t>očet přihlášených výsledků aplikovaného výzkumu (realizace prototypu, funkčního vzorku, software, užitného/průmyslového vzoru, poloprovozu, ověřené technologie, certifikované metodiky a postupy, patentová přihláška, patent, licence)</w:t>
            </w:r>
          </w:p>
          <w:p w:rsidR="002D06A5" w:rsidP="002D06A5" w14:paraId="4C9B88D4" w14:textId="055AC2AA">
            <w:pPr>
              <w:pStyle w:val="ListParagraph"/>
              <w:numPr>
                <w:ilvl w:val="0"/>
                <w:numId w:val="18"/>
              </w:numPr>
              <w:autoSpaceDE/>
              <w:autoSpaceDN/>
              <w:adjustRightInd/>
              <w:spacing w:line="276" w:lineRule="auto"/>
              <w:contextualSpacing/>
              <w:rPr>
                <w:rFonts w:cs="Arial"/>
                <w:sz w:val="24"/>
                <w:szCs w:val="24"/>
              </w:rPr>
            </w:pPr>
            <w:r>
              <w:rPr>
                <w:rFonts w:cs="Arial"/>
                <w:sz w:val="24"/>
                <w:szCs w:val="24"/>
              </w:rPr>
              <w:t>P</w:t>
            </w:r>
            <w:r w:rsidRPr="00AC0285">
              <w:rPr>
                <w:rFonts w:cs="Arial"/>
                <w:sz w:val="24"/>
                <w:szCs w:val="24"/>
              </w:rPr>
              <w:t>očet a objem mezinárodních spoluprací</w:t>
            </w:r>
            <w:r>
              <w:rPr>
                <w:rFonts w:cs="Arial"/>
                <w:sz w:val="24"/>
                <w:szCs w:val="24"/>
              </w:rPr>
              <w:t xml:space="preserve"> (společné publikace, projekty)</w:t>
            </w:r>
          </w:p>
          <w:p w:rsidR="002D06A5" w:rsidP="002D06A5" w14:paraId="05DD0C67" w14:textId="144FAF4B">
            <w:pPr>
              <w:pStyle w:val="ListParagraph"/>
              <w:numPr>
                <w:ilvl w:val="0"/>
                <w:numId w:val="18"/>
              </w:numPr>
              <w:autoSpaceDE/>
              <w:autoSpaceDN/>
              <w:adjustRightInd/>
              <w:spacing w:line="276" w:lineRule="auto"/>
              <w:contextualSpacing/>
              <w:rPr>
                <w:rFonts w:cs="Arial"/>
                <w:sz w:val="24"/>
                <w:szCs w:val="24"/>
              </w:rPr>
            </w:pPr>
            <w:r>
              <w:rPr>
                <w:rFonts w:cs="Arial"/>
                <w:sz w:val="24"/>
                <w:szCs w:val="24"/>
              </w:rPr>
              <w:t>P</w:t>
            </w:r>
            <w:r w:rsidRPr="00AC0285">
              <w:rPr>
                <w:rFonts w:cs="Arial"/>
                <w:sz w:val="24"/>
                <w:szCs w:val="24"/>
              </w:rPr>
              <w:t>očet a kvalita výsledků výzkumu realizovaného mladými výzkumníky</w:t>
            </w:r>
          </w:p>
          <w:p w:rsidR="002D06A5" w:rsidRPr="00401459" w:rsidP="002D06A5" w14:paraId="0C3187AA" w14:textId="59DEEF20">
            <w:pPr>
              <w:pStyle w:val="ListParagraph"/>
              <w:numPr>
                <w:ilvl w:val="0"/>
                <w:numId w:val="18"/>
              </w:numPr>
              <w:spacing w:line="276" w:lineRule="auto"/>
              <w:contextualSpacing/>
              <w:rPr>
                <w:rFonts w:cs="Arial"/>
                <w:sz w:val="24"/>
                <w:szCs w:val="24"/>
              </w:rPr>
            </w:pPr>
            <w:r>
              <w:rPr>
                <w:rFonts w:cs="Arial"/>
                <w:sz w:val="24"/>
                <w:szCs w:val="24"/>
              </w:rPr>
              <w:t>P</w:t>
            </w:r>
            <w:r w:rsidRPr="00AC0285">
              <w:rPr>
                <w:rFonts w:cs="Arial"/>
                <w:sz w:val="24"/>
                <w:szCs w:val="24"/>
              </w:rPr>
              <w:t xml:space="preserve">odíl žen a mužů zapojených do řešení projektů </w:t>
            </w:r>
            <w:r w:rsidRPr="00401459">
              <w:rPr>
                <w:rFonts w:cs="Arial"/>
                <w:sz w:val="24"/>
              </w:rPr>
              <w:t>a do hodnotitelského procesu</w:t>
            </w:r>
          </w:p>
          <w:p w:rsidR="002D06A5" w:rsidRPr="00A955AF" w:rsidP="002D06A5" w14:paraId="632E39BB" w14:textId="77777777">
            <w:pPr>
              <w:pStyle w:val="ListParagraph"/>
              <w:numPr>
                <w:ilvl w:val="0"/>
                <w:numId w:val="18"/>
              </w:numPr>
              <w:autoSpaceDE/>
              <w:autoSpaceDN/>
              <w:adjustRightInd/>
              <w:spacing w:line="276" w:lineRule="auto"/>
              <w:contextualSpacing/>
              <w:rPr>
                <w:rFonts w:cs="Arial"/>
                <w:sz w:val="24"/>
                <w:szCs w:val="24"/>
              </w:rPr>
            </w:pPr>
            <w:r w:rsidRPr="00A955AF">
              <w:rPr>
                <w:rFonts w:cs="Arial"/>
                <w:sz w:val="24"/>
                <w:szCs w:val="24"/>
              </w:rPr>
              <w:t>Počet alokovaných grantů (poměr realizovaných projektů k počtu podaných žádostí)</w:t>
            </w:r>
          </w:p>
          <w:p w:rsidR="002D06A5" w:rsidRPr="00A955AF" w:rsidP="002D06A5" w14:paraId="7F69A4E1" w14:textId="77777777">
            <w:pPr>
              <w:pStyle w:val="ListParagraph"/>
              <w:numPr>
                <w:ilvl w:val="0"/>
                <w:numId w:val="18"/>
              </w:numPr>
              <w:autoSpaceDE/>
              <w:autoSpaceDN/>
              <w:adjustRightInd/>
              <w:spacing w:line="276" w:lineRule="auto"/>
              <w:contextualSpacing/>
              <w:rPr>
                <w:rFonts w:cs="Arial"/>
                <w:sz w:val="24"/>
                <w:szCs w:val="24"/>
              </w:rPr>
            </w:pPr>
            <w:r w:rsidRPr="00A955AF">
              <w:rPr>
                <w:rFonts w:cs="Arial"/>
                <w:sz w:val="24"/>
                <w:szCs w:val="24"/>
              </w:rPr>
              <w:t>počet úspěšně ukončených grantů</w:t>
            </w:r>
          </w:p>
          <w:p w:rsidR="002D06A5" w:rsidRPr="00A955AF" w:rsidP="002D06A5" w14:paraId="0DE97BAA" w14:textId="12E745CD">
            <w:pPr>
              <w:pStyle w:val="ListParagraph"/>
              <w:numPr>
                <w:ilvl w:val="0"/>
                <w:numId w:val="18"/>
              </w:numPr>
              <w:spacing w:line="276" w:lineRule="auto"/>
              <w:contextualSpacing/>
              <w:rPr>
                <w:rFonts w:eastAsia="Times New Roman" w:cs="Arial"/>
                <w:sz w:val="24"/>
                <w:szCs w:val="24"/>
              </w:rPr>
            </w:pPr>
            <w:r w:rsidRPr="00A955AF">
              <w:rPr>
                <w:rFonts w:cs="Arial"/>
                <w:sz w:val="24"/>
                <w:szCs w:val="24"/>
              </w:rPr>
              <w:t>Počet vytvořených/zmapovaných sítí vytvořených výzkumnými organizacemi a podnik</w:t>
            </w:r>
            <w:r>
              <w:rPr>
                <w:rFonts w:cs="Arial"/>
                <w:sz w:val="24"/>
                <w:szCs w:val="24"/>
              </w:rPr>
              <w:t>y</w:t>
            </w:r>
          </w:p>
        </w:tc>
      </w:tr>
      <w:tr w14:paraId="0D76EE98"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2D06A5" w:rsidRPr="00A955AF" w:rsidP="002D06A5" w14:paraId="329C18BA" w14:textId="77777777">
            <w:pPr>
              <w:spacing w:line="276" w:lineRule="auto"/>
              <w:rPr>
                <w:rFonts w:eastAsiaTheme="minorHAnsi" w:cs="Arial"/>
                <w:b/>
                <w:sz w:val="24"/>
              </w:rPr>
            </w:pPr>
            <w:r w:rsidRPr="00A955AF">
              <w:rPr>
                <w:rFonts w:cs="Arial"/>
                <w:b/>
                <w:sz w:val="24"/>
              </w:rPr>
              <w:t>Výchozí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2D06A5" w:rsidRPr="00A955AF" w:rsidP="002D06A5" w14:paraId="58911CE4" w14:textId="0C7E0BCB">
            <w:pPr>
              <w:spacing w:line="276" w:lineRule="auto"/>
              <w:rPr>
                <w:rFonts w:eastAsiaTheme="minorHAnsi" w:cs="Arial"/>
                <w:sz w:val="24"/>
              </w:rPr>
            </w:pPr>
            <w:r>
              <w:rPr>
                <w:rFonts w:eastAsiaTheme="minorHAnsi" w:cs="Arial"/>
                <w:sz w:val="24"/>
              </w:rPr>
              <w:t xml:space="preserve">V době přípravy dokumentu byl </w:t>
            </w:r>
            <w:r w:rsidRPr="00A955AF">
              <w:rPr>
                <w:rFonts w:eastAsiaTheme="minorHAnsi" w:cs="Arial"/>
                <w:sz w:val="24"/>
              </w:rPr>
              <w:t>v rámci resortu MZ</w:t>
            </w:r>
            <w:r w:rsidR="00E22AF8">
              <w:rPr>
                <w:rFonts w:eastAsiaTheme="minorHAnsi" w:cs="Arial"/>
                <w:sz w:val="24"/>
              </w:rPr>
              <w:t>D</w:t>
            </w:r>
            <w:r w:rsidRPr="00A955AF">
              <w:rPr>
                <w:rFonts w:eastAsiaTheme="minorHAnsi" w:cs="Arial"/>
                <w:sz w:val="24"/>
              </w:rPr>
              <w:t xml:space="preserve"> podporován zdravotnický výzkum a vývoj prostřednictvím dvou nástrojů – účelové podpory (</w:t>
            </w:r>
            <w:r w:rsidRPr="00A955AF">
              <w:rPr>
                <w:sz w:val="24"/>
              </w:rPr>
              <w:t>Program na podporu zdravotnického aplikovaného výzkumu na léta 2015–2022</w:t>
            </w:r>
            <w:r>
              <w:rPr>
                <w:sz w:val="24"/>
              </w:rPr>
              <w:t>,</w:t>
            </w:r>
            <w:r w:rsidRPr="00A955AF">
              <w:rPr>
                <w:rFonts w:eastAsiaTheme="minorHAnsi" w:cs="Arial"/>
                <w:sz w:val="24"/>
              </w:rPr>
              <w:t xml:space="preserve"> resp. Program na podporu zdravotnického aplikovaného výzkumu na léta 2020</w:t>
            </w:r>
            <w:r>
              <w:rPr>
                <w:rFonts w:eastAsiaTheme="minorHAnsi" w:cs="Arial"/>
                <w:sz w:val="24"/>
              </w:rPr>
              <w:t>–</w:t>
            </w:r>
            <w:r w:rsidRPr="00A955AF">
              <w:rPr>
                <w:rFonts w:eastAsiaTheme="minorHAnsi" w:cs="Arial"/>
                <w:sz w:val="24"/>
              </w:rPr>
              <w:t>2026) a institucionální podpory na dlouhodobý koncepční rozvoj výzkumných organizací.</w:t>
            </w:r>
          </w:p>
          <w:p w:rsidR="002D06A5" w:rsidRPr="00A955AF" w:rsidP="002D06A5" w14:paraId="520E2E58" w14:textId="77777777">
            <w:pPr>
              <w:spacing w:line="276" w:lineRule="auto"/>
              <w:rPr>
                <w:rFonts w:eastAsiaTheme="minorHAnsi" w:cs="Arial"/>
                <w:sz w:val="24"/>
              </w:rPr>
            </w:pPr>
            <w:r w:rsidRPr="00A955AF">
              <w:rPr>
                <w:rFonts w:eastAsiaTheme="minorHAnsi" w:cs="Arial"/>
                <w:sz w:val="24"/>
              </w:rPr>
              <w:t>Účelová podpora pro roky 2015</w:t>
            </w:r>
            <w:r>
              <w:rPr>
                <w:rFonts w:eastAsiaTheme="minorHAnsi" w:cstheme="minorHAnsi"/>
                <w:sz w:val="24"/>
              </w:rPr>
              <w:t>‒</w:t>
            </w:r>
            <w:r w:rsidRPr="00A955AF">
              <w:rPr>
                <w:rFonts w:eastAsiaTheme="minorHAnsi" w:cs="Arial"/>
                <w:sz w:val="24"/>
              </w:rPr>
              <w:t>2022, ale i pro roky 2020</w:t>
            </w:r>
            <w:r>
              <w:rPr>
                <w:rFonts w:eastAsiaTheme="minorHAnsi" w:cs="Arial"/>
                <w:sz w:val="24"/>
              </w:rPr>
              <w:t>–</w:t>
            </w:r>
            <w:r w:rsidRPr="00A955AF">
              <w:rPr>
                <w:rFonts w:eastAsiaTheme="minorHAnsi" w:cs="Arial"/>
                <w:sz w:val="24"/>
              </w:rPr>
              <w:t>2026 vycház</w:t>
            </w:r>
            <w:r>
              <w:rPr>
                <w:rFonts w:eastAsiaTheme="minorHAnsi" w:cs="Arial"/>
                <w:sz w:val="24"/>
              </w:rPr>
              <w:t>ela</w:t>
            </w:r>
            <w:r w:rsidRPr="00A955AF">
              <w:rPr>
                <w:rFonts w:eastAsiaTheme="minorHAnsi" w:cs="Arial"/>
                <w:sz w:val="24"/>
              </w:rPr>
              <w:t xml:space="preserve"> z Koncepce zdravotnického výzkumu do roku 2022, tedy dokumentu z roku 2013, který </w:t>
            </w:r>
            <w:r>
              <w:rPr>
                <w:rFonts w:eastAsiaTheme="minorHAnsi" w:cs="Arial"/>
                <w:sz w:val="24"/>
              </w:rPr>
              <w:t>byl</w:t>
            </w:r>
            <w:r w:rsidRPr="00A955AF">
              <w:rPr>
                <w:rFonts w:eastAsiaTheme="minorHAnsi" w:cs="Arial"/>
                <w:sz w:val="24"/>
              </w:rPr>
              <w:t xml:space="preserve"> v některých oblastech již překonaný.</w:t>
            </w:r>
            <w:r>
              <w:rPr>
                <w:rFonts w:eastAsiaTheme="minorHAnsi" w:cs="Arial"/>
                <w:sz w:val="24"/>
              </w:rPr>
              <w:t xml:space="preserve"> V roce 2020 byl schválen nový zastřešující strategický dokument</w:t>
            </w:r>
            <w:r>
              <w:rPr>
                <w:rFonts w:cs="Arial"/>
                <w:color w:val="222222"/>
                <w:sz w:val="24"/>
              </w:rPr>
              <w:t xml:space="preserve"> Národní politika výzkumu, vývoje a inovací České republiky 2021+ a na v roce 2022 navázala Koncepce zdravotnického výzkumu do roku 2030.</w:t>
            </w:r>
          </w:p>
          <w:p w:rsidR="002D06A5" w:rsidRPr="00A955AF" w:rsidP="002D06A5" w14:paraId="0514C5CE" w14:textId="77777777">
            <w:pPr>
              <w:spacing w:line="276" w:lineRule="auto"/>
              <w:rPr>
                <w:rFonts w:eastAsiaTheme="minorHAnsi" w:cs="Arial"/>
                <w:sz w:val="24"/>
              </w:rPr>
            </w:pPr>
            <w:r w:rsidRPr="00A955AF">
              <w:rPr>
                <w:rFonts w:eastAsiaTheme="minorHAnsi" w:cs="Arial"/>
                <w:sz w:val="24"/>
              </w:rPr>
              <w:t>V případě institucionální podpory probíh</w:t>
            </w:r>
            <w:r>
              <w:rPr>
                <w:rFonts w:eastAsiaTheme="minorHAnsi" w:cs="Arial"/>
                <w:sz w:val="24"/>
              </w:rPr>
              <w:t>alo</w:t>
            </w:r>
            <w:r w:rsidRPr="00A955AF">
              <w:rPr>
                <w:rFonts w:eastAsiaTheme="minorHAnsi" w:cs="Arial"/>
                <w:sz w:val="24"/>
              </w:rPr>
              <w:t xml:space="preserve"> od roku 2017 zavádění nové metodiky hodnocení výzkumných organizací a programů účelové podpory výzkumu, vývoje a inovací, tzv. Metodiky 17+. V této souvislosti docház</w:t>
            </w:r>
            <w:r>
              <w:rPr>
                <w:rFonts w:eastAsiaTheme="minorHAnsi" w:cs="Arial"/>
                <w:sz w:val="24"/>
              </w:rPr>
              <w:t>elo</w:t>
            </w:r>
            <w:r w:rsidRPr="00A955AF">
              <w:rPr>
                <w:rFonts w:eastAsiaTheme="minorHAnsi" w:cs="Arial"/>
                <w:sz w:val="24"/>
              </w:rPr>
              <w:t xml:space="preserve"> k postupné změně přístupu k rozdělování institucionální podpory a následnému vyhodnocování jejich výsledků.</w:t>
            </w:r>
          </w:p>
          <w:p w:rsidR="002D06A5" w:rsidRPr="00A955AF" w:rsidP="002D06A5" w14:paraId="3BD8F68A" w14:textId="08F52F87">
            <w:pPr>
              <w:spacing w:line="276" w:lineRule="auto"/>
              <w:rPr>
                <w:rFonts w:eastAsiaTheme="minorHAnsi" w:cs="Arial"/>
                <w:sz w:val="24"/>
              </w:rPr>
            </w:pPr>
            <w:r w:rsidRPr="00A955AF">
              <w:rPr>
                <w:rFonts w:eastAsiaTheme="minorHAnsi" w:cs="Arial"/>
                <w:sz w:val="24"/>
              </w:rPr>
              <w:t>Současně probíha</w:t>
            </w:r>
            <w:r>
              <w:rPr>
                <w:rFonts w:eastAsiaTheme="minorHAnsi" w:cs="Arial"/>
                <w:sz w:val="24"/>
              </w:rPr>
              <w:t>ly</w:t>
            </w:r>
            <w:r w:rsidRPr="00A955AF">
              <w:rPr>
                <w:rFonts w:eastAsiaTheme="minorHAnsi" w:cs="Arial"/>
                <w:sz w:val="24"/>
              </w:rPr>
              <w:t xml:space="preserve"> práce na přípravě nové koncepce zdravotnického výzkumu.</w:t>
            </w:r>
            <w:r>
              <w:rPr>
                <w:rFonts w:eastAsiaTheme="minorHAnsi" w:cs="Arial"/>
                <w:sz w:val="24"/>
              </w:rPr>
              <w:t xml:space="preserve"> </w:t>
            </w:r>
          </w:p>
        </w:tc>
      </w:tr>
      <w:tr w14:paraId="02CDFD6C"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2D06A5" w:rsidRPr="00A955AF" w:rsidP="002D06A5" w14:paraId="26ABE442" w14:textId="77777777">
            <w:pPr>
              <w:spacing w:line="276" w:lineRule="auto"/>
              <w:rPr>
                <w:rFonts w:eastAsiaTheme="minorHAnsi" w:cs="Arial"/>
                <w:b/>
                <w:sz w:val="24"/>
              </w:rPr>
            </w:pPr>
            <w:r w:rsidRPr="00A955AF">
              <w:rPr>
                <w:rFonts w:cs="Arial"/>
                <w:b/>
                <w:sz w:val="24"/>
              </w:rPr>
              <w:t>Cílový stav</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2D06A5" w:rsidRPr="00A955AF" w:rsidP="002D06A5" w14:paraId="0BFB1EE4" w14:textId="77777777">
            <w:pPr>
              <w:spacing w:line="276" w:lineRule="auto"/>
              <w:rPr>
                <w:rFonts w:eastAsiaTheme="minorHAnsi" w:cs="Arial"/>
                <w:sz w:val="24"/>
              </w:rPr>
            </w:pPr>
            <w:r w:rsidRPr="00A955AF">
              <w:rPr>
                <w:rFonts w:eastAsiaTheme="minorHAnsi" w:cs="Arial"/>
                <w:sz w:val="24"/>
              </w:rPr>
              <w:t>Je vytvořena nová koncepce zdravotnického výzkumu, jejíž cíle jsou průběžně naplňovány projekty programu účelové podpory. Zadávací dokumentace veřejných soutěží v rámci programů účelové podpory jsou aktualizovány a reagují na aktuální potřeby. V případě nutnosti je aktualizován i Program na podporu zdravotnického aplikovaného výzkumu na léta 2020</w:t>
            </w:r>
            <w:r>
              <w:rPr>
                <w:rFonts w:eastAsiaTheme="minorHAnsi" w:cs="Arial"/>
                <w:sz w:val="24"/>
              </w:rPr>
              <w:t>–</w:t>
            </w:r>
            <w:r w:rsidRPr="00A955AF">
              <w:rPr>
                <w:rFonts w:eastAsiaTheme="minorHAnsi" w:cs="Arial"/>
                <w:sz w:val="24"/>
              </w:rPr>
              <w:t>2026.</w:t>
            </w:r>
          </w:p>
          <w:p w:rsidR="002D06A5" w:rsidRPr="00A955AF" w:rsidP="002D06A5" w14:paraId="30AD48C8" w14:textId="3BDCCFC5">
            <w:pPr>
              <w:spacing w:line="276" w:lineRule="auto"/>
              <w:rPr>
                <w:rFonts w:eastAsiaTheme="minorHAnsi" w:cs="Arial"/>
                <w:sz w:val="24"/>
              </w:rPr>
            </w:pPr>
            <w:r w:rsidRPr="00A955AF">
              <w:rPr>
                <w:rFonts w:eastAsiaTheme="minorHAnsi" w:cs="Arial"/>
                <w:sz w:val="24"/>
              </w:rPr>
              <w:t>Metodika 17+ je plně implementována do resortu zdravotnictví.</w:t>
            </w:r>
          </w:p>
        </w:tc>
      </w:tr>
      <w:tr w14:paraId="55386EDC" w14:textId="77777777" w:rsidTr="00C90C68">
        <w:tblPrEx>
          <w:tblW w:w="8928" w:type="dxa"/>
          <w:tblLayout w:type="fixed"/>
          <w:tblLook w:val="04A0"/>
        </w:tblPrEx>
        <w:tc>
          <w:tcPr>
            <w:tcW w:w="2158" w:type="dxa"/>
            <w:tcBorders>
              <w:top w:val="single" w:sz="4" w:space="0" w:color="auto"/>
              <w:left w:val="single" w:sz="4" w:space="0" w:color="auto"/>
              <w:bottom w:val="single" w:sz="4" w:space="0" w:color="auto"/>
              <w:right w:val="single" w:sz="4" w:space="0" w:color="auto"/>
            </w:tcBorders>
            <w:vAlign w:val="center"/>
            <w:hideMark/>
          </w:tcPr>
          <w:p w:rsidR="002D06A5" w:rsidRPr="00A955AF" w:rsidP="002D06A5" w14:paraId="337FC6C4" w14:textId="77777777">
            <w:pPr>
              <w:spacing w:line="276" w:lineRule="auto"/>
              <w:rPr>
                <w:rFonts w:eastAsiaTheme="minorHAnsi" w:cs="Arial"/>
                <w:b/>
                <w:sz w:val="24"/>
              </w:rPr>
            </w:pPr>
            <w:r w:rsidRPr="00A955AF">
              <w:rPr>
                <w:rFonts w:cs="Arial"/>
                <w:b/>
                <w:sz w:val="24"/>
              </w:rPr>
              <w:t>Zdroje financování</w:t>
            </w:r>
          </w:p>
        </w:tc>
        <w:tc>
          <w:tcPr>
            <w:tcW w:w="6770" w:type="dxa"/>
            <w:gridSpan w:val="2"/>
            <w:tcBorders>
              <w:top w:val="single" w:sz="4" w:space="0" w:color="auto"/>
              <w:left w:val="single" w:sz="4" w:space="0" w:color="auto"/>
              <w:bottom w:val="single" w:sz="4" w:space="0" w:color="auto"/>
              <w:right w:val="single" w:sz="4" w:space="0" w:color="auto"/>
            </w:tcBorders>
            <w:vAlign w:val="center"/>
          </w:tcPr>
          <w:p w:rsidR="002D06A5" w:rsidRPr="00670E0B" w:rsidP="002D06A5" w14:paraId="7CE0C026" w14:textId="46C8CD83">
            <w:pPr>
              <w:spacing w:line="276" w:lineRule="auto"/>
              <w:ind w:left="34"/>
              <w:contextualSpacing/>
              <w:rPr>
                <w:rFonts w:cs="Arial"/>
                <w:sz w:val="24"/>
              </w:rPr>
            </w:pPr>
            <w:r>
              <w:rPr>
                <w:rFonts w:cs="Arial"/>
                <w:sz w:val="24"/>
              </w:rPr>
              <w:t>Státní rozpočet, fondy EU, ú</w:t>
            </w:r>
            <w:r w:rsidRPr="00A955AF">
              <w:rPr>
                <w:rFonts w:cs="Arial"/>
                <w:sz w:val="24"/>
              </w:rPr>
              <w:t>čelová podpora podle zákona č.</w:t>
            </w:r>
            <w:r w:rsidR="002831C0">
              <w:rPr>
                <w:rFonts w:cs="Arial"/>
                <w:sz w:val="24"/>
              </w:rPr>
              <w:t> </w:t>
            </w:r>
            <w:r w:rsidRPr="00A955AF">
              <w:rPr>
                <w:rFonts w:cs="Arial"/>
                <w:sz w:val="24"/>
              </w:rPr>
              <w:t>130/2002 Sb. (Program na podporu zdravotnického aplikovaného výzkumu)</w:t>
            </w:r>
            <w:r>
              <w:rPr>
                <w:rFonts w:cs="Arial"/>
                <w:sz w:val="24"/>
              </w:rPr>
              <w:t>, i</w:t>
            </w:r>
            <w:r w:rsidRPr="00A955AF">
              <w:rPr>
                <w:rFonts w:cs="Arial"/>
                <w:sz w:val="24"/>
              </w:rPr>
              <w:t xml:space="preserve">nstitucionální podpora na dlouhodobý koncepční rozvoj výzkumné podle zákona č. 130/2002 Sb. </w:t>
            </w:r>
          </w:p>
        </w:tc>
      </w:tr>
    </w:tbl>
    <w:p w:rsidR="00B44F3B" w:rsidRPr="00A955AF" w:rsidP="00B44F3B" w14:paraId="7101CDE7" w14:textId="77777777">
      <w:pPr>
        <w:pStyle w:val="NormalWeb"/>
        <w:jc w:val="both"/>
        <w:rPr>
          <w:rFonts w:ascii="Arial" w:eastAsia="Times New Roman" w:hAnsi="Arial" w:cs="Arial"/>
          <w:b/>
          <w:color w:val="000000"/>
          <w:sz w:val="20"/>
          <w:szCs w:val="20"/>
        </w:rPr>
      </w:pPr>
    </w:p>
    <w:bookmarkEnd w:id="616"/>
    <w:p w:rsidR="002831C0" w14:paraId="6D450AE8" w14:textId="20810494">
      <w:pPr>
        <w:spacing w:before="0" w:line="264" w:lineRule="auto"/>
        <w:jc w:val="left"/>
        <w:rPr>
          <w:rFonts w:ascii="Arial" w:hAnsi="Arial" w:cs="Arial"/>
          <w:sz w:val="20"/>
          <w:szCs w:val="20"/>
        </w:rPr>
      </w:pPr>
      <w:r>
        <w:rPr>
          <w:rFonts w:ascii="Arial" w:hAnsi="Arial" w:cs="Arial"/>
          <w:sz w:val="20"/>
          <w:szCs w:val="20"/>
        </w:rPr>
        <w:br w:type="page"/>
      </w:r>
    </w:p>
    <w:p w:rsidR="0095004C" w:rsidRPr="00163C98" w:rsidP="006C359E" w14:paraId="47712B1C" w14:textId="10C1D11B">
      <w:pPr>
        <w:pStyle w:val="Heading1"/>
        <w:numPr>
          <w:ilvl w:val="0"/>
          <w:numId w:val="45"/>
        </w:numPr>
        <w:rPr>
          <w:color w:val="1F497D" w:themeColor="text2"/>
        </w:rPr>
      </w:pPr>
      <w:bookmarkStart w:id="618" w:name="_Toc7705149"/>
      <w:bookmarkStart w:id="619" w:name="_Toc7705620"/>
      <w:bookmarkStart w:id="620" w:name="_Toc256000064"/>
      <w:r w:rsidRPr="00163C98">
        <w:rPr>
          <w:color w:val="1F497D" w:themeColor="text2"/>
        </w:rPr>
        <w:t>Implementace Strategického rámce Zdraví 203</w:t>
      </w:r>
      <w:bookmarkEnd w:id="618"/>
      <w:bookmarkEnd w:id="619"/>
      <w:r w:rsidR="00AD522B">
        <w:rPr>
          <w:color w:val="1F497D" w:themeColor="text2"/>
        </w:rPr>
        <w:t>5</w:t>
      </w:r>
      <w:bookmarkEnd w:id="620"/>
    </w:p>
    <w:p w:rsidR="00AD522B" w:rsidRPr="00A955AF" w:rsidP="00AD522B" w14:paraId="75C9CF1F" w14:textId="01726714">
      <w:pPr>
        <w:rPr>
          <w:rFonts w:cs="Arial"/>
          <w:sz w:val="24"/>
        </w:rPr>
      </w:pPr>
      <w:r w:rsidRPr="00A955AF">
        <w:rPr>
          <w:rFonts w:cs="Arial"/>
          <w:sz w:val="24"/>
        </w:rPr>
        <w:t>Strategický rámec Zdraví 203</w:t>
      </w:r>
      <w:r>
        <w:rPr>
          <w:rFonts w:cs="Arial"/>
          <w:sz w:val="24"/>
        </w:rPr>
        <w:t>5</w:t>
      </w:r>
      <w:r w:rsidRPr="00A955AF">
        <w:rPr>
          <w:rFonts w:cs="Arial"/>
          <w:sz w:val="24"/>
        </w:rPr>
        <w:t xml:space="preserve"> je základním předpokladem pro dlouhodobý rozvoj veřejného zdravotního systému a pro strategické říd</w:t>
      </w:r>
      <w:r>
        <w:rPr>
          <w:rFonts w:cs="Arial"/>
          <w:sz w:val="24"/>
        </w:rPr>
        <w:t>i</w:t>
      </w:r>
      <w:r w:rsidRPr="00A955AF">
        <w:rPr>
          <w:rFonts w:cs="Arial"/>
          <w:sz w:val="24"/>
        </w:rPr>
        <w:t xml:space="preserve">cí procesy v celém resortu i </w:t>
      </w:r>
      <w:r>
        <w:rPr>
          <w:rFonts w:cs="Arial"/>
          <w:sz w:val="24"/>
        </w:rPr>
        <w:t xml:space="preserve">v </w:t>
      </w:r>
      <w:r w:rsidRPr="00A955AF">
        <w:rPr>
          <w:rFonts w:cs="Arial"/>
          <w:sz w:val="24"/>
        </w:rPr>
        <w:t>jeho jednotlivých částech. Jedná se o živý a otevřený dokument, což znamená, že bude odpovídajícím způsobem reagováno na případné změny podmínek</w:t>
      </w:r>
      <w:r>
        <w:rPr>
          <w:rFonts w:cs="Arial"/>
          <w:sz w:val="24"/>
        </w:rPr>
        <w:t xml:space="preserve"> a vnějšího prostředí</w:t>
      </w:r>
      <w:r w:rsidRPr="00A955AF">
        <w:rPr>
          <w:rFonts w:cs="Arial"/>
          <w:sz w:val="24"/>
        </w:rPr>
        <w:t xml:space="preserve">. Schválením tohoto strategického rámce se vytyčují obecné směry budoucího vývoje resortu zdravotnictví. </w:t>
      </w:r>
    </w:p>
    <w:p w:rsidR="00AD522B" w:rsidRPr="00A955AF" w:rsidP="00AD522B" w14:paraId="2037CFE7" w14:textId="2193F435">
      <w:pPr>
        <w:rPr>
          <w:rFonts w:cs="Arial"/>
          <w:sz w:val="24"/>
        </w:rPr>
      </w:pPr>
      <w:r>
        <w:rPr>
          <w:rFonts w:cs="Arial"/>
          <w:sz w:val="24"/>
        </w:rPr>
        <w:t xml:space="preserve">Realizace Strategického rámce Zdraví 2035 </w:t>
      </w:r>
      <w:r w:rsidR="000B748E">
        <w:rPr>
          <w:rFonts w:cs="Arial"/>
          <w:sz w:val="24"/>
        </w:rPr>
        <w:t>probíhá</w:t>
      </w:r>
      <w:r>
        <w:rPr>
          <w:rFonts w:cs="Arial"/>
          <w:sz w:val="24"/>
        </w:rPr>
        <w:t xml:space="preserve"> </w:t>
      </w:r>
      <w:r w:rsidR="0084481F">
        <w:rPr>
          <w:rFonts w:cs="Arial"/>
          <w:sz w:val="24"/>
        </w:rPr>
        <w:t xml:space="preserve">především </w:t>
      </w:r>
      <w:r>
        <w:rPr>
          <w:rFonts w:cs="Arial"/>
          <w:sz w:val="24"/>
        </w:rPr>
        <w:t>prostřednictvím jednot</w:t>
      </w:r>
      <w:r w:rsidR="0084481F">
        <w:rPr>
          <w:rFonts w:cs="Arial"/>
          <w:sz w:val="24"/>
        </w:rPr>
        <w:t>livých</w:t>
      </w:r>
      <w:r>
        <w:rPr>
          <w:rFonts w:cs="Arial"/>
          <w:sz w:val="24"/>
        </w:rPr>
        <w:t xml:space="preserve"> implementačních plánů</w:t>
      </w:r>
      <w:r w:rsidR="0084481F">
        <w:rPr>
          <w:rFonts w:cs="Arial"/>
          <w:sz w:val="24"/>
        </w:rPr>
        <w:t>,</w:t>
      </w:r>
      <w:r>
        <w:rPr>
          <w:rFonts w:cs="Arial"/>
          <w:sz w:val="24"/>
        </w:rPr>
        <w:t xml:space="preserve"> případně dílčích </w:t>
      </w:r>
      <w:r w:rsidR="000B748E">
        <w:rPr>
          <w:rFonts w:cs="Arial"/>
          <w:sz w:val="24"/>
        </w:rPr>
        <w:t>strategických</w:t>
      </w:r>
      <w:r>
        <w:rPr>
          <w:rFonts w:cs="Arial"/>
          <w:sz w:val="24"/>
        </w:rPr>
        <w:t xml:space="preserve"> dokumentů, které jsou vytvořeny k jednotlivým specifickým</w:t>
      </w:r>
      <w:r w:rsidR="0084481F">
        <w:rPr>
          <w:rFonts w:cs="Arial"/>
          <w:sz w:val="24"/>
        </w:rPr>
        <w:t xml:space="preserve"> nebo dílčím</w:t>
      </w:r>
      <w:r>
        <w:rPr>
          <w:rFonts w:cs="Arial"/>
          <w:sz w:val="24"/>
        </w:rPr>
        <w:t xml:space="preserve"> cílům. </w:t>
      </w:r>
      <w:r w:rsidRPr="00A955AF">
        <w:rPr>
          <w:rFonts w:cs="Arial"/>
          <w:sz w:val="24"/>
        </w:rPr>
        <w:t xml:space="preserve">V těchto </w:t>
      </w:r>
      <w:r>
        <w:rPr>
          <w:rFonts w:cs="Arial"/>
          <w:sz w:val="24"/>
        </w:rPr>
        <w:t>i</w:t>
      </w:r>
      <w:r w:rsidRPr="00A955AF">
        <w:rPr>
          <w:rFonts w:cs="Arial"/>
          <w:sz w:val="24"/>
        </w:rPr>
        <w:t>mplementačních plánech jsou podrobněji</w:t>
      </w:r>
      <w:r>
        <w:rPr>
          <w:rFonts w:cs="Arial"/>
          <w:sz w:val="24"/>
        </w:rPr>
        <w:t xml:space="preserve"> popsány dílčí cíle a opatření vedoucí k jejich naplnění. Součástí popisu je rovněž harmonogram jednotlivých kroků a</w:t>
      </w:r>
      <w:r w:rsidRPr="00A955AF">
        <w:rPr>
          <w:rFonts w:cs="Arial"/>
          <w:sz w:val="24"/>
        </w:rPr>
        <w:t xml:space="preserve"> odpovídající rozpočtové rámce</w:t>
      </w:r>
      <w:r w:rsidR="0084481F">
        <w:rPr>
          <w:rFonts w:cs="Arial"/>
          <w:sz w:val="24"/>
        </w:rPr>
        <w:t xml:space="preserve"> a</w:t>
      </w:r>
      <w:r>
        <w:rPr>
          <w:rFonts w:cs="Arial"/>
          <w:sz w:val="24"/>
        </w:rPr>
        <w:t xml:space="preserve"> registr rizik. Přílohou každého implementačního plánu je pak vždy příslušná indikátorová sada. Každý implementační plán má určeného gestora na úrovni náměstka nebo vrchního ředitele sekce MZD, který zodpovídá za jeho realizaci. </w:t>
      </w:r>
    </w:p>
    <w:p w:rsidR="0095004C" w:rsidP="006D0DD1" w14:paraId="438ED728" w14:textId="22416F68">
      <w:pPr>
        <w:spacing w:after="0"/>
        <w:rPr>
          <w:rFonts w:cs="Arial"/>
          <w:sz w:val="24"/>
        </w:rPr>
      </w:pPr>
      <w:r w:rsidRPr="00A955AF">
        <w:rPr>
          <w:rFonts w:cs="Arial"/>
          <w:sz w:val="24"/>
        </w:rPr>
        <w:t xml:space="preserve">Garantem provádění </w:t>
      </w:r>
      <w:r w:rsidR="00AD522B">
        <w:rPr>
          <w:rFonts w:cs="Arial"/>
          <w:sz w:val="24"/>
        </w:rPr>
        <w:t xml:space="preserve">celého </w:t>
      </w:r>
      <w:r w:rsidRPr="00A955AF">
        <w:rPr>
          <w:rFonts w:cs="Arial"/>
          <w:sz w:val="24"/>
        </w:rPr>
        <w:t>Strategického rámce Zdraví 203</w:t>
      </w:r>
      <w:r w:rsidR="00AD522B">
        <w:rPr>
          <w:rFonts w:cs="Arial"/>
          <w:sz w:val="24"/>
        </w:rPr>
        <w:t>5</w:t>
      </w:r>
      <w:r w:rsidRPr="00A955AF">
        <w:rPr>
          <w:rFonts w:cs="Arial"/>
          <w:sz w:val="24"/>
        </w:rPr>
        <w:t xml:space="preserve"> </w:t>
      </w:r>
      <w:r w:rsidRPr="00A955AF" w:rsidR="00B45737">
        <w:rPr>
          <w:rFonts w:cs="Arial"/>
          <w:sz w:val="24"/>
        </w:rPr>
        <w:t>je</w:t>
      </w:r>
      <w:r w:rsidRPr="00A955AF">
        <w:rPr>
          <w:rFonts w:cs="Arial"/>
          <w:sz w:val="24"/>
        </w:rPr>
        <w:t xml:space="preserve"> M</w:t>
      </w:r>
      <w:r w:rsidRPr="00A955AF" w:rsidR="00B45737">
        <w:rPr>
          <w:rFonts w:cs="Arial"/>
          <w:sz w:val="24"/>
        </w:rPr>
        <w:t>Z</w:t>
      </w:r>
      <w:r w:rsidR="00AD522B">
        <w:rPr>
          <w:rFonts w:cs="Arial"/>
          <w:sz w:val="24"/>
        </w:rPr>
        <w:t>D, respektive pověřený náměstek ministra</w:t>
      </w:r>
      <w:r w:rsidRPr="00A955AF" w:rsidR="00B45737">
        <w:rPr>
          <w:rFonts w:cs="Arial"/>
          <w:sz w:val="24"/>
        </w:rPr>
        <w:t xml:space="preserve">. </w:t>
      </w:r>
      <w:r w:rsidRPr="00A955AF">
        <w:rPr>
          <w:rFonts w:cs="Arial"/>
          <w:sz w:val="24"/>
        </w:rPr>
        <w:t xml:space="preserve">Vzhledem k provázanosti systému veřejného </w:t>
      </w:r>
      <w:r w:rsidR="0084481F">
        <w:rPr>
          <w:rFonts w:cs="Arial"/>
          <w:sz w:val="24"/>
        </w:rPr>
        <w:t>zdravotnictví</w:t>
      </w:r>
      <w:r w:rsidRPr="00A955AF">
        <w:rPr>
          <w:rFonts w:cs="Arial"/>
          <w:sz w:val="24"/>
        </w:rPr>
        <w:t xml:space="preserve"> s problematikou spadající do gesce dalších resortů bude nezbytnou podmínkou úspěšné realizace </w:t>
      </w:r>
      <w:r w:rsidRPr="00A955AF" w:rsidR="006D0DD1">
        <w:rPr>
          <w:rFonts w:cs="Arial"/>
          <w:sz w:val="24"/>
        </w:rPr>
        <w:t>Strategického rámce Zdraví 203</w:t>
      </w:r>
      <w:r w:rsidR="00AD522B">
        <w:rPr>
          <w:rFonts w:cs="Arial"/>
          <w:sz w:val="24"/>
        </w:rPr>
        <w:t>5</w:t>
      </w:r>
      <w:r w:rsidRPr="00A955AF">
        <w:rPr>
          <w:rFonts w:cs="Arial"/>
          <w:sz w:val="24"/>
        </w:rPr>
        <w:t xml:space="preserve"> spolupráce s řadou dalších resortů, především s</w:t>
      </w:r>
      <w:r w:rsidR="00AE16AE">
        <w:rPr>
          <w:rFonts w:cs="Arial"/>
          <w:sz w:val="24"/>
        </w:rPr>
        <w:t> </w:t>
      </w:r>
      <w:r w:rsidRPr="00A955AF">
        <w:rPr>
          <w:rFonts w:cs="Arial"/>
          <w:sz w:val="24"/>
        </w:rPr>
        <w:t xml:space="preserve">MPSV, </w:t>
      </w:r>
      <w:r w:rsidR="00AD522B">
        <w:rPr>
          <w:rFonts w:cs="Arial"/>
          <w:sz w:val="24"/>
        </w:rPr>
        <w:t xml:space="preserve">MŠMT, </w:t>
      </w:r>
      <w:r w:rsidRPr="00A955AF">
        <w:rPr>
          <w:rFonts w:cs="Arial"/>
          <w:sz w:val="24"/>
        </w:rPr>
        <w:t>MMR, MF</w:t>
      </w:r>
      <w:r w:rsidR="00AD522B">
        <w:rPr>
          <w:rFonts w:cs="Arial"/>
          <w:sz w:val="24"/>
        </w:rPr>
        <w:t xml:space="preserve">, ale i dalšími subjekty, jako jsou územně správní celky </w:t>
      </w:r>
      <w:r w:rsidR="00AE16AE">
        <w:rPr>
          <w:rFonts w:cs="Arial"/>
          <w:sz w:val="24"/>
        </w:rPr>
        <w:t>a da</w:t>
      </w:r>
      <w:r w:rsidR="0084481F">
        <w:rPr>
          <w:rFonts w:cs="Arial"/>
          <w:sz w:val="24"/>
        </w:rPr>
        <w:t>l</w:t>
      </w:r>
      <w:r w:rsidR="00AE16AE">
        <w:rPr>
          <w:rFonts w:cs="Arial"/>
          <w:sz w:val="24"/>
        </w:rPr>
        <w:t>ší zřizovatelé a poskytovatelé zdravotních služeb.</w:t>
      </w:r>
    </w:p>
    <w:p w:rsidR="0095004C" w:rsidRPr="00A955AF" w:rsidP="0095004C" w14:paraId="59E0F877" w14:textId="77777777"/>
    <w:p w:rsidR="00260702" w:rsidRPr="00A955AF" w:rsidP="00260702" w14:paraId="26A8CC64" w14:textId="77777777">
      <w:pPr>
        <w:pStyle w:val="ListParagraph"/>
        <w:keepNext/>
        <w:keepLines/>
        <w:numPr>
          <w:ilvl w:val="0"/>
          <w:numId w:val="1"/>
        </w:numPr>
        <w:autoSpaceDE/>
        <w:autoSpaceDN/>
        <w:adjustRightInd/>
        <w:jc w:val="left"/>
        <w:outlineLvl w:val="0"/>
        <w:rPr>
          <w:rFonts w:ascii="Calibri" w:hAnsi="Calibri" w:eastAsiaTheme="majorEastAsia" w:cstheme="majorBidi"/>
          <w:b/>
          <w:bCs w:val="0"/>
          <w:vanish/>
          <w:color w:val="205493"/>
          <w:sz w:val="32"/>
          <w:szCs w:val="32"/>
        </w:rPr>
      </w:pPr>
      <w:bookmarkStart w:id="621" w:name="_Toc7705150"/>
      <w:bookmarkStart w:id="622" w:name="_Toc7705621"/>
      <w:bookmarkStart w:id="623" w:name="_Toc7706137"/>
      <w:bookmarkStart w:id="624" w:name="_Toc7779532"/>
      <w:bookmarkStart w:id="625" w:name="_Toc10196793"/>
      <w:bookmarkStart w:id="626" w:name="_Toc10196920"/>
      <w:bookmarkStart w:id="627" w:name="_Toc10619812"/>
      <w:bookmarkStart w:id="628" w:name="_Toc23407281"/>
      <w:bookmarkStart w:id="629" w:name="_Toc26776988"/>
      <w:bookmarkStart w:id="630" w:name="_Toc40943382"/>
      <w:bookmarkStart w:id="631" w:name="_Toc41565671"/>
      <w:bookmarkStart w:id="632" w:name="_Toc41566204"/>
      <w:bookmarkStart w:id="633" w:name="_Toc201690673"/>
      <w:bookmarkStart w:id="634" w:name="_Toc201691392"/>
      <w:bookmarkStart w:id="635" w:name="_Toc20338648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rsidR="00163C98" w:rsidRPr="00163C98" w:rsidP="00163C98" w14:paraId="73EF5591" w14:textId="77777777">
      <w:pPr>
        <w:pStyle w:val="ListParagraph"/>
        <w:keepNext/>
        <w:keepLines/>
        <w:numPr>
          <w:ilvl w:val="0"/>
          <w:numId w:val="8"/>
        </w:numPr>
        <w:autoSpaceDE/>
        <w:autoSpaceDN/>
        <w:adjustRightInd/>
        <w:jc w:val="left"/>
        <w:outlineLvl w:val="0"/>
        <w:rPr>
          <w:rFonts w:ascii="Calibri" w:hAnsi="Calibri" w:eastAsiaTheme="majorEastAsia" w:cstheme="majorBidi"/>
          <w:b/>
          <w:bCs w:val="0"/>
          <w:vanish/>
          <w:color w:val="205493"/>
          <w:sz w:val="28"/>
          <w:szCs w:val="32"/>
        </w:rPr>
      </w:pPr>
      <w:bookmarkStart w:id="636" w:name="_Toc41566205"/>
      <w:bookmarkStart w:id="637" w:name="_Toc201690674"/>
      <w:bookmarkStart w:id="638" w:name="_Toc201691393"/>
      <w:bookmarkStart w:id="639" w:name="_Toc203386481"/>
      <w:bookmarkStart w:id="640" w:name="_Toc7705151"/>
      <w:bookmarkStart w:id="641" w:name="_Toc7705622"/>
      <w:bookmarkEnd w:id="636"/>
      <w:bookmarkEnd w:id="637"/>
      <w:bookmarkEnd w:id="638"/>
      <w:bookmarkEnd w:id="639"/>
    </w:p>
    <w:p w:rsidR="00C27B57" w:rsidRPr="00A955AF" w:rsidP="00163C98" w14:paraId="34B5E608" w14:textId="33C050FA">
      <w:pPr>
        <w:pStyle w:val="NA2"/>
      </w:pPr>
      <w:bookmarkStart w:id="642" w:name="_Toc256000067"/>
      <w:r w:rsidRPr="00A955AF">
        <w:t>Monitoring</w:t>
      </w:r>
      <w:r w:rsidRPr="00A955AF" w:rsidR="00590DC2">
        <w:t>, evaluace</w:t>
      </w:r>
      <w:bookmarkEnd w:id="642"/>
      <w:bookmarkEnd w:id="640"/>
      <w:bookmarkEnd w:id="641"/>
      <w:r w:rsidRPr="00A955AF" w:rsidR="00590DC2">
        <w:t xml:space="preserve"> </w:t>
      </w:r>
    </w:p>
    <w:p w:rsidR="00AE16AE" w:rsidP="00AE16AE" w14:paraId="17F1945C" w14:textId="5165D319">
      <w:pPr>
        <w:rPr>
          <w:rFonts w:cs="Arial"/>
          <w:sz w:val="24"/>
        </w:rPr>
      </w:pPr>
      <w:r w:rsidRPr="00A955AF">
        <w:rPr>
          <w:rFonts w:cs="Arial"/>
          <w:sz w:val="24"/>
        </w:rPr>
        <w:t>Součástí implementace musí být i proces monitoringu a evaluace Strategického rámce Zdraví 203</w:t>
      </w:r>
      <w:r>
        <w:rPr>
          <w:rFonts w:cs="Arial"/>
          <w:sz w:val="24"/>
        </w:rPr>
        <w:t>5</w:t>
      </w:r>
      <w:r w:rsidRPr="00A955AF">
        <w:rPr>
          <w:rFonts w:cs="Arial"/>
          <w:sz w:val="24"/>
        </w:rPr>
        <w:t>. Tyto procesy budou do velké míry probíhat sou</w:t>
      </w:r>
      <w:r>
        <w:rPr>
          <w:rFonts w:cs="Arial"/>
          <w:sz w:val="24"/>
        </w:rPr>
        <w:t>běžně</w:t>
      </w:r>
      <w:r w:rsidRPr="00A955AF">
        <w:rPr>
          <w:rFonts w:cs="Arial"/>
          <w:sz w:val="24"/>
        </w:rPr>
        <w:t xml:space="preserve"> či kontinuálně. Výsledkem by měl být Strategický rámec Zdraví 203</w:t>
      </w:r>
      <w:r>
        <w:rPr>
          <w:rFonts w:cs="Arial"/>
          <w:sz w:val="24"/>
        </w:rPr>
        <w:t>5</w:t>
      </w:r>
      <w:r w:rsidRPr="00A955AF">
        <w:rPr>
          <w:rFonts w:cs="Arial"/>
          <w:sz w:val="24"/>
        </w:rPr>
        <w:t>, který reaguje na změny vnějšího prostředí a</w:t>
      </w:r>
      <w:r>
        <w:rPr>
          <w:rFonts w:cs="Arial"/>
          <w:sz w:val="24"/>
        </w:rPr>
        <w:t> </w:t>
      </w:r>
      <w:r w:rsidRPr="00A955AF">
        <w:rPr>
          <w:rFonts w:cs="Arial"/>
          <w:sz w:val="24"/>
        </w:rPr>
        <w:t>na</w:t>
      </w:r>
      <w:r>
        <w:rPr>
          <w:rFonts w:cs="Arial"/>
          <w:sz w:val="24"/>
        </w:rPr>
        <w:t> </w:t>
      </w:r>
      <w:r w:rsidRPr="00A955AF">
        <w:rPr>
          <w:rFonts w:cs="Arial"/>
          <w:sz w:val="24"/>
        </w:rPr>
        <w:t>poznatky z je</w:t>
      </w:r>
      <w:r>
        <w:rPr>
          <w:rFonts w:cs="Arial"/>
          <w:sz w:val="24"/>
        </w:rPr>
        <w:t>ho</w:t>
      </w:r>
      <w:r w:rsidRPr="00A955AF">
        <w:rPr>
          <w:rFonts w:cs="Arial"/>
          <w:sz w:val="24"/>
        </w:rPr>
        <w:t xml:space="preserve"> aplikace a podle toho provádí jednotlivá opatření. Důsledkem vývoje, reakce na nové poznatky či na identifikovan</w:t>
      </w:r>
      <w:r>
        <w:rPr>
          <w:rFonts w:cs="Arial"/>
          <w:sz w:val="24"/>
        </w:rPr>
        <w:t>é</w:t>
      </w:r>
      <w:r w:rsidRPr="00A955AF">
        <w:rPr>
          <w:rFonts w:cs="Arial"/>
          <w:sz w:val="24"/>
        </w:rPr>
        <w:t xml:space="preserve"> potřeb</w:t>
      </w:r>
      <w:r>
        <w:rPr>
          <w:rFonts w:cs="Arial"/>
          <w:sz w:val="24"/>
        </w:rPr>
        <w:t>y</w:t>
      </w:r>
      <w:r w:rsidRPr="00A955AF">
        <w:rPr>
          <w:rFonts w:cs="Arial"/>
          <w:sz w:val="24"/>
        </w:rPr>
        <w:t xml:space="preserve"> mohou být změnová opatření, která mohou vyústit v potřebu aktualizace cílů nebo opatření a aktivit vedoucích k jejich realizaci. Strategický rámec Zdraví 203</w:t>
      </w:r>
      <w:r>
        <w:rPr>
          <w:rFonts w:cs="Arial"/>
          <w:sz w:val="24"/>
        </w:rPr>
        <w:t>5</w:t>
      </w:r>
      <w:r w:rsidRPr="00A955AF">
        <w:rPr>
          <w:rFonts w:cs="Arial"/>
          <w:sz w:val="24"/>
        </w:rPr>
        <w:t xml:space="preserve"> je živým dokumentem, který reaguje na proměny kontextu a vývoj v</w:t>
      </w:r>
      <w:r>
        <w:rPr>
          <w:rFonts w:cs="Arial"/>
          <w:sz w:val="24"/>
        </w:rPr>
        <w:t> </w:t>
      </w:r>
      <w:r w:rsidRPr="00A955AF">
        <w:rPr>
          <w:rFonts w:cs="Arial"/>
          <w:sz w:val="24"/>
        </w:rPr>
        <w:t xml:space="preserve">prioritních oblastech. Revize strategického dokumentu bude probíhat podle potřeby na základě pravidelného hodnocení, nejpozději v roce </w:t>
      </w:r>
      <w:r>
        <w:rPr>
          <w:rFonts w:cs="Arial"/>
          <w:sz w:val="24"/>
        </w:rPr>
        <w:t xml:space="preserve">2031. V roce </w:t>
      </w:r>
      <w:r w:rsidRPr="00A955AF">
        <w:rPr>
          <w:rFonts w:cs="Arial"/>
          <w:sz w:val="24"/>
        </w:rPr>
        <w:t>203</w:t>
      </w:r>
      <w:r>
        <w:rPr>
          <w:rFonts w:cs="Arial"/>
          <w:sz w:val="24"/>
        </w:rPr>
        <w:t>6 pak</w:t>
      </w:r>
      <w:r w:rsidRPr="00A955AF">
        <w:rPr>
          <w:rFonts w:cs="Arial"/>
          <w:sz w:val="24"/>
        </w:rPr>
        <w:t xml:space="preserve"> proběhne závěrečné vyhodnocení realizace celého dokumentu.</w:t>
      </w:r>
      <w:r>
        <w:rPr>
          <w:rFonts w:cs="Arial"/>
          <w:sz w:val="24"/>
        </w:rPr>
        <w:t xml:space="preserve"> </w:t>
      </w:r>
    </w:p>
    <w:p w:rsidR="00AE16AE" w:rsidP="00AE16AE" w14:paraId="7951F93E" w14:textId="69DB7E3A">
      <w:pPr>
        <w:rPr>
          <w:rFonts w:cs="Arial"/>
          <w:sz w:val="24"/>
        </w:rPr>
      </w:pPr>
      <w:r w:rsidRPr="00A955AF">
        <w:rPr>
          <w:rFonts w:cs="Arial"/>
          <w:sz w:val="24"/>
        </w:rPr>
        <w:t xml:space="preserve">Monitorovací systém je navržen tak, že každé dva roky </w:t>
      </w:r>
      <w:r>
        <w:rPr>
          <w:rFonts w:cs="Arial"/>
          <w:sz w:val="24"/>
        </w:rPr>
        <w:t>j</w:t>
      </w:r>
      <w:r w:rsidRPr="00A955AF">
        <w:rPr>
          <w:rFonts w:cs="Arial"/>
          <w:sz w:val="24"/>
        </w:rPr>
        <w:t xml:space="preserve">e vládě ČR předkládána pro informaci </w:t>
      </w:r>
      <w:r>
        <w:rPr>
          <w:rFonts w:cs="Arial"/>
          <w:sz w:val="24"/>
        </w:rPr>
        <w:t>Z</w:t>
      </w:r>
      <w:r w:rsidRPr="00A955AF">
        <w:rPr>
          <w:rFonts w:cs="Arial"/>
          <w:sz w:val="24"/>
        </w:rPr>
        <w:t xml:space="preserve">práva o průběhu implementace Strategického rámce Zdraví </w:t>
      </w:r>
      <w:r>
        <w:rPr>
          <w:rFonts w:cs="Arial"/>
          <w:sz w:val="24"/>
        </w:rPr>
        <w:t>2035</w:t>
      </w:r>
      <w:r w:rsidRPr="00A955AF">
        <w:rPr>
          <w:rFonts w:cs="Arial"/>
          <w:sz w:val="24"/>
        </w:rPr>
        <w:t xml:space="preserve">. Vyhodnocení postupu realizace samotných </w:t>
      </w:r>
      <w:r>
        <w:rPr>
          <w:rFonts w:cs="Arial"/>
          <w:sz w:val="24"/>
        </w:rPr>
        <w:t>i</w:t>
      </w:r>
      <w:r w:rsidRPr="00A955AF">
        <w:rPr>
          <w:rFonts w:cs="Arial"/>
          <w:sz w:val="24"/>
        </w:rPr>
        <w:t xml:space="preserve">mplementačních plánů </w:t>
      </w:r>
      <w:r>
        <w:rPr>
          <w:rFonts w:cs="Arial"/>
          <w:sz w:val="24"/>
        </w:rPr>
        <w:t>jso</w:t>
      </w:r>
      <w:r w:rsidRPr="00A955AF">
        <w:rPr>
          <w:rFonts w:cs="Arial"/>
          <w:sz w:val="24"/>
        </w:rPr>
        <w:t xml:space="preserve">u každý rok předkládána pro informaci na poradu vedení </w:t>
      </w:r>
      <w:r>
        <w:rPr>
          <w:rFonts w:cs="Arial"/>
          <w:sz w:val="24"/>
        </w:rPr>
        <w:t>MZD</w:t>
      </w:r>
      <w:r w:rsidRPr="00A955AF">
        <w:rPr>
          <w:rFonts w:cs="Arial"/>
          <w:sz w:val="24"/>
        </w:rPr>
        <w:t xml:space="preserve">. </w:t>
      </w:r>
      <w:r>
        <w:rPr>
          <w:rFonts w:cs="Arial"/>
          <w:sz w:val="24"/>
        </w:rPr>
        <w:t>J</w:t>
      </w:r>
      <w:r w:rsidRPr="00A955AF">
        <w:rPr>
          <w:rFonts w:cs="Arial"/>
          <w:sz w:val="24"/>
        </w:rPr>
        <w:t>e sledováno, jakým směrem jde vývoj</w:t>
      </w:r>
      <w:r>
        <w:rPr>
          <w:rFonts w:cs="Arial"/>
          <w:sz w:val="24"/>
        </w:rPr>
        <w:t>,</w:t>
      </w:r>
      <w:r w:rsidRPr="00A955AF">
        <w:rPr>
          <w:rFonts w:cs="Arial"/>
          <w:sz w:val="24"/>
        </w:rPr>
        <w:t xml:space="preserve"> a </w:t>
      </w:r>
      <w:r>
        <w:rPr>
          <w:rFonts w:cs="Arial"/>
          <w:sz w:val="24"/>
        </w:rPr>
        <w:t>js</w:t>
      </w:r>
      <w:r w:rsidRPr="00A955AF">
        <w:rPr>
          <w:rFonts w:cs="Arial"/>
          <w:sz w:val="24"/>
        </w:rPr>
        <w:t>ou zajišťovány zdroje dat o</w:t>
      </w:r>
      <w:r w:rsidR="00AA04A2">
        <w:rPr>
          <w:rFonts w:cs="Arial"/>
          <w:sz w:val="24"/>
        </w:rPr>
        <w:t> </w:t>
      </w:r>
      <w:r w:rsidRPr="00A955AF">
        <w:rPr>
          <w:rFonts w:cs="Arial"/>
          <w:sz w:val="24"/>
        </w:rPr>
        <w:t xml:space="preserve">vybraných oblastech a nastaven systém jejich sledování a vyhodnocování. To samozřejmě předpokládá i zajištění dostatečných odborných a personálních kapacit. </w:t>
      </w:r>
    </w:p>
    <w:p w:rsidR="00AE16AE" w:rsidP="00AE16AE" w14:paraId="58D3C4E5" w14:textId="5F996F16">
      <w:pPr>
        <w:rPr>
          <w:rFonts w:cs="Arial"/>
          <w:sz w:val="24"/>
        </w:rPr>
      </w:pPr>
      <w:r>
        <w:rPr>
          <w:rFonts w:cs="Arial"/>
          <w:sz w:val="24"/>
        </w:rPr>
        <w:t xml:space="preserve">Pro přípravu Zprávy o realizaci implementačních plánů předkládají gestoři implementačních plánů vyplněné monitorovací formuláře za sledované období gestorovi Strategického rámce Zdraví 2035, a to do konce kalendářního roku tak, aby mohl v průběhu měsíce března předložit Zprávu ke schválení poradě vedení MZD. </w:t>
      </w:r>
    </w:p>
    <w:p w:rsidR="00AE16AE" w:rsidP="00AE16AE" w14:paraId="4F356B51" w14:textId="4160A329">
      <w:pPr>
        <w:rPr>
          <w:rFonts w:cs="Arial"/>
          <w:sz w:val="24"/>
        </w:rPr>
      </w:pPr>
      <w:r>
        <w:rPr>
          <w:rFonts w:cs="Arial"/>
          <w:sz w:val="24"/>
        </w:rPr>
        <w:t>Zpráva o průběhu implementace Strategického rámce Zdraví 2035 vychází ze Zpráv o realizaci implementačních plánů za sledované období a je předkládána gestorem Strategického rámce Zdraví 2035</w:t>
      </w:r>
      <w:r w:rsidRPr="00AA04A2" w:rsidR="00AA04A2">
        <w:rPr>
          <w:rFonts w:cs="Arial"/>
          <w:sz w:val="24"/>
        </w:rPr>
        <w:t xml:space="preserve"> </w:t>
      </w:r>
      <w:r w:rsidR="00AA04A2">
        <w:rPr>
          <w:rFonts w:cs="Arial"/>
          <w:sz w:val="24"/>
        </w:rPr>
        <w:t>pro informaci vládě ČR, a to</w:t>
      </w:r>
      <w:r>
        <w:rPr>
          <w:rFonts w:cs="Arial"/>
          <w:sz w:val="24"/>
        </w:rPr>
        <w:t xml:space="preserve"> vždy </w:t>
      </w:r>
      <w:r w:rsidR="00AA04A2">
        <w:rPr>
          <w:rFonts w:cs="Arial"/>
          <w:sz w:val="24"/>
        </w:rPr>
        <w:t xml:space="preserve">v průběhu měsíce září </w:t>
      </w:r>
      <w:r>
        <w:rPr>
          <w:rFonts w:cs="Arial"/>
          <w:sz w:val="24"/>
        </w:rPr>
        <w:t xml:space="preserve">roku následujícího po </w:t>
      </w:r>
      <w:r>
        <w:rPr>
          <w:rFonts w:cs="Arial"/>
          <w:sz w:val="24"/>
        </w:rPr>
        <w:t xml:space="preserve">sledovaném období. Na přípravě Zprávy se podílí gestoři implementačních plánů a jejich implementační jednotky. </w:t>
      </w:r>
    </w:p>
    <w:p w:rsidR="00AE16AE" w:rsidRPr="00A955AF" w:rsidP="00AE16AE" w14:paraId="60B2A81E" w14:textId="5F0A0A9E">
      <w:pPr>
        <w:rPr>
          <w:rFonts w:cs="Arial"/>
          <w:sz w:val="24"/>
        </w:rPr>
      </w:pPr>
      <w:bookmarkStart w:id="643" w:name="_Hlk203325291"/>
      <w:bookmarkStart w:id="644" w:name="_Toc256000072"/>
      <w:r w:rsidRPr="0070747B">
        <w:rPr>
          <w:b/>
          <w:bCs/>
          <w:smallCaps/>
          <w:spacing w:val="6"/>
        </w:rPr>
        <w:t xml:space="preserve">Tabulka </w:t>
      </w:r>
      <w:r w:rsidRPr="0070747B">
        <w:rPr>
          <w:b/>
          <w:bCs/>
          <w:smallCaps/>
          <w:spacing w:val="6"/>
        </w:rPr>
        <w:fldChar w:fldCharType="begin"/>
      </w:r>
      <w:r w:rsidRPr="0070747B">
        <w:rPr>
          <w:b/>
          <w:bCs/>
          <w:smallCaps/>
          <w:spacing w:val="6"/>
        </w:rPr>
        <w:instrText xml:space="preserve"> SEQ Tabulka \* ARABIC </w:instrText>
      </w:r>
      <w:r w:rsidRPr="0070747B">
        <w:rPr>
          <w:b/>
          <w:bCs/>
          <w:smallCaps/>
          <w:spacing w:val="6"/>
        </w:rPr>
        <w:fldChar w:fldCharType="separate"/>
      </w:r>
      <w:r w:rsidRPr="0070747B">
        <w:rPr>
          <w:b/>
          <w:bCs/>
          <w:smallCaps/>
          <w:spacing w:val="6"/>
        </w:rPr>
        <w:t>2</w:t>
      </w:r>
      <w:r w:rsidRPr="0070747B">
        <w:rPr>
          <w:b/>
          <w:bCs/>
          <w:smallCaps/>
          <w:spacing w:val="6"/>
        </w:rPr>
        <w:fldChar w:fldCharType="end"/>
      </w:r>
      <w:r w:rsidRPr="0070747B">
        <w:rPr>
          <w:b/>
          <w:bCs/>
          <w:smallCaps/>
          <w:spacing w:val="6"/>
        </w:rPr>
        <w:t xml:space="preserve"> Harmonogram předkládání zpráv o průběhu realizace</w:t>
      </w:r>
      <w:bookmarkEnd w:id="644"/>
    </w:p>
    <w:tbl>
      <w:tblPr>
        <w:tblW w:w="8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500"/>
        <w:gridCol w:w="7423"/>
      </w:tblGrid>
      <w:tr w14:paraId="4C6B09E3" w14:textId="77777777" w:rsidTr="00624D72">
        <w:tblPrEx>
          <w:tblW w:w="8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bookmarkEnd w:id="643"/>
          <w:p w:rsidR="00AE16AE" w:rsidRPr="00221DFB" w:rsidP="00B56B1A" w14:paraId="6C1128F9"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09/2025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695DBEBB" w14:textId="2FF211E4">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 xml:space="preserve">Předložení Zprávy o průběhu implementace Strategického rámce Zdraví 2030, jejíž součástí bude </w:t>
            </w:r>
            <w:r w:rsidRPr="00221DFB">
              <w:rPr>
                <w:rFonts w:eastAsia="Times New Roman" w:cstheme="minorHAnsi"/>
                <w:b/>
                <w:bCs/>
                <w:color w:val="auto"/>
                <w:sz w:val="24"/>
                <w:lang w:eastAsia="cs-CZ"/>
              </w:rPr>
              <w:t>revize</w:t>
            </w:r>
            <w:r>
              <w:rPr>
                <w:rFonts w:eastAsia="Times New Roman" w:cstheme="minorHAnsi"/>
                <w:b/>
                <w:bCs/>
                <w:color w:val="auto"/>
                <w:sz w:val="24"/>
                <w:lang w:eastAsia="cs-CZ"/>
              </w:rPr>
              <w:t xml:space="preserve"> a prolongace</w:t>
            </w:r>
            <w:r w:rsidRPr="00221DFB">
              <w:rPr>
                <w:rFonts w:eastAsia="Times New Roman" w:cstheme="minorHAnsi"/>
                <w:b/>
                <w:bCs/>
                <w:color w:val="auto"/>
                <w:sz w:val="24"/>
                <w:lang w:eastAsia="cs-CZ"/>
              </w:rPr>
              <w:t xml:space="preserve"> </w:t>
            </w:r>
            <w:r w:rsidRPr="00221DFB">
              <w:rPr>
                <w:rFonts w:eastAsia="Times New Roman" w:cstheme="minorHAnsi"/>
                <w:color w:val="auto"/>
                <w:sz w:val="24"/>
                <w:lang w:eastAsia="cs-CZ"/>
              </w:rPr>
              <w:t>Strategického rámce Zdraví 2030 na Zdraví 2035 na jednání vlády ČR  </w:t>
            </w:r>
          </w:p>
        </w:tc>
      </w:tr>
      <w:tr w14:paraId="37A76A34"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41673044"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03/2026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2EB382A3" w14:textId="60703FBE">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2025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61E42307"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2CA20F34"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03/2027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602E0E36" w14:textId="2FAF7A44">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2026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44971381"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0820B596"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06/2027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69E30080" w14:textId="37A59BC5">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2025–2026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0AC40BAA"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72D41001"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09/2027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4C76F5E4"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2025–2026 pro informaci na jednání vlády ČR </w:t>
            </w:r>
          </w:p>
        </w:tc>
      </w:tr>
      <w:tr w14:paraId="68390029"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1E003873"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03/2028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09825664" w14:textId="4CF953BC">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2027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29E59274"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6DC809D2"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03/2029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2E2DB0D4" w14:textId="421D784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2028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2014279D"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67303305"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06/2029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3F224093" w14:textId="3E79CC7B">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2027–2028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16FAF30D"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40406E34"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09/2029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02D09544"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2027–2028 pro informaci na jednání vlády ČR </w:t>
            </w:r>
          </w:p>
        </w:tc>
      </w:tr>
      <w:tr w14:paraId="3758ECBA"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344AE6AF"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03/2030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38809174" w14:textId="76844C7E">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2029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50B68AA4"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697E7063"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03/2031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32AA777B" w14:textId="47B14799">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2030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6942407A"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E16AE" w:rsidRPr="00221DFB" w:rsidP="00B56B1A" w14:paraId="05F19112"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06/2031 </w:t>
            </w:r>
          </w:p>
        </w:tc>
        <w:tc>
          <w:tcPr>
            <w:tcW w:w="7423" w:type="dxa"/>
            <w:tcBorders>
              <w:top w:val="single" w:sz="6" w:space="0" w:color="auto"/>
              <w:left w:val="single" w:sz="6" w:space="0" w:color="auto"/>
              <w:bottom w:val="single" w:sz="6" w:space="0" w:color="auto"/>
              <w:right w:val="single" w:sz="6" w:space="0" w:color="auto"/>
            </w:tcBorders>
            <w:hideMark/>
          </w:tcPr>
          <w:p w:rsidR="00AE16AE" w:rsidRPr="00221DFB" w:rsidP="00B56B1A" w14:paraId="1F570AB3" w14:textId="77327F5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2029–2030 a závěrečného vyhodnocení realizace Strategického rámce Zdraví 2035 a jeho implementačních plánů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21D40F02"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hideMark/>
          </w:tcPr>
          <w:p w:rsidR="00AA04A2" w:rsidRPr="00221DFB" w:rsidP="00AA04A2" w14:paraId="2DB08527" w14:textId="7777777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09/2031 </w:t>
            </w:r>
          </w:p>
        </w:tc>
        <w:tc>
          <w:tcPr>
            <w:tcW w:w="7423" w:type="dxa"/>
            <w:tcBorders>
              <w:top w:val="single" w:sz="6" w:space="0" w:color="auto"/>
              <w:left w:val="single" w:sz="6" w:space="0" w:color="auto"/>
              <w:bottom w:val="single" w:sz="6" w:space="0" w:color="auto"/>
              <w:right w:val="single" w:sz="6" w:space="0" w:color="auto"/>
            </w:tcBorders>
            <w:hideMark/>
          </w:tcPr>
          <w:p w:rsidR="00AA04A2" w:rsidRPr="00221DFB" w:rsidP="00AA04A2" w14:paraId="67F0F42B" w14:textId="36CB1BB4">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w:t>
            </w:r>
            <w:r>
              <w:rPr>
                <w:rFonts w:eastAsia="Times New Roman" w:cstheme="minorHAnsi"/>
                <w:color w:val="auto"/>
                <w:sz w:val="24"/>
                <w:lang w:eastAsia="cs-CZ"/>
              </w:rPr>
              <w:t xml:space="preserve">9-2030 </w:t>
            </w:r>
            <w:r w:rsidRPr="00221DFB">
              <w:rPr>
                <w:rFonts w:eastAsia="Times New Roman" w:cstheme="minorHAnsi"/>
                <w:color w:val="auto"/>
                <w:sz w:val="24"/>
                <w:lang w:eastAsia="cs-CZ"/>
              </w:rPr>
              <w:t>pro informaci na jednání vlády ČR </w:t>
            </w:r>
          </w:p>
        </w:tc>
      </w:tr>
      <w:tr w14:paraId="545ABA56"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221DFB" w:rsidP="00AA04A2" w14:paraId="51C1D82E" w14:textId="76BF7545">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03/2032</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148F3115" w14:textId="6FCE47D8">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w:t>
            </w:r>
            <w:r>
              <w:rPr>
                <w:rFonts w:eastAsia="Times New Roman" w:cstheme="minorHAnsi"/>
                <w:color w:val="auto"/>
                <w:sz w:val="24"/>
                <w:lang w:eastAsia="cs-CZ"/>
              </w:rPr>
              <w:t>31</w:t>
            </w:r>
            <w:r w:rsidRPr="00221DFB">
              <w:rPr>
                <w:rFonts w:eastAsia="Times New Roman" w:cstheme="minorHAnsi"/>
                <w:color w:val="auto"/>
                <w:sz w:val="24"/>
                <w:lang w:eastAsia="cs-CZ"/>
              </w:rPr>
              <w:t xml:space="preserve">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416F7838"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221DFB" w:rsidP="00AA04A2" w14:paraId="0EF37D77" w14:textId="2A3FAD49">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03/2033</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2E20F54E" w14:textId="56E27007">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w:t>
            </w:r>
            <w:r>
              <w:rPr>
                <w:rFonts w:eastAsia="Times New Roman" w:cstheme="minorHAnsi"/>
                <w:color w:val="auto"/>
                <w:sz w:val="24"/>
                <w:lang w:eastAsia="cs-CZ"/>
              </w:rPr>
              <w:t>32</w:t>
            </w:r>
            <w:r w:rsidRPr="00221DFB">
              <w:rPr>
                <w:rFonts w:eastAsia="Times New Roman" w:cstheme="minorHAnsi"/>
                <w:color w:val="auto"/>
                <w:sz w:val="24"/>
                <w:lang w:eastAsia="cs-CZ"/>
              </w:rPr>
              <w:t xml:space="preserve">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0D98532D"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AA04A2" w:rsidP="00AA04A2" w14:paraId="642AF12E" w14:textId="21F98D58">
            <w:pPr>
              <w:spacing w:before="0" w:after="0"/>
              <w:textAlignment w:val="baseline"/>
              <w:rPr>
                <w:rFonts w:eastAsia="Times New Roman" w:cstheme="minorHAnsi"/>
                <w:b/>
                <w:bCs/>
                <w:color w:val="auto"/>
                <w:sz w:val="24"/>
                <w:lang w:eastAsia="cs-CZ"/>
              </w:rPr>
            </w:pPr>
            <w:r w:rsidRPr="00221DFB">
              <w:rPr>
                <w:rFonts w:eastAsia="Times New Roman" w:cstheme="minorHAnsi"/>
                <w:color w:val="auto"/>
                <w:sz w:val="24"/>
                <w:lang w:eastAsia="cs-CZ"/>
              </w:rPr>
              <w:t>06/20</w:t>
            </w:r>
            <w:r>
              <w:rPr>
                <w:rFonts w:eastAsia="Times New Roman" w:cstheme="minorHAnsi"/>
                <w:color w:val="auto"/>
                <w:sz w:val="24"/>
                <w:lang w:eastAsia="cs-CZ"/>
              </w:rPr>
              <w:t>33</w:t>
            </w:r>
            <w:r w:rsidRPr="00221DFB">
              <w:rPr>
                <w:rFonts w:eastAsia="Times New Roman" w:cstheme="minorHAnsi"/>
                <w:color w:val="auto"/>
                <w:sz w:val="24"/>
                <w:lang w:eastAsia="cs-CZ"/>
              </w:rPr>
              <w:t> </w:t>
            </w:r>
          </w:p>
        </w:tc>
        <w:tc>
          <w:tcPr>
            <w:tcW w:w="7423" w:type="dxa"/>
            <w:tcBorders>
              <w:top w:val="single" w:sz="6" w:space="0" w:color="auto"/>
              <w:left w:val="single" w:sz="6" w:space="0" w:color="auto"/>
              <w:bottom w:val="single" w:sz="6" w:space="0" w:color="auto"/>
              <w:right w:val="single" w:sz="6" w:space="0" w:color="auto"/>
            </w:tcBorders>
          </w:tcPr>
          <w:p w:rsidR="00AA04A2" w:rsidRPr="00AA04A2" w:rsidP="00AA04A2" w14:paraId="5E736FE3" w14:textId="238005A5">
            <w:pPr>
              <w:spacing w:before="0" w:after="0"/>
              <w:textAlignment w:val="baseline"/>
              <w:rPr>
                <w:rFonts w:eastAsia="Times New Roman" w:cstheme="minorHAnsi"/>
                <w:b/>
                <w:bCs/>
                <w:color w:val="auto"/>
                <w:sz w:val="24"/>
                <w:lang w:eastAsia="cs-CZ"/>
              </w:rPr>
            </w:pPr>
            <w:r w:rsidRPr="00221DFB">
              <w:rPr>
                <w:rFonts w:eastAsia="Times New Roman" w:cstheme="minorHAnsi"/>
                <w:color w:val="auto"/>
                <w:sz w:val="24"/>
                <w:lang w:eastAsia="cs-CZ"/>
              </w:rPr>
              <w:t xml:space="preserve">Předložení Zprávy o průběhu implementace Strategického rámce Zdraví 2035 za monitorovací období </w:t>
            </w:r>
            <w:r>
              <w:rPr>
                <w:rFonts w:eastAsia="Times New Roman" w:cstheme="minorHAnsi"/>
                <w:color w:val="auto"/>
                <w:sz w:val="24"/>
                <w:lang w:eastAsia="cs-CZ"/>
              </w:rPr>
              <w:t>2031-2032</w:t>
            </w:r>
            <w:r w:rsidRPr="00221DFB">
              <w:rPr>
                <w:rFonts w:eastAsia="Times New Roman" w:cstheme="minorHAnsi"/>
                <w:color w:val="auto"/>
                <w:sz w:val="24"/>
                <w:lang w:eastAsia="cs-CZ"/>
              </w:rPr>
              <w:t xml:space="preserve"> a závěrečného vyhodnocení realizace Strategického rámce Zdraví 2035 a jeho implementačních plánů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4CC82AB3"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AA04A2" w:rsidP="00AA04A2" w14:paraId="511F7E6F" w14:textId="48EB9EC1">
            <w:pPr>
              <w:spacing w:before="0" w:after="0"/>
              <w:textAlignment w:val="baseline"/>
              <w:rPr>
                <w:rFonts w:eastAsia="Times New Roman" w:cstheme="minorHAnsi"/>
                <w:b/>
                <w:bCs/>
                <w:color w:val="auto"/>
                <w:sz w:val="24"/>
                <w:lang w:eastAsia="cs-CZ"/>
              </w:rPr>
            </w:pPr>
            <w:r w:rsidRPr="00221DFB">
              <w:rPr>
                <w:rFonts w:eastAsia="Times New Roman" w:cstheme="minorHAnsi"/>
                <w:color w:val="auto"/>
                <w:sz w:val="24"/>
                <w:lang w:eastAsia="cs-CZ"/>
              </w:rPr>
              <w:t>09/203</w:t>
            </w:r>
            <w:r>
              <w:rPr>
                <w:rFonts w:eastAsia="Times New Roman" w:cstheme="minorHAnsi"/>
                <w:color w:val="auto"/>
                <w:sz w:val="24"/>
                <w:lang w:eastAsia="cs-CZ"/>
              </w:rPr>
              <w:t>3</w:t>
            </w:r>
          </w:p>
        </w:tc>
        <w:tc>
          <w:tcPr>
            <w:tcW w:w="7423" w:type="dxa"/>
            <w:tcBorders>
              <w:top w:val="single" w:sz="6" w:space="0" w:color="auto"/>
              <w:left w:val="single" w:sz="6" w:space="0" w:color="auto"/>
              <w:bottom w:val="single" w:sz="6" w:space="0" w:color="auto"/>
              <w:right w:val="single" w:sz="6" w:space="0" w:color="auto"/>
            </w:tcBorders>
          </w:tcPr>
          <w:p w:rsidR="00AA04A2" w:rsidRPr="00AA04A2" w:rsidP="00AA04A2" w14:paraId="40425BCA" w14:textId="3E1E1708">
            <w:pPr>
              <w:spacing w:before="0" w:after="0"/>
              <w:textAlignment w:val="baseline"/>
              <w:rPr>
                <w:rFonts w:eastAsia="Times New Roman" w:cstheme="minorHAnsi"/>
                <w:b/>
                <w:bCs/>
                <w:color w:val="auto"/>
                <w:sz w:val="24"/>
                <w:lang w:eastAsia="cs-CZ"/>
              </w:rPr>
            </w:pPr>
            <w:r w:rsidRPr="00221DFB">
              <w:rPr>
                <w:rFonts w:eastAsia="Times New Roman" w:cstheme="minorHAnsi"/>
                <w:color w:val="auto"/>
                <w:sz w:val="24"/>
                <w:lang w:eastAsia="cs-CZ"/>
              </w:rPr>
              <w:t xml:space="preserve">Předložení Zprávy o průběhu implementace Strategického rámce Zdraví 2035 za monitorovací období </w:t>
            </w:r>
            <w:r>
              <w:rPr>
                <w:rFonts w:eastAsia="Times New Roman" w:cstheme="minorHAnsi"/>
                <w:color w:val="auto"/>
                <w:sz w:val="24"/>
                <w:lang w:eastAsia="cs-CZ"/>
              </w:rPr>
              <w:t xml:space="preserve">2031-2032 </w:t>
            </w:r>
            <w:r w:rsidRPr="00221DFB">
              <w:rPr>
                <w:rFonts w:eastAsia="Times New Roman" w:cstheme="minorHAnsi"/>
                <w:color w:val="auto"/>
                <w:sz w:val="24"/>
                <w:lang w:eastAsia="cs-CZ"/>
              </w:rPr>
              <w:t>pro informaci na jednání vlády ČR </w:t>
            </w:r>
          </w:p>
        </w:tc>
      </w:tr>
      <w:tr w14:paraId="2387CAB5"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221DFB" w:rsidP="00AA04A2" w14:paraId="0F132F7B" w14:textId="29C22F42">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03/2034</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6E112A11" w14:textId="4CEB87C9">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203</w:t>
            </w:r>
            <w:r>
              <w:rPr>
                <w:rFonts w:eastAsia="Times New Roman" w:cstheme="minorHAnsi"/>
                <w:color w:val="auto"/>
                <w:sz w:val="24"/>
                <w:lang w:eastAsia="cs-CZ"/>
              </w:rPr>
              <w:t xml:space="preserve">3 </w:t>
            </w:r>
            <w:r w:rsidRPr="00221DFB">
              <w:rPr>
                <w:rFonts w:eastAsia="Times New Roman" w:cstheme="minorHAnsi"/>
                <w:color w:val="auto"/>
                <w:sz w:val="24"/>
                <w:lang w:eastAsia="cs-CZ"/>
              </w:rPr>
              <w:t>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1C8260F8"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P="00AA04A2" w14:paraId="01598CE6" w14:textId="690D45A0">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03/2035</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637F0F7F" w14:textId="5E343DEF">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203</w:t>
            </w:r>
            <w:r>
              <w:rPr>
                <w:rFonts w:eastAsia="Times New Roman" w:cstheme="minorHAnsi"/>
                <w:color w:val="auto"/>
                <w:sz w:val="24"/>
                <w:lang w:eastAsia="cs-CZ"/>
              </w:rPr>
              <w:t>4</w:t>
            </w:r>
            <w:r w:rsidRPr="00221DFB">
              <w:rPr>
                <w:rFonts w:eastAsia="Times New Roman" w:cstheme="minorHAnsi"/>
                <w:color w:val="auto"/>
                <w:sz w:val="24"/>
                <w:lang w:eastAsia="cs-CZ"/>
              </w:rPr>
              <w:t xml:space="preserve">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23BC8060"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P="00AA04A2" w14:paraId="250DE87F" w14:textId="66737760">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03/2036</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219D1F0A" w14:textId="7B53AB1B">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realizaci implementačních plánů za rok 203</w:t>
            </w:r>
            <w:r>
              <w:rPr>
                <w:rFonts w:eastAsia="Times New Roman" w:cstheme="minorHAnsi"/>
                <w:color w:val="auto"/>
                <w:sz w:val="24"/>
                <w:lang w:eastAsia="cs-CZ"/>
              </w:rPr>
              <w:t>5</w:t>
            </w:r>
            <w:r w:rsidRPr="00221DFB">
              <w:rPr>
                <w:rFonts w:eastAsia="Times New Roman" w:cstheme="minorHAnsi"/>
                <w:color w:val="auto"/>
                <w:sz w:val="24"/>
                <w:lang w:eastAsia="cs-CZ"/>
              </w:rPr>
              <w:t xml:space="preserve">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37F0EDC0"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221DFB" w:rsidP="00AA04A2" w14:paraId="247820D1" w14:textId="0BF86751">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06/2036</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2F8FBA75" w14:textId="4C4D7AAF">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w:t>
            </w:r>
            <w:r>
              <w:rPr>
                <w:rFonts w:eastAsia="Times New Roman" w:cstheme="minorHAnsi"/>
                <w:color w:val="auto"/>
                <w:sz w:val="24"/>
                <w:lang w:eastAsia="cs-CZ"/>
              </w:rPr>
              <w:t>33-2035</w:t>
            </w:r>
            <w:r w:rsidRPr="00221DFB">
              <w:rPr>
                <w:rFonts w:eastAsia="Times New Roman" w:cstheme="minorHAnsi"/>
                <w:color w:val="auto"/>
                <w:sz w:val="24"/>
                <w:lang w:eastAsia="cs-CZ"/>
              </w:rPr>
              <w:t xml:space="preserve"> a závěrečného vyhodnocení realizace Strategického rámce Zdraví 2035 a jeho implementačních plánů Řídicímu výboru Zdraví 2035 a na poradu vedení MZ</w:t>
            </w:r>
            <w:r>
              <w:rPr>
                <w:rFonts w:eastAsia="Times New Roman" w:cstheme="minorHAnsi"/>
                <w:color w:val="auto"/>
                <w:sz w:val="24"/>
                <w:lang w:eastAsia="cs-CZ"/>
              </w:rPr>
              <w:t>D</w:t>
            </w:r>
            <w:r w:rsidRPr="00221DFB">
              <w:rPr>
                <w:rFonts w:eastAsia="Times New Roman" w:cstheme="minorHAnsi"/>
                <w:color w:val="auto"/>
                <w:sz w:val="24"/>
                <w:lang w:eastAsia="cs-CZ"/>
              </w:rPr>
              <w:t> </w:t>
            </w:r>
          </w:p>
        </w:tc>
      </w:tr>
      <w:tr w14:paraId="21917DE3" w14:textId="77777777" w:rsidTr="00624D72">
        <w:tblPrEx>
          <w:tblW w:w="8923" w:type="dxa"/>
          <w:tblCellMar>
            <w:left w:w="0" w:type="dxa"/>
            <w:right w:w="0" w:type="dxa"/>
          </w:tblCellMar>
          <w:tblLook w:val="04A0"/>
        </w:tblPrEx>
        <w:trPr>
          <w:trHeight w:val="300"/>
        </w:trPr>
        <w:tc>
          <w:tcPr>
            <w:tcW w:w="1500" w:type="dxa"/>
            <w:tcBorders>
              <w:top w:val="single" w:sz="6" w:space="0" w:color="auto"/>
              <w:left w:val="single" w:sz="6" w:space="0" w:color="auto"/>
              <w:bottom w:val="single" w:sz="6" w:space="0" w:color="auto"/>
              <w:right w:val="single" w:sz="6" w:space="0" w:color="auto"/>
            </w:tcBorders>
          </w:tcPr>
          <w:p w:rsidR="00AA04A2" w:rsidRPr="00221DFB" w:rsidP="00AA04A2" w14:paraId="66926D94" w14:textId="1BE3A6F4">
            <w:pPr>
              <w:spacing w:before="0" w:after="0"/>
              <w:textAlignment w:val="baseline"/>
              <w:rPr>
                <w:rFonts w:eastAsia="Times New Roman" w:cstheme="minorHAnsi"/>
                <w:color w:val="auto"/>
                <w:sz w:val="24"/>
                <w:lang w:eastAsia="cs-CZ"/>
              </w:rPr>
            </w:pPr>
            <w:r>
              <w:rPr>
                <w:rFonts w:eastAsia="Times New Roman" w:cstheme="minorHAnsi"/>
                <w:color w:val="auto"/>
                <w:sz w:val="24"/>
                <w:lang w:eastAsia="cs-CZ"/>
              </w:rPr>
              <w:t>09/2036</w:t>
            </w:r>
          </w:p>
        </w:tc>
        <w:tc>
          <w:tcPr>
            <w:tcW w:w="7423" w:type="dxa"/>
            <w:tcBorders>
              <w:top w:val="single" w:sz="6" w:space="0" w:color="auto"/>
              <w:left w:val="single" w:sz="6" w:space="0" w:color="auto"/>
              <w:bottom w:val="single" w:sz="6" w:space="0" w:color="auto"/>
              <w:right w:val="single" w:sz="6" w:space="0" w:color="auto"/>
            </w:tcBorders>
          </w:tcPr>
          <w:p w:rsidR="00AA04A2" w:rsidRPr="00221DFB" w:rsidP="00AA04A2" w14:paraId="1A82A8C6" w14:textId="2B785766">
            <w:pPr>
              <w:spacing w:before="0" w:after="0"/>
              <w:textAlignment w:val="baseline"/>
              <w:rPr>
                <w:rFonts w:eastAsia="Times New Roman" w:cstheme="minorHAnsi"/>
                <w:color w:val="auto"/>
                <w:sz w:val="24"/>
                <w:lang w:eastAsia="cs-CZ"/>
              </w:rPr>
            </w:pPr>
            <w:r w:rsidRPr="00221DFB">
              <w:rPr>
                <w:rFonts w:eastAsia="Times New Roman" w:cstheme="minorHAnsi"/>
                <w:color w:val="auto"/>
                <w:sz w:val="24"/>
                <w:lang w:eastAsia="cs-CZ"/>
              </w:rPr>
              <w:t>Předložení Zprávy o průběhu implementace Strategického rámce Zdraví 2035 za monitorovací období 2025–2026 a závěrečného vyhodnocení realizace Strategického rámce Zdraví 2035 a jeho implementačních plánů pro informaci na jednání vlády ČR </w:t>
            </w:r>
          </w:p>
        </w:tc>
      </w:tr>
    </w:tbl>
    <w:p w:rsidR="00434E5A" w:rsidRPr="008729A1" w:rsidP="00434E5A" w14:paraId="5D10E1A8" w14:textId="77777777">
      <w:pPr>
        <w:rPr>
          <w:rFonts w:cs="Arial"/>
          <w:sz w:val="24"/>
        </w:rPr>
      </w:pPr>
      <w:r>
        <w:rPr>
          <w:rFonts w:cs="Arial"/>
          <w:sz w:val="24"/>
        </w:rPr>
        <w:t>Zdroj: vlastní zpracování</w:t>
      </w:r>
    </w:p>
    <w:p w:rsidR="00AE16AE" w:rsidRPr="00A955AF" w:rsidP="00C27B57" w14:paraId="1C0D6783" w14:textId="77777777">
      <w:pPr>
        <w:rPr>
          <w:rFonts w:cs="Arial"/>
          <w:sz w:val="24"/>
        </w:rPr>
      </w:pPr>
    </w:p>
    <w:p w:rsidR="00AE16AE" w:rsidRPr="00A955AF" w:rsidP="00A41E95" w14:paraId="780FB3F0" w14:textId="1FD48BAF">
      <w:pPr>
        <w:rPr>
          <w:rFonts w:cs="Arial"/>
          <w:sz w:val="24"/>
        </w:rPr>
      </w:pPr>
      <w:r>
        <w:rPr>
          <w:rFonts w:cs="Arial"/>
          <w:sz w:val="24"/>
        </w:rPr>
        <w:t xml:space="preserve">Evaluace Strategického rámce Zdraví 2035 probíhá interně. Vzhledem ke skutečnosti, že MZD nedisponuje projektovou, strategickou, metodickou ani evaluační jednotkou, je evaluace zpracovávána koordinátorem přípravy a implementace Strategického rámce Zdraví 2035 ve spolupráci s ÚZIS </w:t>
      </w:r>
      <w:r w:rsidR="00A41E95">
        <w:rPr>
          <w:rFonts w:cs="Arial"/>
          <w:sz w:val="24"/>
        </w:rPr>
        <w:t xml:space="preserve">a oddělením </w:t>
      </w:r>
      <w:r w:rsidRPr="00A41E95" w:rsidR="00A41E95">
        <w:rPr>
          <w:rFonts w:cs="Arial"/>
          <w:sz w:val="24"/>
        </w:rPr>
        <w:t>strategií, protokolu, vládní a parlamentní agendy</w:t>
      </w:r>
      <w:r w:rsidR="00A41E95">
        <w:rPr>
          <w:rFonts w:cs="Arial"/>
          <w:sz w:val="24"/>
        </w:rPr>
        <w:t xml:space="preserve"> MZD,</w:t>
      </w:r>
      <w:r>
        <w:rPr>
          <w:rFonts w:cs="Arial"/>
          <w:sz w:val="24"/>
        </w:rPr>
        <w:t xml:space="preserve"> na základě podkladů od gestorů jednotlivých implementačních plánů. </w:t>
      </w:r>
      <w:r w:rsidR="00A41E95">
        <w:rPr>
          <w:rFonts w:cs="Arial"/>
          <w:sz w:val="24"/>
        </w:rPr>
        <w:t xml:space="preserve">Evaluace je vložena v Databázi strategií. </w:t>
      </w:r>
    </w:p>
    <w:p w:rsidR="00C46B87" w:rsidRPr="00A955AF" w:rsidP="00C27B57" w14:paraId="0E660708" w14:textId="77777777">
      <w:pPr>
        <w:rPr>
          <w:rFonts w:cs="Arial"/>
          <w:sz w:val="24"/>
        </w:rPr>
      </w:pPr>
    </w:p>
    <w:p w:rsidR="00A75D1C" w14:paraId="12A34970" w14:textId="77777777">
      <w:pPr>
        <w:spacing w:before="0" w:line="264" w:lineRule="auto"/>
        <w:jc w:val="left"/>
        <w:rPr>
          <w:rFonts w:cs="Arial"/>
          <w:sz w:val="24"/>
        </w:rPr>
        <w:sectPr w:rsidSect="004433F0">
          <w:headerReference w:type="first" r:id="rId53"/>
          <w:pgSz w:w="11906" w:h="16838"/>
          <w:pgMar w:top="1276" w:right="1417" w:bottom="993" w:left="1417" w:header="708" w:footer="97" w:gutter="0"/>
          <w:cols w:space="708"/>
          <w:titlePg/>
          <w:docGrid w:linePitch="360"/>
        </w:sectPr>
      </w:pPr>
    </w:p>
    <w:p w:rsidR="00590DC2" w:rsidRPr="006C359E" w:rsidP="00163C98" w14:paraId="5790056C" w14:textId="77777777">
      <w:pPr>
        <w:pStyle w:val="NA2"/>
      </w:pPr>
      <w:bookmarkStart w:id="645" w:name="_Toc7705152"/>
      <w:bookmarkStart w:id="646" w:name="_Toc7705623"/>
      <w:bookmarkStart w:id="647" w:name="_Toc256000068"/>
      <w:r w:rsidRPr="006C359E">
        <w:t>Indikátory a klíčové předpoklady realizace</w:t>
      </w:r>
      <w:bookmarkEnd w:id="647"/>
      <w:bookmarkEnd w:id="645"/>
      <w:bookmarkEnd w:id="646"/>
    </w:p>
    <w:p w:rsidR="005331FE" w:rsidP="001B2F50" w14:paraId="3D59B545" w14:textId="11B07918">
      <w:pPr>
        <w:rPr>
          <w:rFonts w:cs="Arial"/>
          <w:sz w:val="24"/>
        </w:rPr>
      </w:pPr>
      <w:r w:rsidRPr="00A955AF">
        <w:rPr>
          <w:rFonts w:cs="Arial"/>
          <w:sz w:val="24"/>
        </w:rPr>
        <w:t>Na úrovni Strategického rámce Zdraví 20</w:t>
      </w:r>
      <w:r w:rsidRPr="00A955AF" w:rsidR="007A6344">
        <w:rPr>
          <w:rFonts w:cs="Arial"/>
          <w:sz w:val="24"/>
        </w:rPr>
        <w:t>3</w:t>
      </w:r>
      <w:r w:rsidR="00A41E95">
        <w:rPr>
          <w:rFonts w:cs="Arial"/>
          <w:sz w:val="24"/>
        </w:rPr>
        <w:t>5</w:t>
      </w:r>
      <w:r w:rsidRPr="00A955AF">
        <w:rPr>
          <w:rFonts w:cs="Arial"/>
          <w:sz w:val="24"/>
        </w:rPr>
        <w:t xml:space="preserve"> jsou stanoveny </w:t>
      </w:r>
      <w:r w:rsidRPr="00A955AF" w:rsidR="00A2447B">
        <w:rPr>
          <w:rFonts w:cs="Arial"/>
          <w:sz w:val="24"/>
        </w:rPr>
        <w:t xml:space="preserve">základní </w:t>
      </w:r>
      <w:r w:rsidRPr="00A955AF">
        <w:rPr>
          <w:rFonts w:cs="Arial"/>
          <w:sz w:val="24"/>
        </w:rPr>
        <w:t>indikátory</w:t>
      </w:r>
      <w:r w:rsidRPr="00A955AF">
        <w:rPr>
          <w:rFonts w:cs="Arial"/>
          <w:sz w:val="24"/>
        </w:rPr>
        <w:t>. Tabulk</w:t>
      </w:r>
      <w:r w:rsidR="009B72F7">
        <w:rPr>
          <w:rFonts w:cs="Arial"/>
          <w:sz w:val="24"/>
        </w:rPr>
        <w:t>y</w:t>
      </w:r>
      <w:r w:rsidRPr="00A955AF">
        <w:rPr>
          <w:rFonts w:cs="Arial"/>
          <w:sz w:val="24"/>
        </w:rPr>
        <w:t xml:space="preserve"> indikátorů tak demonst</w:t>
      </w:r>
      <w:r w:rsidRPr="00A955AF" w:rsidR="008174BD">
        <w:rPr>
          <w:rFonts w:cs="Arial"/>
          <w:sz w:val="24"/>
        </w:rPr>
        <w:t>r</w:t>
      </w:r>
      <w:r w:rsidRPr="00A955AF">
        <w:rPr>
          <w:rFonts w:cs="Arial"/>
          <w:sz w:val="24"/>
        </w:rPr>
        <w:t>uj</w:t>
      </w:r>
      <w:r w:rsidR="009B72F7">
        <w:rPr>
          <w:rFonts w:cs="Arial"/>
          <w:sz w:val="24"/>
        </w:rPr>
        <w:t>í</w:t>
      </w:r>
      <w:r w:rsidRPr="00A955AF">
        <w:rPr>
          <w:rFonts w:cs="Arial"/>
          <w:sz w:val="24"/>
        </w:rPr>
        <w:t xml:space="preserve"> provázanost obou strategických dokumentů, zastřešujícího i resortního, který cíle a indikátory dále rozpracovává.</w:t>
      </w:r>
      <w:r w:rsidRPr="00A955AF" w:rsidR="00D83A63">
        <w:rPr>
          <w:rFonts w:cs="Arial"/>
          <w:sz w:val="24"/>
        </w:rPr>
        <w:t xml:space="preserve"> </w:t>
      </w:r>
      <w:r w:rsidR="00A273FB">
        <w:rPr>
          <w:rFonts w:cs="Arial"/>
          <w:sz w:val="24"/>
        </w:rPr>
        <w:t xml:space="preserve">Zeleně jsou označeny indikátory, které jsou sledovány i ve Strategickém rámci Zdraví 2035 na úrovni specifických cílů. </w:t>
      </w:r>
    </w:p>
    <w:p w:rsidR="00434E5A" w:rsidRPr="008729A1" w:rsidP="00434E5A" w14:paraId="188F3D76" w14:textId="77777777">
      <w:pPr>
        <w:pStyle w:val="Caption"/>
        <w:rPr>
          <w:rFonts w:cs="Arial"/>
          <w:sz w:val="24"/>
        </w:rPr>
      </w:pPr>
      <w:bookmarkStart w:id="648" w:name="_Toc256000073"/>
      <w:r>
        <w:t xml:space="preserve">Tabulka </w:t>
      </w:r>
      <w:r>
        <w:fldChar w:fldCharType="begin"/>
      </w:r>
      <w:r>
        <w:instrText xml:space="preserve"> SEQ Tabulka \* ARABIC </w:instrText>
      </w:r>
      <w:r>
        <w:fldChar w:fldCharType="separate"/>
      </w:r>
      <w:r>
        <w:t>3</w:t>
      </w:r>
      <w:r>
        <w:fldChar w:fldCharType="end"/>
      </w:r>
      <w:r>
        <w:t xml:space="preserve"> </w:t>
      </w:r>
      <w:r w:rsidRPr="00444CA3">
        <w:t>Tabulka č. 10 Seznam indikátorů sledovaných na úrovni Strategického rámce ČR 2030</w:t>
      </w:r>
      <w:bookmarkEnd w:id="648"/>
    </w:p>
    <w:p w:rsidR="009B72F7" w:rsidP="001B2F50" w14:paraId="0486A56E" w14:textId="77777777">
      <w:pPr>
        <w:rPr>
          <w:rFonts w:cs="Arial"/>
          <w:sz w:val="24"/>
        </w:rPr>
      </w:pPr>
    </w:p>
    <w:tbl>
      <w:tblPr>
        <w:tblStyle w:val="TableGrid"/>
        <w:tblW w:w="0" w:type="auto"/>
        <w:tblLook w:val="04A0"/>
      </w:tblPr>
      <w:tblGrid>
        <w:gridCol w:w="2689"/>
        <w:gridCol w:w="3543"/>
        <w:gridCol w:w="2835"/>
        <w:gridCol w:w="2694"/>
      </w:tblGrid>
      <w:tr w14:paraId="6DE036E3" w14:textId="77777777" w:rsidTr="00A273FB">
        <w:tblPrEx>
          <w:tblW w:w="0" w:type="auto"/>
          <w:tblLook w:val="04A0"/>
        </w:tblPrEx>
        <w:tc>
          <w:tcPr>
            <w:tcW w:w="2689" w:type="dxa"/>
            <w:tcBorders>
              <w:bottom w:val="single" w:sz="4" w:space="0" w:color="auto"/>
            </w:tcBorders>
            <w:vAlign w:val="center"/>
          </w:tcPr>
          <w:p w:rsidR="00A273FB" w:rsidRPr="00A273FB" w:rsidP="00A273FB" w14:paraId="47C6E3B9" w14:textId="6798B744">
            <w:pPr>
              <w:jc w:val="center"/>
              <w:rPr>
                <w:rFonts w:cstheme="minorHAnsi"/>
                <w:b/>
                <w:color w:val="auto"/>
                <w:sz w:val="20"/>
                <w:szCs w:val="20"/>
              </w:rPr>
            </w:pPr>
            <w:r w:rsidRPr="00A273FB">
              <w:rPr>
                <w:rFonts w:cstheme="minorHAnsi"/>
                <w:b/>
                <w:color w:val="auto"/>
                <w:sz w:val="20"/>
                <w:szCs w:val="20"/>
              </w:rPr>
              <w:t>Indikátor</w:t>
            </w:r>
          </w:p>
        </w:tc>
        <w:tc>
          <w:tcPr>
            <w:tcW w:w="3543" w:type="dxa"/>
            <w:tcBorders>
              <w:bottom w:val="single" w:sz="4" w:space="0" w:color="auto"/>
            </w:tcBorders>
            <w:vAlign w:val="center"/>
          </w:tcPr>
          <w:p w:rsidR="00A273FB" w:rsidRPr="00A273FB" w:rsidP="00A273FB" w14:paraId="341B05C7" w14:textId="77777777">
            <w:pPr>
              <w:jc w:val="center"/>
              <w:rPr>
                <w:rFonts w:cstheme="minorHAnsi"/>
                <w:b/>
                <w:color w:val="auto"/>
                <w:sz w:val="20"/>
                <w:szCs w:val="20"/>
              </w:rPr>
            </w:pPr>
            <w:r w:rsidRPr="00A273FB">
              <w:rPr>
                <w:rFonts w:cstheme="minorHAnsi"/>
                <w:b/>
                <w:color w:val="auto"/>
                <w:sz w:val="20"/>
                <w:szCs w:val="20"/>
              </w:rPr>
              <w:t>Bližší vymezení a jednotka</w:t>
            </w:r>
          </w:p>
        </w:tc>
        <w:tc>
          <w:tcPr>
            <w:tcW w:w="2835" w:type="dxa"/>
            <w:tcBorders>
              <w:bottom w:val="single" w:sz="4" w:space="0" w:color="auto"/>
            </w:tcBorders>
            <w:vAlign w:val="center"/>
          </w:tcPr>
          <w:p w:rsidR="00A273FB" w:rsidRPr="00A273FB" w:rsidP="00A273FB" w14:paraId="0BB97E69" w14:textId="68BBAB4E">
            <w:pPr>
              <w:spacing w:before="0"/>
              <w:jc w:val="center"/>
              <w:rPr>
                <w:rFonts w:cstheme="minorHAnsi"/>
                <w:b/>
                <w:color w:val="auto"/>
                <w:sz w:val="20"/>
                <w:szCs w:val="20"/>
              </w:rPr>
            </w:pPr>
            <w:r w:rsidRPr="00A273FB">
              <w:rPr>
                <w:rFonts w:cstheme="minorHAnsi"/>
                <w:b/>
                <w:color w:val="auto"/>
                <w:sz w:val="20"/>
                <w:szCs w:val="20"/>
              </w:rPr>
              <w:t>Výchozí hodnota</w:t>
            </w:r>
          </w:p>
          <w:p w:rsidR="00A273FB" w:rsidRPr="00A273FB" w:rsidP="00A273FB" w14:paraId="663330D3" w14:textId="02A7B5FE">
            <w:pPr>
              <w:spacing w:before="0"/>
              <w:jc w:val="center"/>
              <w:rPr>
                <w:rFonts w:cstheme="minorHAnsi"/>
                <w:b/>
                <w:color w:val="auto"/>
                <w:sz w:val="20"/>
                <w:szCs w:val="20"/>
              </w:rPr>
            </w:pPr>
            <w:r w:rsidRPr="00A273FB">
              <w:rPr>
                <w:rFonts w:cstheme="minorHAnsi"/>
                <w:b/>
                <w:color w:val="auto"/>
                <w:sz w:val="20"/>
                <w:szCs w:val="20"/>
              </w:rPr>
              <w:t>(2017)</w:t>
            </w:r>
          </w:p>
        </w:tc>
        <w:tc>
          <w:tcPr>
            <w:tcW w:w="2694" w:type="dxa"/>
            <w:tcBorders>
              <w:bottom w:val="single" w:sz="4" w:space="0" w:color="auto"/>
            </w:tcBorders>
            <w:vAlign w:val="center"/>
          </w:tcPr>
          <w:p w:rsidR="00A273FB" w:rsidRPr="00A273FB" w:rsidP="00A273FB" w14:paraId="54E4EEB6" w14:textId="77777777">
            <w:pPr>
              <w:spacing w:before="0"/>
              <w:jc w:val="center"/>
              <w:rPr>
                <w:rFonts w:cstheme="minorHAnsi"/>
                <w:b/>
                <w:color w:val="auto"/>
                <w:sz w:val="20"/>
                <w:szCs w:val="20"/>
              </w:rPr>
            </w:pPr>
            <w:r w:rsidRPr="00A273FB">
              <w:rPr>
                <w:rFonts w:cstheme="minorHAnsi"/>
                <w:b/>
                <w:color w:val="auto"/>
                <w:sz w:val="20"/>
                <w:szCs w:val="20"/>
              </w:rPr>
              <w:t>Cílový stav</w:t>
            </w:r>
          </w:p>
          <w:p w:rsidR="00A273FB" w:rsidRPr="00A273FB" w:rsidP="00A273FB" w14:paraId="6DA690B5" w14:textId="77777777">
            <w:pPr>
              <w:spacing w:before="0"/>
              <w:jc w:val="center"/>
              <w:rPr>
                <w:rFonts w:cstheme="minorHAnsi"/>
                <w:b/>
                <w:color w:val="auto"/>
                <w:sz w:val="20"/>
                <w:szCs w:val="20"/>
              </w:rPr>
            </w:pPr>
            <w:r w:rsidRPr="00A273FB">
              <w:rPr>
                <w:rFonts w:cstheme="minorHAnsi"/>
                <w:b/>
                <w:color w:val="auto"/>
                <w:sz w:val="20"/>
                <w:szCs w:val="20"/>
              </w:rPr>
              <w:t>(2035)</w:t>
            </w:r>
          </w:p>
        </w:tc>
      </w:tr>
      <w:tr w14:paraId="60E86513" w14:textId="77777777" w:rsidTr="00A273FB">
        <w:tblPrEx>
          <w:tblW w:w="0" w:type="auto"/>
          <w:tblLook w:val="04A0"/>
        </w:tblPrEx>
        <w:tc>
          <w:tcPr>
            <w:tcW w:w="2689" w:type="dxa"/>
            <w:vAlign w:val="center"/>
          </w:tcPr>
          <w:p w:rsidR="00A273FB" w:rsidRPr="00A273FB" w:rsidP="00A273FB" w14:paraId="4DA6A331" w14:textId="76FD7EE7">
            <w:pPr>
              <w:jc w:val="center"/>
              <w:rPr>
                <w:rFonts w:cstheme="minorHAnsi"/>
                <w:bCs/>
                <w:color w:val="auto"/>
                <w:sz w:val="20"/>
                <w:szCs w:val="20"/>
              </w:rPr>
            </w:pPr>
            <w:r w:rsidRPr="00A273FB">
              <w:rPr>
                <w:rFonts w:cstheme="minorHAnsi"/>
                <w:bCs/>
                <w:color w:val="auto"/>
                <w:sz w:val="20"/>
                <w:szCs w:val="20"/>
              </w:rPr>
              <w:t>Délka života ve zdraví při narození</w:t>
            </w:r>
          </w:p>
        </w:tc>
        <w:tc>
          <w:tcPr>
            <w:tcW w:w="3543" w:type="dxa"/>
            <w:vAlign w:val="center"/>
          </w:tcPr>
          <w:p w:rsidR="00A273FB" w:rsidRPr="00A273FB" w:rsidP="00A273FB" w14:paraId="0CCF6B0A" w14:textId="75FA5582">
            <w:pPr>
              <w:jc w:val="center"/>
              <w:rPr>
                <w:rFonts w:cstheme="minorHAnsi"/>
                <w:bCs/>
                <w:color w:val="auto"/>
                <w:sz w:val="20"/>
                <w:szCs w:val="20"/>
              </w:rPr>
            </w:pPr>
            <w:r w:rsidRPr="00A273FB">
              <w:rPr>
                <w:rFonts w:cstheme="minorHAnsi"/>
                <w:bCs/>
                <w:color w:val="auto"/>
                <w:sz w:val="20"/>
                <w:szCs w:val="20"/>
              </w:rPr>
              <w:t>Roky</w:t>
            </w:r>
          </w:p>
        </w:tc>
        <w:tc>
          <w:tcPr>
            <w:tcW w:w="2835" w:type="dxa"/>
            <w:vAlign w:val="center"/>
          </w:tcPr>
          <w:p w:rsidR="00A273FB" w:rsidRPr="00A273FB" w:rsidP="00A273FB" w14:paraId="0C4A291D" w14:textId="1FAF5B3B">
            <w:pPr>
              <w:jc w:val="center"/>
              <w:rPr>
                <w:rFonts w:cstheme="minorHAnsi"/>
                <w:bCs/>
                <w:color w:val="auto"/>
                <w:sz w:val="20"/>
                <w:szCs w:val="20"/>
              </w:rPr>
            </w:pPr>
            <w:r w:rsidRPr="00A273FB">
              <w:rPr>
                <w:rFonts w:cstheme="minorHAnsi"/>
                <w:bCs/>
                <w:color w:val="auto"/>
                <w:sz w:val="20"/>
                <w:szCs w:val="20"/>
              </w:rPr>
              <w:t>62,7 (muži)</w:t>
            </w:r>
          </w:p>
          <w:p w:rsidR="00A273FB" w:rsidRPr="00A273FB" w:rsidP="00A273FB" w14:paraId="14180625" w14:textId="77777777">
            <w:pPr>
              <w:jc w:val="center"/>
              <w:rPr>
                <w:rFonts w:cstheme="minorHAnsi"/>
                <w:bCs/>
                <w:color w:val="auto"/>
                <w:sz w:val="20"/>
                <w:szCs w:val="20"/>
              </w:rPr>
            </w:pPr>
            <w:r w:rsidRPr="00A273FB">
              <w:rPr>
                <w:rFonts w:cstheme="minorHAnsi"/>
                <w:bCs/>
                <w:color w:val="auto"/>
                <w:sz w:val="20"/>
                <w:szCs w:val="20"/>
              </w:rPr>
              <w:t>64,0 (ženy)</w:t>
            </w:r>
          </w:p>
        </w:tc>
        <w:tc>
          <w:tcPr>
            <w:tcW w:w="2694" w:type="dxa"/>
            <w:vAlign w:val="center"/>
          </w:tcPr>
          <w:p w:rsidR="00A273FB" w:rsidRPr="00A273FB" w:rsidP="00A273FB" w14:paraId="78B06D4A" w14:textId="254BBBC7">
            <w:pPr>
              <w:jc w:val="center"/>
              <w:rPr>
                <w:rFonts w:cstheme="minorHAnsi"/>
                <w:bCs/>
                <w:color w:val="auto"/>
                <w:sz w:val="20"/>
                <w:szCs w:val="20"/>
              </w:rPr>
            </w:pPr>
            <w:r w:rsidRPr="00A273FB">
              <w:rPr>
                <w:rFonts w:cstheme="minorHAnsi"/>
                <w:bCs/>
                <w:color w:val="auto"/>
                <w:sz w:val="20"/>
                <w:szCs w:val="20"/>
              </w:rPr>
              <w:t>65,7 (muži)</w:t>
            </w:r>
          </w:p>
          <w:p w:rsidR="00A273FB" w:rsidRPr="00A273FB" w:rsidP="00A273FB" w14:paraId="235DA466" w14:textId="77777777">
            <w:pPr>
              <w:jc w:val="center"/>
              <w:rPr>
                <w:rFonts w:cstheme="minorHAnsi"/>
                <w:bCs/>
                <w:color w:val="auto"/>
                <w:sz w:val="20"/>
                <w:szCs w:val="20"/>
              </w:rPr>
            </w:pPr>
            <w:r w:rsidRPr="00A273FB">
              <w:rPr>
                <w:rFonts w:cstheme="minorHAnsi"/>
                <w:bCs/>
                <w:color w:val="auto"/>
                <w:sz w:val="20"/>
                <w:szCs w:val="20"/>
              </w:rPr>
              <w:t>66,0 (ženy)</w:t>
            </w:r>
          </w:p>
        </w:tc>
      </w:tr>
      <w:tr w14:paraId="47F86C2F" w14:textId="77777777" w:rsidTr="003C7F59">
        <w:tblPrEx>
          <w:tblW w:w="0" w:type="auto"/>
          <w:tblLook w:val="04A0"/>
        </w:tblPrEx>
        <w:trPr>
          <w:trHeight w:val="2033"/>
        </w:trPr>
        <w:tc>
          <w:tcPr>
            <w:tcW w:w="2689" w:type="dxa"/>
            <w:tcBorders>
              <w:bottom w:val="single" w:sz="4" w:space="0" w:color="auto"/>
            </w:tcBorders>
            <w:vAlign w:val="center"/>
          </w:tcPr>
          <w:p w:rsidR="00A273FB" w:rsidRPr="00A273FB" w:rsidP="00A273FB" w14:paraId="4E7A664A" w14:textId="656F96DC">
            <w:pPr>
              <w:jc w:val="center"/>
              <w:rPr>
                <w:rFonts w:cstheme="minorHAnsi"/>
                <w:bCs/>
                <w:color w:val="auto"/>
                <w:sz w:val="20"/>
                <w:szCs w:val="20"/>
              </w:rPr>
            </w:pPr>
            <w:r w:rsidRPr="00A273FB">
              <w:rPr>
                <w:rFonts w:cstheme="minorHAnsi"/>
                <w:bCs/>
                <w:color w:val="auto"/>
                <w:sz w:val="20"/>
                <w:szCs w:val="20"/>
              </w:rPr>
              <w:t>Dlouhodobé omezení aktivit – GALI (Global Activity Limitation Indicator)</w:t>
            </w:r>
          </w:p>
        </w:tc>
        <w:tc>
          <w:tcPr>
            <w:tcW w:w="3543" w:type="dxa"/>
            <w:tcBorders>
              <w:bottom w:val="single" w:sz="4" w:space="0" w:color="auto"/>
            </w:tcBorders>
            <w:vAlign w:val="center"/>
          </w:tcPr>
          <w:p w:rsidR="00A273FB" w:rsidRPr="00A273FB" w:rsidP="00A273FB" w14:paraId="48B2FD4C" w14:textId="77777777">
            <w:pPr>
              <w:jc w:val="center"/>
              <w:rPr>
                <w:rFonts w:cstheme="minorHAnsi"/>
                <w:bCs/>
                <w:color w:val="auto"/>
                <w:sz w:val="20"/>
                <w:szCs w:val="20"/>
              </w:rPr>
            </w:pPr>
            <w:r w:rsidRPr="00A273FB">
              <w:rPr>
                <w:rFonts w:cstheme="minorHAnsi"/>
                <w:bCs/>
                <w:color w:val="auto"/>
                <w:sz w:val="20"/>
                <w:szCs w:val="20"/>
              </w:rPr>
              <w:t>Míra disability u věkové skupiny 25–64</w:t>
            </w:r>
          </w:p>
          <w:p w:rsidR="00A273FB" w:rsidRPr="00A273FB" w:rsidP="00A273FB" w14:paraId="15AC3357" w14:textId="04FB6066">
            <w:pPr>
              <w:pStyle w:val="ListParagraph"/>
              <w:numPr>
                <w:ilvl w:val="0"/>
                <w:numId w:val="42"/>
              </w:numPr>
              <w:autoSpaceDE/>
              <w:autoSpaceDN/>
              <w:adjustRightInd/>
              <w:contextualSpacing/>
              <w:jc w:val="center"/>
              <w:rPr>
                <w:rFonts w:cstheme="minorHAnsi"/>
                <w:color w:val="auto"/>
                <w:sz w:val="20"/>
                <w:szCs w:val="20"/>
              </w:rPr>
            </w:pPr>
            <w:r w:rsidRPr="00A273FB">
              <w:rPr>
                <w:rFonts w:cstheme="minorHAnsi"/>
                <w:color w:val="auto"/>
                <w:sz w:val="20"/>
                <w:szCs w:val="20"/>
              </w:rPr>
              <w:t>Nejnižší příjmový kvintil</w:t>
            </w:r>
          </w:p>
          <w:p w:rsidR="00A273FB" w:rsidRPr="00A273FB" w:rsidP="00A273FB" w14:paraId="0A3A4535" w14:textId="3AADE0CD">
            <w:pPr>
              <w:pStyle w:val="ListParagraph"/>
              <w:numPr>
                <w:ilvl w:val="0"/>
                <w:numId w:val="42"/>
              </w:numPr>
              <w:autoSpaceDE/>
              <w:autoSpaceDN/>
              <w:adjustRightInd/>
              <w:contextualSpacing/>
              <w:jc w:val="center"/>
              <w:rPr>
                <w:rFonts w:cstheme="minorHAnsi"/>
                <w:color w:val="auto"/>
                <w:sz w:val="20"/>
                <w:szCs w:val="20"/>
              </w:rPr>
            </w:pPr>
            <w:r w:rsidRPr="00A273FB">
              <w:rPr>
                <w:rFonts w:cstheme="minorHAnsi"/>
                <w:color w:val="auto"/>
                <w:sz w:val="20"/>
                <w:szCs w:val="20"/>
              </w:rPr>
              <w:t>Nejvyšší příjmový kvintil</w:t>
            </w:r>
          </w:p>
          <w:p w:rsidR="00A273FB" w:rsidRPr="00A273FB" w:rsidP="00A273FB" w14:paraId="787DC95C" w14:textId="77777777">
            <w:pPr>
              <w:jc w:val="center"/>
              <w:rPr>
                <w:rFonts w:cstheme="minorHAnsi"/>
                <w:bCs/>
                <w:color w:val="auto"/>
                <w:sz w:val="20"/>
                <w:szCs w:val="20"/>
              </w:rPr>
            </w:pPr>
            <w:r w:rsidRPr="00A273FB">
              <w:rPr>
                <w:rFonts w:cstheme="minorHAnsi"/>
                <w:bCs/>
                <w:color w:val="auto"/>
                <w:sz w:val="20"/>
                <w:szCs w:val="20"/>
              </w:rPr>
              <w:t>Míra disability u věkové skupiny 65+</w:t>
            </w:r>
          </w:p>
          <w:p w:rsidR="00A273FB" w:rsidRPr="00A273FB" w:rsidP="00A273FB" w14:paraId="0CA2B6BA" w14:textId="3B95F7B5">
            <w:pPr>
              <w:pStyle w:val="ListParagraph"/>
              <w:numPr>
                <w:ilvl w:val="0"/>
                <w:numId w:val="42"/>
              </w:numPr>
              <w:autoSpaceDE/>
              <w:autoSpaceDN/>
              <w:adjustRightInd/>
              <w:contextualSpacing/>
              <w:jc w:val="center"/>
              <w:rPr>
                <w:rFonts w:cstheme="minorHAnsi"/>
                <w:color w:val="auto"/>
                <w:sz w:val="20"/>
                <w:szCs w:val="20"/>
              </w:rPr>
            </w:pPr>
            <w:r w:rsidRPr="00A273FB">
              <w:rPr>
                <w:rFonts w:cstheme="minorHAnsi"/>
                <w:color w:val="auto"/>
                <w:sz w:val="20"/>
                <w:szCs w:val="20"/>
              </w:rPr>
              <w:t>Nejnižší příjmový kvintil</w:t>
            </w:r>
          </w:p>
          <w:p w:rsidR="00A273FB" w:rsidRPr="00A273FB" w:rsidP="00A273FB" w14:paraId="5948AB0D" w14:textId="034CAF6D">
            <w:pPr>
              <w:pStyle w:val="ListParagraph"/>
              <w:numPr>
                <w:ilvl w:val="0"/>
                <w:numId w:val="42"/>
              </w:numPr>
              <w:autoSpaceDE/>
              <w:autoSpaceDN/>
              <w:adjustRightInd/>
              <w:contextualSpacing/>
              <w:jc w:val="center"/>
              <w:rPr>
                <w:rFonts w:cstheme="minorHAnsi"/>
                <w:color w:val="auto"/>
                <w:sz w:val="20"/>
                <w:szCs w:val="20"/>
              </w:rPr>
            </w:pPr>
            <w:r w:rsidRPr="00A273FB">
              <w:rPr>
                <w:rFonts w:cstheme="minorHAnsi"/>
                <w:color w:val="auto"/>
                <w:sz w:val="20"/>
                <w:szCs w:val="20"/>
              </w:rPr>
              <w:t>Nejvyšší příjmový kvintil</w:t>
            </w:r>
          </w:p>
        </w:tc>
        <w:tc>
          <w:tcPr>
            <w:tcW w:w="2835" w:type="dxa"/>
            <w:tcBorders>
              <w:bottom w:val="single" w:sz="4" w:space="0" w:color="auto"/>
            </w:tcBorders>
            <w:vAlign w:val="center"/>
          </w:tcPr>
          <w:p w:rsidR="00A273FB" w:rsidRPr="00A273FB" w:rsidP="00A273FB" w14:paraId="53D6F560" w14:textId="77777777">
            <w:pPr>
              <w:jc w:val="center"/>
              <w:rPr>
                <w:rFonts w:cstheme="minorHAnsi"/>
                <w:bCs/>
                <w:color w:val="auto"/>
                <w:sz w:val="20"/>
                <w:szCs w:val="20"/>
              </w:rPr>
            </w:pPr>
            <w:r w:rsidRPr="00A273FB">
              <w:rPr>
                <w:rFonts w:cstheme="minorHAnsi"/>
                <w:bCs/>
                <w:color w:val="auto"/>
                <w:sz w:val="20"/>
                <w:szCs w:val="20"/>
              </w:rPr>
              <w:t>25‒64 nejnižší kvintil: 23,2 %</w:t>
            </w:r>
          </w:p>
          <w:p w:rsidR="00A273FB" w:rsidRPr="00A273FB" w:rsidP="00A273FB" w14:paraId="7890540A" w14:textId="77777777">
            <w:pPr>
              <w:jc w:val="center"/>
              <w:rPr>
                <w:rFonts w:cstheme="minorHAnsi"/>
                <w:bCs/>
                <w:color w:val="auto"/>
                <w:sz w:val="20"/>
                <w:szCs w:val="20"/>
              </w:rPr>
            </w:pPr>
            <w:r w:rsidRPr="00A273FB">
              <w:rPr>
                <w:rFonts w:cstheme="minorHAnsi"/>
                <w:bCs/>
                <w:color w:val="auto"/>
                <w:sz w:val="20"/>
                <w:szCs w:val="20"/>
              </w:rPr>
              <w:t>25‒64 nejvyšší kvintil: 12,0 %</w:t>
            </w:r>
          </w:p>
          <w:p w:rsidR="00A273FB" w:rsidRPr="00A273FB" w:rsidP="00A273FB" w14:paraId="53F5009D" w14:textId="77777777">
            <w:pPr>
              <w:jc w:val="center"/>
              <w:rPr>
                <w:rFonts w:cstheme="minorHAnsi"/>
                <w:bCs/>
                <w:color w:val="auto"/>
                <w:sz w:val="20"/>
                <w:szCs w:val="20"/>
              </w:rPr>
            </w:pPr>
            <w:r w:rsidRPr="00A273FB">
              <w:rPr>
                <w:rFonts w:cstheme="minorHAnsi"/>
                <w:bCs/>
                <w:color w:val="auto"/>
                <w:sz w:val="20"/>
                <w:szCs w:val="20"/>
              </w:rPr>
              <w:t>65+ nejnižší kvintil: 53,5 %</w:t>
            </w:r>
          </w:p>
          <w:p w:rsidR="00A273FB" w:rsidRPr="00A273FB" w:rsidP="00A273FB" w14:paraId="79255FF9" w14:textId="77777777">
            <w:pPr>
              <w:jc w:val="center"/>
              <w:rPr>
                <w:rFonts w:cstheme="minorHAnsi"/>
                <w:bCs/>
                <w:color w:val="auto"/>
                <w:sz w:val="20"/>
                <w:szCs w:val="20"/>
              </w:rPr>
            </w:pPr>
            <w:r w:rsidRPr="00A273FB">
              <w:rPr>
                <w:rFonts w:cstheme="minorHAnsi"/>
                <w:bCs/>
                <w:color w:val="auto"/>
                <w:sz w:val="20"/>
                <w:szCs w:val="20"/>
              </w:rPr>
              <w:t>65+ nejvyšší kvintil: 35,9 %</w:t>
            </w:r>
          </w:p>
          <w:p w:rsidR="00A273FB" w:rsidRPr="00A273FB" w:rsidP="00A273FB" w14:paraId="29DFC49A" w14:textId="77777777">
            <w:pPr>
              <w:jc w:val="center"/>
              <w:rPr>
                <w:rFonts w:cstheme="minorHAnsi"/>
                <w:bCs/>
                <w:color w:val="auto"/>
                <w:sz w:val="20"/>
                <w:szCs w:val="20"/>
              </w:rPr>
            </w:pPr>
          </w:p>
        </w:tc>
        <w:tc>
          <w:tcPr>
            <w:tcW w:w="2694" w:type="dxa"/>
            <w:tcBorders>
              <w:bottom w:val="single" w:sz="4" w:space="0" w:color="auto"/>
            </w:tcBorders>
            <w:vAlign w:val="center"/>
          </w:tcPr>
          <w:p w:rsidR="00A273FB" w:rsidRPr="00A273FB" w:rsidP="00A273FB" w14:paraId="08860637" w14:textId="77777777">
            <w:pPr>
              <w:jc w:val="center"/>
              <w:rPr>
                <w:rFonts w:cstheme="minorHAnsi"/>
                <w:bCs/>
                <w:color w:val="auto"/>
                <w:sz w:val="20"/>
                <w:szCs w:val="20"/>
              </w:rPr>
            </w:pPr>
            <w:r w:rsidRPr="00A273FB">
              <w:rPr>
                <w:rFonts w:cstheme="minorHAnsi"/>
                <w:bCs/>
                <w:color w:val="auto"/>
                <w:sz w:val="20"/>
                <w:szCs w:val="20"/>
              </w:rPr>
              <w:t>25‒64 nejnižší kvintil: 19 %</w:t>
            </w:r>
          </w:p>
          <w:p w:rsidR="00A273FB" w:rsidRPr="00A273FB" w:rsidP="00A273FB" w14:paraId="18A91D49" w14:textId="77777777">
            <w:pPr>
              <w:jc w:val="center"/>
              <w:rPr>
                <w:rFonts w:cstheme="minorHAnsi"/>
                <w:bCs/>
                <w:color w:val="auto"/>
                <w:sz w:val="20"/>
                <w:szCs w:val="20"/>
              </w:rPr>
            </w:pPr>
            <w:r w:rsidRPr="00A273FB">
              <w:rPr>
                <w:rFonts w:cstheme="minorHAnsi"/>
                <w:bCs/>
                <w:color w:val="auto"/>
                <w:sz w:val="20"/>
                <w:szCs w:val="20"/>
              </w:rPr>
              <w:t>25-64 nejvyšší kvintil: 10 %</w:t>
            </w:r>
          </w:p>
          <w:p w:rsidR="00A273FB" w:rsidRPr="00A273FB" w:rsidP="00A273FB" w14:paraId="2AD540EE" w14:textId="77777777">
            <w:pPr>
              <w:jc w:val="center"/>
              <w:rPr>
                <w:rFonts w:cstheme="minorHAnsi"/>
                <w:bCs/>
                <w:color w:val="auto"/>
                <w:sz w:val="20"/>
                <w:szCs w:val="20"/>
              </w:rPr>
            </w:pPr>
            <w:r w:rsidRPr="00A273FB">
              <w:rPr>
                <w:rFonts w:cstheme="minorHAnsi"/>
                <w:bCs/>
                <w:color w:val="auto"/>
                <w:sz w:val="20"/>
                <w:szCs w:val="20"/>
              </w:rPr>
              <w:t>65+ nejnižší kvintil: 43 %</w:t>
            </w:r>
          </w:p>
          <w:p w:rsidR="00A273FB" w:rsidRPr="00A273FB" w:rsidP="00A273FB" w14:paraId="5228A1E8" w14:textId="77777777">
            <w:pPr>
              <w:jc w:val="center"/>
              <w:rPr>
                <w:rFonts w:cstheme="minorHAnsi"/>
                <w:bCs/>
                <w:color w:val="auto"/>
                <w:sz w:val="20"/>
                <w:szCs w:val="20"/>
              </w:rPr>
            </w:pPr>
            <w:r w:rsidRPr="00A273FB">
              <w:rPr>
                <w:rFonts w:cstheme="minorHAnsi"/>
                <w:bCs/>
                <w:color w:val="auto"/>
                <w:sz w:val="20"/>
                <w:szCs w:val="20"/>
              </w:rPr>
              <w:t>65+ nejvyšší kvintil: 29 %</w:t>
            </w:r>
          </w:p>
          <w:p w:rsidR="00A273FB" w:rsidRPr="00A273FB" w:rsidP="00A273FB" w14:paraId="7BD82B00" w14:textId="77777777">
            <w:pPr>
              <w:jc w:val="center"/>
              <w:rPr>
                <w:rFonts w:cstheme="minorHAnsi"/>
                <w:bCs/>
                <w:color w:val="auto"/>
                <w:sz w:val="20"/>
                <w:szCs w:val="20"/>
              </w:rPr>
            </w:pPr>
          </w:p>
        </w:tc>
      </w:tr>
      <w:tr w14:paraId="79B4DF5E" w14:textId="77777777" w:rsidTr="00A273FB">
        <w:tblPrEx>
          <w:tblW w:w="0" w:type="auto"/>
          <w:tblLook w:val="04A0"/>
        </w:tblPrEx>
        <w:tc>
          <w:tcPr>
            <w:tcW w:w="2689" w:type="dxa"/>
            <w:shd w:val="clear" w:color="auto" w:fill="9BBB59" w:themeFill="accent3"/>
            <w:vAlign w:val="center"/>
          </w:tcPr>
          <w:p w:rsidR="00A273FB" w:rsidRPr="00A273FB" w:rsidP="00A273FB" w14:paraId="205B25F0" w14:textId="2FF2A5D1">
            <w:pPr>
              <w:jc w:val="center"/>
              <w:rPr>
                <w:rFonts w:cstheme="minorHAnsi"/>
                <w:bCs/>
                <w:color w:val="auto"/>
                <w:sz w:val="20"/>
                <w:szCs w:val="20"/>
              </w:rPr>
            </w:pPr>
            <w:r w:rsidRPr="00A273FB">
              <w:rPr>
                <w:rFonts w:cstheme="minorHAnsi"/>
                <w:bCs/>
                <w:color w:val="auto"/>
                <w:sz w:val="20"/>
                <w:szCs w:val="20"/>
              </w:rPr>
              <w:t>Průměrný věk praktických lékařů</w:t>
            </w:r>
          </w:p>
        </w:tc>
        <w:tc>
          <w:tcPr>
            <w:tcW w:w="3543" w:type="dxa"/>
            <w:shd w:val="clear" w:color="auto" w:fill="9BBB59" w:themeFill="accent3"/>
            <w:vAlign w:val="center"/>
          </w:tcPr>
          <w:p w:rsidR="00A273FB" w:rsidRPr="00A273FB" w:rsidP="00A273FB" w14:paraId="63CB1A03" w14:textId="0AD005C5">
            <w:pPr>
              <w:jc w:val="center"/>
              <w:rPr>
                <w:rFonts w:cstheme="minorHAnsi"/>
                <w:bCs/>
                <w:color w:val="auto"/>
                <w:sz w:val="20"/>
                <w:szCs w:val="20"/>
              </w:rPr>
            </w:pPr>
            <w:r w:rsidRPr="00A273FB">
              <w:rPr>
                <w:rFonts w:cstheme="minorHAnsi"/>
                <w:bCs/>
                <w:color w:val="auto"/>
                <w:sz w:val="20"/>
                <w:szCs w:val="20"/>
              </w:rPr>
              <w:t>Věk</w:t>
            </w:r>
          </w:p>
        </w:tc>
        <w:tc>
          <w:tcPr>
            <w:tcW w:w="2835" w:type="dxa"/>
            <w:shd w:val="clear" w:color="auto" w:fill="9BBB59" w:themeFill="accent3"/>
            <w:vAlign w:val="center"/>
          </w:tcPr>
          <w:p w:rsidR="00A273FB" w:rsidRPr="00A273FB" w:rsidP="00A273FB" w14:paraId="01B1DD47" w14:textId="77777777">
            <w:pPr>
              <w:jc w:val="center"/>
              <w:rPr>
                <w:rFonts w:cstheme="minorHAnsi"/>
                <w:bCs/>
                <w:color w:val="auto"/>
                <w:sz w:val="20"/>
                <w:szCs w:val="20"/>
              </w:rPr>
            </w:pPr>
            <w:r w:rsidRPr="00A273FB">
              <w:rPr>
                <w:rFonts w:cstheme="minorHAnsi"/>
                <w:bCs/>
                <w:color w:val="auto"/>
                <w:sz w:val="20"/>
                <w:szCs w:val="20"/>
              </w:rPr>
              <w:t>56</w:t>
            </w:r>
          </w:p>
        </w:tc>
        <w:tc>
          <w:tcPr>
            <w:tcW w:w="2694" w:type="dxa"/>
            <w:shd w:val="clear" w:color="auto" w:fill="9BBB59" w:themeFill="accent3"/>
            <w:vAlign w:val="center"/>
          </w:tcPr>
          <w:p w:rsidR="00A273FB" w:rsidRPr="00A273FB" w:rsidP="00A273FB" w14:paraId="1F82ADC2" w14:textId="77777777">
            <w:pPr>
              <w:jc w:val="center"/>
              <w:rPr>
                <w:rFonts w:cstheme="minorHAnsi"/>
                <w:bCs/>
                <w:color w:val="auto"/>
                <w:sz w:val="20"/>
                <w:szCs w:val="20"/>
              </w:rPr>
            </w:pPr>
            <w:r w:rsidRPr="00A273FB">
              <w:rPr>
                <w:rFonts w:cstheme="minorHAnsi"/>
                <w:bCs/>
                <w:color w:val="auto"/>
                <w:sz w:val="20"/>
                <w:szCs w:val="20"/>
              </w:rPr>
              <w:t>50</w:t>
            </w:r>
          </w:p>
        </w:tc>
      </w:tr>
      <w:tr w14:paraId="670D437E" w14:textId="77777777" w:rsidTr="00A273FB">
        <w:tblPrEx>
          <w:tblW w:w="0" w:type="auto"/>
          <w:tblLook w:val="04A0"/>
        </w:tblPrEx>
        <w:tc>
          <w:tcPr>
            <w:tcW w:w="2689" w:type="dxa"/>
            <w:shd w:val="clear" w:color="auto" w:fill="9BBB59" w:themeFill="accent3"/>
            <w:vAlign w:val="center"/>
          </w:tcPr>
          <w:p w:rsidR="00A273FB" w:rsidRPr="00A273FB" w:rsidP="00A273FB" w14:paraId="1D1D96A6" w14:textId="77777777">
            <w:pPr>
              <w:jc w:val="center"/>
              <w:rPr>
                <w:rFonts w:cstheme="minorHAnsi"/>
                <w:bCs/>
                <w:color w:val="auto"/>
                <w:sz w:val="20"/>
                <w:szCs w:val="20"/>
              </w:rPr>
            </w:pPr>
            <w:r w:rsidRPr="00A273FB">
              <w:rPr>
                <w:rFonts w:cstheme="minorHAnsi"/>
                <w:bCs/>
                <w:color w:val="auto"/>
                <w:sz w:val="20"/>
                <w:szCs w:val="20"/>
              </w:rPr>
              <w:t xml:space="preserve">Veřejné výdaje na prevenci </w:t>
            </w:r>
            <w:r w:rsidRPr="00A273FB">
              <w:rPr>
                <w:rFonts w:cstheme="minorHAnsi"/>
                <w:bCs/>
                <w:color w:val="auto"/>
                <w:sz w:val="20"/>
                <w:szCs w:val="20"/>
                <w:vertAlign w:val="superscript"/>
              </w:rPr>
              <w:t>3</w:t>
            </w:r>
          </w:p>
        </w:tc>
        <w:tc>
          <w:tcPr>
            <w:tcW w:w="3543" w:type="dxa"/>
            <w:shd w:val="clear" w:color="auto" w:fill="9BBB59" w:themeFill="accent3"/>
            <w:vAlign w:val="center"/>
          </w:tcPr>
          <w:p w:rsidR="00A273FB" w:rsidRPr="00A273FB" w:rsidP="00A273FB" w14:paraId="13291E12" w14:textId="6979FB94">
            <w:pPr>
              <w:jc w:val="center"/>
              <w:rPr>
                <w:rFonts w:cstheme="minorHAnsi"/>
                <w:bCs/>
                <w:color w:val="auto"/>
                <w:sz w:val="20"/>
                <w:szCs w:val="20"/>
              </w:rPr>
            </w:pPr>
            <w:r w:rsidRPr="00A273FB">
              <w:rPr>
                <w:rFonts w:cstheme="minorHAnsi"/>
                <w:bCs/>
                <w:color w:val="auto"/>
                <w:sz w:val="20"/>
                <w:szCs w:val="20"/>
              </w:rPr>
              <w:t>Podíl veřejných výdajů na prevenci na celkových veřejných výdajích na zdraví</w:t>
            </w:r>
          </w:p>
        </w:tc>
        <w:tc>
          <w:tcPr>
            <w:tcW w:w="2835" w:type="dxa"/>
            <w:shd w:val="clear" w:color="auto" w:fill="9BBB59" w:themeFill="accent3"/>
            <w:vAlign w:val="center"/>
          </w:tcPr>
          <w:p w:rsidR="00A273FB" w:rsidRPr="00A273FB" w:rsidP="00A273FB" w14:paraId="2B73621F" w14:textId="77777777">
            <w:pPr>
              <w:jc w:val="center"/>
              <w:rPr>
                <w:rFonts w:cstheme="minorHAnsi"/>
                <w:bCs/>
                <w:color w:val="auto"/>
                <w:sz w:val="20"/>
                <w:szCs w:val="20"/>
              </w:rPr>
            </w:pPr>
            <w:r w:rsidRPr="00A273FB">
              <w:rPr>
                <w:rFonts w:cstheme="minorHAnsi"/>
                <w:bCs/>
                <w:color w:val="auto"/>
                <w:sz w:val="20"/>
                <w:szCs w:val="20"/>
              </w:rPr>
              <w:t>2,7 %</w:t>
            </w:r>
          </w:p>
        </w:tc>
        <w:tc>
          <w:tcPr>
            <w:tcW w:w="2694" w:type="dxa"/>
            <w:shd w:val="clear" w:color="auto" w:fill="9BBB59" w:themeFill="accent3"/>
            <w:vAlign w:val="center"/>
          </w:tcPr>
          <w:p w:rsidR="00A273FB" w:rsidRPr="00A273FB" w:rsidP="00A273FB" w14:paraId="048800FA" w14:textId="77777777">
            <w:pPr>
              <w:jc w:val="center"/>
              <w:rPr>
                <w:rFonts w:cstheme="minorHAnsi"/>
                <w:bCs/>
                <w:color w:val="auto"/>
                <w:sz w:val="20"/>
                <w:szCs w:val="20"/>
              </w:rPr>
            </w:pPr>
            <w:r w:rsidRPr="00A273FB">
              <w:rPr>
                <w:rFonts w:cstheme="minorHAnsi"/>
                <w:bCs/>
                <w:color w:val="auto"/>
                <w:sz w:val="20"/>
                <w:szCs w:val="20"/>
              </w:rPr>
              <w:t>4,5 %</w:t>
            </w:r>
          </w:p>
        </w:tc>
      </w:tr>
      <w:tr w14:paraId="5812709E" w14:textId="77777777" w:rsidTr="00A273FB">
        <w:tblPrEx>
          <w:tblW w:w="0" w:type="auto"/>
          <w:tblLook w:val="04A0"/>
        </w:tblPrEx>
        <w:tc>
          <w:tcPr>
            <w:tcW w:w="2689" w:type="dxa"/>
            <w:shd w:val="clear" w:color="auto" w:fill="9BBB59" w:themeFill="accent3"/>
            <w:vAlign w:val="center"/>
          </w:tcPr>
          <w:p w:rsidR="00A273FB" w:rsidRPr="00A273FB" w:rsidP="00A273FB" w14:paraId="3A39C3B2" w14:textId="07B552A2">
            <w:pPr>
              <w:jc w:val="center"/>
              <w:rPr>
                <w:rFonts w:cstheme="minorHAnsi"/>
                <w:bCs/>
                <w:color w:val="auto"/>
                <w:sz w:val="20"/>
                <w:szCs w:val="20"/>
              </w:rPr>
            </w:pPr>
            <w:r w:rsidRPr="00A273FB">
              <w:rPr>
                <w:rFonts w:cstheme="minorHAnsi"/>
                <w:bCs/>
                <w:color w:val="auto"/>
                <w:sz w:val="20"/>
                <w:szCs w:val="20"/>
              </w:rPr>
              <w:t>Podíl osob s rizikovou konzumací alkoholu</w:t>
            </w:r>
          </w:p>
        </w:tc>
        <w:tc>
          <w:tcPr>
            <w:tcW w:w="3543" w:type="dxa"/>
            <w:shd w:val="clear" w:color="auto" w:fill="9BBB59" w:themeFill="accent3"/>
            <w:vAlign w:val="center"/>
          </w:tcPr>
          <w:p w:rsidR="00A273FB" w:rsidRPr="00A273FB" w:rsidP="00A273FB" w14:paraId="551543BA" w14:textId="522FB99D">
            <w:pPr>
              <w:jc w:val="center"/>
              <w:rPr>
                <w:rFonts w:cstheme="minorHAnsi"/>
                <w:bCs/>
                <w:color w:val="auto"/>
                <w:sz w:val="20"/>
                <w:szCs w:val="20"/>
              </w:rPr>
            </w:pPr>
            <w:r w:rsidRPr="00A273FB">
              <w:rPr>
                <w:rFonts w:cstheme="minorHAnsi"/>
                <w:bCs/>
                <w:color w:val="auto"/>
                <w:sz w:val="20"/>
                <w:szCs w:val="20"/>
              </w:rPr>
              <w:t>Podíl osob konzumujících 6 a více alkoholických nápojů při jedné příležitosti alespoň jednou měsíčně</w:t>
            </w:r>
          </w:p>
        </w:tc>
        <w:tc>
          <w:tcPr>
            <w:tcW w:w="2835" w:type="dxa"/>
            <w:shd w:val="clear" w:color="auto" w:fill="9BBB59" w:themeFill="accent3"/>
            <w:vAlign w:val="center"/>
          </w:tcPr>
          <w:p w:rsidR="00A273FB" w:rsidRPr="00A273FB" w:rsidP="00A273FB" w14:paraId="2BD41C06" w14:textId="0BF08EAF">
            <w:pPr>
              <w:jc w:val="center"/>
              <w:rPr>
                <w:rFonts w:cstheme="minorHAnsi"/>
                <w:bCs/>
                <w:color w:val="auto"/>
                <w:sz w:val="20"/>
                <w:szCs w:val="20"/>
              </w:rPr>
            </w:pPr>
            <w:r w:rsidRPr="00A273FB">
              <w:rPr>
                <w:rFonts w:cstheme="minorHAnsi"/>
                <w:bCs/>
                <w:color w:val="auto"/>
                <w:sz w:val="20"/>
                <w:szCs w:val="20"/>
              </w:rPr>
              <w:t>14,9 %</w:t>
            </w:r>
          </w:p>
          <w:p w:rsidR="00A273FB" w:rsidRPr="00A273FB" w:rsidP="00A273FB" w14:paraId="0343E9C6" w14:textId="77777777">
            <w:pPr>
              <w:jc w:val="center"/>
              <w:rPr>
                <w:rFonts w:cstheme="minorHAnsi"/>
                <w:bCs/>
                <w:color w:val="auto"/>
                <w:sz w:val="20"/>
                <w:szCs w:val="20"/>
              </w:rPr>
            </w:pPr>
          </w:p>
        </w:tc>
        <w:tc>
          <w:tcPr>
            <w:tcW w:w="2694" w:type="dxa"/>
            <w:shd w:val="clear" w:color="auto" w:fill="9BBB59" w:themeFill="accent3"/>
            <w:vAlign w:val="center"/>
          </w:tcPr>
          <w:p w:rsidR="00A273FB" w:rsidRPr="00A273FB" w:rsidP="00A273FB" w14:paraId="5F6C115E" w14:textId="77777777">
            <w:pPr>
              <w:jc w:val="center"/>
              <w:rPr>
                <w:rFonts w:cstheme="minorHAnsi"/>
                <w:bCs/>
                <w:color w:val="auto"/>
                <w:sz w:val="20"/>
                <w:szCs w:val="20"/>
              </w:rPr>
            </w:pPr>
            <w:r w:rsidRPr="00A273FB">
              <w:rPr>
                <w:rFonts w:cstheme="minorHAnsi"/>
                <w:bCs/>
                <w:color w:val="auto"/>
                <w:sz w:val="20"/>
                <w:szCs w:val="20"/>
              </w:rPr>
              <w:t>7,5 %</w:t>
            </w:r>
          </w:p>
        </w:tc>
      </w:tr>
      <w:tr w14:paraId="45830446" w14:textId="77777777" w:rsidTr="00A273FB">
        <w:tblPrEx>
          <w:tblW w:w="0" w:type="auto"/>
          <w:tblLook w:val="04A0"/>
        </w:tblPrEx>
        <w:tc>
          <w:tcPr>
            <w:tcW w:w="2689" w:type="dxa"/>
            <w:tcBorders>
              <w:bottom w:val="single" w:sz="4" w:space="0" w:color="auto"/>
            </w:tcBorders>
            <w:shd w:val="clear" w:color="auto" w:fill="9BBB59" w:themeFill="accent3"/>
            <w:vAlign w:val="center"/>
          </w:tcPr>
          <w:p w:rsidR="00A273FB" w:rsidRPr="00A273FB" w:rsidP="00A273FB" w14:paraId="56773D02" w14:textId="269E9077">
            <w:pPr>
              <w:jc w:val="center"/>
              <w:rPr>
                <w:rFonts w:cstheme="minorHAnsi"/>
                <w:bCs/>
                <w:color w:val="auto"/>
                <w:sz w:val="20"/>
                <w:szCs w:val="20"/>
              </w:rPr>
            </w:pPr>
            <w:r w:rsidRPr="00A273FB">
              <w:rPr>
                <w:rFonts w:cstheme="minorHAnsi"/>
                <w:bCs/>
                <w:color w:val="auto"/>
                <w:sz w:val="20"/>
                <w:szCs w:val="20"/>
              </w:rPr>
              <w:t>Podíl denních kuřáků</w:t>
            </w:r>
          </w:p>
        </w:tc>
        <w:tc>
          <w:tcPr>
            <w:tcW w:w="3543" w:type="dxa"/>
            <w:tcBorders>
              <w:bottom w:val="single" w:sz="4" w:space="0" w:color="auto"/>
            </w:tcBorders>
            <w:shd w:val="clear" w:color="auto" w:fill="9BBB59" w:themeFill="accent3"/>
            <w:vAlign w:val="center"/>
          </w:tcPr>
          <w:p w:rsidR="00A273FB" w:rsidRPr="00A273FB" w:rsidP="00A273FB" w14:paraId="376C46E0" w14:textId="2C18E43F">
            <w:pPr>
              <w:jc w:val="center"/>
              <w:rPr>
                <w:rFonts w:cstheme="minorHAnsi"/>
                <w:bCs/>
                <w:color w:val="auto"/>
                <w:sz w:val="20"/>
                <w:szCs w:val="20"/>
              </w:rPr>
            </w:pPr>
            <w:r w:rsidRPr="00A273FB">
              <w:rPr>
                <w:rFonts w:cstheme="minorHAnsi"/>
                <w:bCs/>
                <w:color w:val="auto"/>
                <w:sz w:val="20"/>
                <w:szCs w:val="20"/>
              </w:rPr>
              <w:t>Podíl denních kuřáků starších 15 let</w:t>
            </w:r>
          </w:p>
        </w:tc>
        <w:tc>
          <w:tcPr>
            <w:tcW w:w="2835" w:type="dxa"/>
            <w:tcBorders>
              <w:bottom w:val="single" w:sz="4" w:space="0" w:color="auto"/>
            </w:tcBorders>
            <w:shd w:val="clear" w:color="auto" w:fill="9BBB59" w:themeFill="accent3"/>
            <w:vAlign w:val="center"/>
          </w:tcPr>
          <w:p w:rsidR="00A273FB" w:rsidRPr="00A273FB" w:rsidP="00A273FB" w14:paraId="4FE7CE59" w14:textId="77777777">
            <w:pPr>
              <w:jc w:val="center"/>
              <w:rPr>
                <w:rFonts w:cstheme="minorHAnsi"/>
                <w:bCs/>
                <w:color w:val="auto"/>
                <w:sz w:val="20"/>
                <w:szCs w:val="20"/>
              </w:rPr>
            </w:pPr>
            <w:r w:rsidRPr="00A273FB">
              <w:rPr>
                <w:rFonts w:cstheme="minorHAnsi"/>
                <w:bCs/>
                <w:color w:val="auto"/>
                <w:sz w:val="20"/>
                <w:szCs w:val="20"/>
              </w:rPr>
              <w:t>21,5 %</w:t>
            </w:r>
          </w:p>
        </w:tc>
        <w:tc>
          <w:tcPr>
            <w:tcW w:w="2694" w:type="dxa"/>
            <w:tcBorders>
              <w:bottom w:val="single" w:sz="4" w:space="0" w:color="auto"/>
            </w:tcBorders>
            <w:shd w:val="clear" w:color="auto" w:fill="9BBB59" w:themeFill="accent3"/>
            <w:vAlign w:val="center"/>
          </w:tcPr>
          <w:p w:rsidR="00A273FB" w:rsidRPr="00A273FB" w:rsidP="00A273FB" w14:paraId="0AE41768" w14:textId="77777777">
            <w:pPr>
              <w:jc w:val="center"/>
              <w:rPr>
                <w:rFonts w:cstheme="minorHAnsi"/>
                <w:bCs/>
                <w:color w:val="auto"/>
                <w:sz w:val="20"/>
                <w:szCs w:val="20"/>
              </w:rPr>
            </w:pPr>
            <w:r w:rsidRPr="00A273FB">
              <w:rPr>
                <w:rFonts w:cstheme="minorHAnsi"/>
                <w:bCs/>
                <w:color w:val="auto"/>
                <w:sz w:val="20"/>
                <w:szCs w:val="20"/>
              </w:rPr>
              <w:t>15 %</w:t>
            </w:r>
          </w:p>
        </w:tc>
      </w:tr>
    </w:tbl>
    <w:p w:rsidR="00A273FB" w:rsidP="001B2F50" w14:paraId="1A656FCF" w14:textId="7A746CB4">
      <w:pPr>
        <w:rPr>
          <w:rFonts w:cs="Arial"/>
          <w:sz w:val="24"/>
        </w:rPr>
      </w:pPr>
      <w:bookmarkStart w:id="649" w:name="_Hlk203333276"/>
      <w:r>
        <w:rPr>
          <w:rFonts w:cs="Arial"/>
          <w:sz w:val="20"/>
          <w:szCs w:val="20"/>
        </w:rPr>
        <w:t xml:space="preserve">Zdroj: ÚZIS </w:t>
      </w:r>
      <w:bookmarkEnd w:id="649"/>
    </w:p>
    <w:p w:rsidR="001B2F50" w:rsidP="001B2F50" w14:paraId="358BFF3E" w14:textId="171175D5">
      <w:pPr>
        <w:rPr>
          <w:rFonts w:cs="Arial"/>
          <w:sz w:val="24"/>
        </w:rPr>
      </w:pPr>
      <w:r>
        <w:rPr>
          <w:rFonts w:cs="Arial"/>
          <w:sz w:val="24"/>
        </w:rPr>
        <w:t>Druhá tabulka uvádí indikátory sledované na úrovni jednotlivých specifických cílů</w:t>
      </w:r>
      <w:r w:rsidR="00A273FB">
        <w:rPr>
          <w:rFonts w:cs="Arial"/>
          <w:sz w:val="24"/>
        </w:rPr>
        <w:t xml:space="preserve">. </w:t>
      </w:r>
    </w:p>
    <w:p w:rsidR="00434E5A" w:rsidP="00434E5A" w14:paraId="42766141" w14:textId="77777777">
      <w:pPr>
        <w:pStyle w:val="Caption"/>
      </w:pPr>
      <w:bookmarkStart w:id="650" w:name="_Toc256000074"/>
      <w:r>
        <w:t xml:space="preserve">Tabulka </w:t>
      </w:r>
      <w:r>
        <w:fldChar w:fldCharType="begin"/>
      </w:r>
      <w:r>
        <w:instrText xml:space="preserve"> SEQ Tabulka \* ARABIC </w:instrText>
      </w:r>
      <w:r>
        <w:fldChar w:fldCharType="separate"/>
      </w:r>
      <w:r>
        <w:t>4</w:t>
      </w:r>
      <w:r>
        <w:fldChar w:fldCharType="end"/>
      </w:r>
      <w:r>
        <w:t xml:space="preserve"> </w:t>
      </w:r>
      <w:r w:rsidRPr="00BC3ED9">
        <w:t>Tabulka č. 11 Seznam indikátorů sledovaných na úrovni specifických cílů Zdraví 2035</w:t>
      </w:r>
      <w:bookmarkEnd w:id="650"/>
    </w:p>
    <w:tbl>
      <w:tblPr>
        <w:tblW w:w="12387" w:type="dxa"/>
        <w:tblCellMar>
          <w:top w:w="15" w:type="dxa"/>
          <w:left w:w="70" w:type="dxa"/>
          <w:bottom w:w="15" w:type="dxa"/>
          <w:right w:w="70" w:type="dxa"/>
        </w:tblCellMar>
        <w:tblLook w:val="04A0"/>
      </w:tblPr>
      <w:tblGrid>
        <w:gridCol w:w="1013"/>
        <w:gridCol w:w="2581"/>
        <w:gridCol w:w="2501"/>
        <w:gridCol w:w="1022"/>
        <w:gridCol w:w="1484"/>
        <w:gridCol w:w="1176"/>
        <w:gridCol w:w="1276"/>
        <w:gridCol w:w="1334"/>
      </w:tblGrid>
      <w:tr w14:paraId="1DE8C498" w14:textId="77777777" w:rsidTr="00096586">
        <w:tblPrEx>
          <w:tblW w:w="12387" w:type="dxa"/>
          <w:tblCellMar>
            <w:top w:w="15" w:type="dxa"/>
            <w:left w:w="70" w:type="dxa"/>
            <w:bottom w:w="15" w:type="dxa"/>
            <w:right w:w="70" w:type="dxa"/>
          </w:tblCellMar>
          <w:tblLook w:val="04A0"/>
        </w:tblPrEx>
        <w:trPr>
          <w:trHeight w:val="855"/>
          <w:tblHeader/>
        </w:trPr>
        <w:tc>
          <w:tcPr>
            <w:tcW w:w="1013" w:type="dxa"/>
            <w:tcBorders>
              <w:top w:val="single" w:sz="8" w:space="0" w:color="auto"/>
              <w:left w:val="single" w:sz="8" w:space="0" w:color="auto"/>
              <w:bottom w:val="nil"/>
              <w:right w:val="single" w:sz="8" w:space="0" w:color="auto"/>
            </w:tcBorders>
            <w:shd w:val="clear" w:color="000000" w:fill="CAEDFB"/>
          </w:tcPr>
          <w:p w:rsidR="009A5C71" w:rsidRPr="00EE3D20" w:rsidP="009906CF" w14:paraId="269268E8" w14:textId="6340444F">
            <w:pPr>
              <w:spacing w:before="0" w:after="0"/>
              <w:rPr>
                <w:rFonts w:eastAsia="Times New Roman" w:cstheme="minorHAnsi"/>
                <w:b/>
                <w:bCs/>
                <w:color w:val="000000"/>
                <w:sz w:val="20"/>
                <w:szCs w:val="20"/>
                <w:lang w:eastAsia="cs-CZ"/>
              </w:rPr>
            </w:pPr>
            <w:r w:rsidRPr="00EE3D20">
              <w:rPr>
                <w:rFonts w:eastAsia="Times New Roman" w:cstheme="minorHAnsi"/>
                <w:b/>
                <w:bCs/>
                <w:color w:val="000000"/>
                <w:sz w:val="20"/>
                <w:szCs w:val="20"/>
                <w:lang w:eastAsia="cs-CZ"/>
              </w:rPr>
              <w:t>Specifický cíl</w:t>
            </w:r>
          </w:p>
        </w:tc>
        <w:tc>
          <w:tcPr>
            <w:tcW w:w="2581" w:type="dxa"/>
            <w:tcBorders>
              <w:top w:val="single" w:sz="8" w:space="0" w:color="auto"/>
              <w:left w:val="single" w:sz="8" w:space="0" w:color="auto"/>
              <w:bottom w:val="nil"/>
              <w:right w:val="single" w:sz="8" w:space="0" w:color="auto"/>
            </w:tcBorders>
            <w:shd w:val="clear" w:color="000000" w:fill="CAEDFB"/>
            <w:vAlign w:val="center"/>
            <w:hideMark/>
          </w:tcPr>
          <w:p w:rsidR="009A5C71" w:rsidRPr="009A5C71" w:rsidP="009A5C71" w14:paraId="724FF4E0" w14:textId="15B6F2EF">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Indikátor</w:t>
            </w:r>
          </w:p>
        </w:tc>
        <w:tc>
          <w:tcPr>
            <w:tcW w:w="2501" w:type="dxa"/>
            <w:tcBorders>
              <w:top w:val="single" w:sz="8" w:space="0" w:color="auto"/>
              <w:left w:val="single" w:sz="8" w:space="0" w:color="auto"/>
              <w:bottom w:val="nil"/>
              <w:right w:val="single" w:sz="8" w:space="0" w:color="auto"/>
            </w:tcBorders>
            <w:shd w:val="clear" w:color="000000" w:fill="CAEDFB"/>
            <w:vAlign w:val="center"/>
            <w:hideMark/>
          </w:tcPr>
          <w:p w:rsidR="009A5C71" w:rsidRPr="009A5C71" w:rsidP="009A5C71" w14:paraId="00721EA7" w14:textId="77777777">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Stručná definice</w:t>
            </w:r>
          </w:p>
        </w:tc>
        <w:tc>
          <w:tcPr>
            <w:tcW w:w="1022" w:type="dxa"/>
            <w:tcBorders>
              <w:top w:val="single" w:sz="8" w:space="0" w:color="auto"/>
              <w:left w:val="single" w:sz="8" w:space="0" w:color="auto"/>
              <w:bottom w:val="nil"/>
              <w:right w:val="single" w:sz="8" w:space="0" w:color="auto"/>
            </w:tcBorders>
            <w:shd w:val="clear" w:color="000000" w:fill="CAEDFB"/>
            <w:vAlign w:val="center"/>
            <w:hideMark/>
          </w:tcPr>
          <w:p w:rsidR="009A5C71" w:rsidRPr="009A5C71" w:rsidP="009A5C71" w14:paraId="284E7ED7" w14:textId="77777777">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Gestor</w:t>
            </w:r>
          </w:p>
        </w:tc>
        <w:tc>
          <w:tcPr>
            <w:tcW w:w="1484" w:type="dxa"/>
            <w:tcBorders>
              <w:top w:val="single" w:sz="8" w:space="0" w:color="auto"/>
              <w:left w:val="single" w:sz="8" w:space="0" w:color="auto"/>
              <w:bottom w:val="nil"/>
              <w:right w:val="single" w:sz="8" w:space="0" w:color="auto"/>
            </w:tcBorders>
            <w:shd w:val="clear" w:color="000000" w:fill="CAEDFB"/>
            <w:vAlign w:val="center"/>
            <w:hideMark/>
          </w:tcPr>
          <w:p w:rsidR="009A5C71" w:rsidRPr="009A5C71" w:rsidP="009A5C71" w14:paraId="6664B5F6" w14:textId="77777777">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jednotka</w:t>
            </w:r>
          </w:p>
        </w:tc>
        <w:tc>
          <w:tcPr>
            <w:tcW w:w="1176" w:type="dxa"/>
            <w:tcBorders>
              <w:top w:val="single" w:sz="8" w:space="0" w:color="auto"/>
              <w:left w:val="single" w:sz="8" w:space="0" w:color="auto"/>
              <w:bottom w:val="nil"/>
              <w:right w:val="single" w:sz="8" w:space="0" w:color="auto"/>
            </w:tcBorders>
            <w:shd w:val="clear" w:color="000000" w:fill="CAEDFB"/>
            <w:vAlign w:val="center"/>
            <w:hideMark/>
          </w:tcPr>
          <w:p w:rsidR="009A5C71" w:rsidRPr="009A5C71" w:rsidP="009A5C71" w14:paraId="40A59B3C" w14:textId="77777777">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Frekvence sběru dat</w:t>
            </w:r>
          </w:p>
        </w:tc>
        <w:tc>
          <w:tcPr>
            <w:tcW w:w="1276" w:type="dxa"/>
            <w:tcBorders>
              <w:top w:val="single" w:sz="8" w:space="0" w:color="auto"/>
              <w:left w:val="single" w:sz="8" w:space="0" w:color="auto"/>
              <w:bottom w:val="nil"/>
              <w:right w:val="single" w:sz="8" w:space="0" w:color="auto"/>
            </w:tcBorders>
            <w:shd w:val="clear" w:color="000000" w:fill="CAEDFB"/>
            <w:vAlign w:val="center"/>
            <w:hideMark/>
          </w:tcPr>
          <w:p w:rsidR="009A5C71" w:rsidRPr="009A5C71" w:rsidP="009A5C71" w14:paraId="2C412E81" w14:textId="77777777">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Hodnota k 31.12.2023</w:t>
            </w:r>
          </w:p>
        </w:tc>
        <w:tc>
          <w:tcPr>
            <w:tcW w:w="1334" w:type="dxa"/>
            <w:tcBorders>
              <w:top w:val="single" w:sz="8" w:space="0" w:color="auto"/>
              <w:left w:val="nil"/>
              <w:bottom w:val="nil"/>
              <w:right w:val="single" w:sz="8" w:space="0" w:color="auto"/>
            </w:tcBorders>
            <w:shd w:val="clear" w:color="000000" w:fill="CAEDFB"/>
            <w:vAlign w:val="center"/>
            <w:hideMark/>
          </w:tcPr>
          <w:p w:rsidR="009A5C71" w:rsidRPr="009A5C71" w:rsidP="009A5C71" w14:paraId="70483A12" w14:textId="08B2C251">
            <w:pPr>
              <w:spacing w:before="0" w:after="0"/>
              <w:jc w:val="center"/>
              <w:rPr>
                <w:rFonts w:eastAsia="Times New Roman" w:cstheme="minorHAnsi"/>
                <w:b/>
                <w:bCs/>
                <w:color w:val="000000"/>
                <w:sz w:val="20"/>
                <w:szCs w:val="20"/>
                <w:lang w:eastAsia="cs-CZ"/>
              </w:rPr>
            </w:pPr>
            <w:r w:rsidRPr="009A5C71">
              <w:rPr>
                <w:rFonts w:eastAsia="Times New Roman" w:cstheme="minorHAnsi"/>
                <w:b/>
                <w:bCs/>
                <w:color w:val="000000"/>
                <w:sz w:val="20"/>
                <w:szCs w:val="20"/>
                <w:lang w:eastAsia="cs-CZ"/>
              </w:rPr>
              <w:t>Cílový stav</w:t>
            </w:r>
            <w:r w:rsidRPr="009A5C71" w:rsidR="009906CF">
              <w:rPr>
                <w:rFonts w:eastAsia="Times New Roman" w:cstheme="minorHAnsi"/>
                <w:b/>
                <w:bCs/>
                <w:color w:val="000000"/>
                <w:sz w:val="20"/>
                <w:szCs w:val="20"/>
                <w:lang w:eastAsia="cs-CZ"/>
              </w:rPr>
              <w:t>-2035</w:t>
            </w:r>
          </w:p>
        </w:tc>
      </w:tr>
      <w:tr w14:paraId="530C8C1D" w14:textId="77777777" w:rsidTr="00096586">
        <w:tblPrEx>
          <w:tblW w:w="12387" w:type="dxa"/>
          <w:tblCellMar>
            <w:top w:w="15" w:type="dxa"/>
            <w:left w:w="70" w:type="dxa"/>
            <w:bottom w:w="15" w:type="dxa"/>
            <w:right w:w="70" w:type="dxa"/>
          </w:tblCellMar>
          <w:tblLook w:val="04A0"/>
        </w:tblPrEx>
        <w:trPr>
          <w:trHeight w:val="1024"/>
        </w:trPr>
        <w:tc>
          <w:tcPr>
            <w:tcW w:w="1013" w:type="dxa"/>
            <w:tcBorders>
              <w:top w:val="single" w:sz="8" w:space="0" w:color="auto"/>
              <w:left w:val="single" w:sz="8" w:space="0" w:color="auto"/>
              <w:bottom w:val="nil"/>
              <w:right w:val="single" w:sz="8" w:space="0" w:color="auto"/>
            </w:tcBorders>
            <w:shd w:val="clear" w:color="000000" w:fill="FFFFFF"/>
          </w:tcPr>
          <w:p w:rsidR="009A5C71" w:rsidRPr="00EE3D20" w:rsidP="009A5C71" w14:paraId="5324C3FF" w14:textId="55E04C83">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1.1</w:t>
            </w:r>
          </w:p>
        </w:tc>
        <w:tc>
          <w:tcPr>
            <w:tcW w:w="2581"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4455D518" w14:textId="1535FC82">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Veřejné výdaje na prevenci</w:t>
            </w:r>
          </w:p>
        </w:tc>
        <w:tc>
          <w:tcPr>
            <w:tcW w:w="2501"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2BDCD7C1"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veřejných výdajů na prevenci na celkových veřejných výdajích na zdraví</w:t>
            </w:r>
          </w:p>
        </w:tc>
        <w:tc>
          <w:tcPr>
            <w:tcW w:w="1022"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0253A0C1"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ÚZIS, MZD-HH/OVZ</w:t>
            </w:r>
          </w:p>
        </w:tc>
        <w:tc>
          <w:tcPr>
            <w:tcW w:w="1484"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5D4AAC1B"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14B97728"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1x ročně</w:t>
            </w:r>
          </w:p>
        </w:tc>
        <w:tc>
          <w:tcPr>
            <w:tcW w:w="1276" w:type="dxa"/>
            <w:tcBorders>
              <w:top w:val="single" w:sz="8" w:space="0" w:color="auto"/>
              <w:left w:val="single" w:sz="8" w:space="0" w:color="auto"/>
              <w:bottom w:val="nil"/>
              <w:right w:val="single" w:sz="8" w:space="0" w:color="auto"/>
            </w:tcBorders>
            <w:shd w:val="clear" w:color="auto" w:fill="auto"/>
            <w:vAlign w:val="center"/>
            <w:hideMark/>
          </w:tcPr>
          <w:p w:rsidR="009A5C71" w:rsidRPr="009A5C71" w:rsidP="009A5C71" w14:paraId="2A1D00DD" w14:textId="77777777">
            <w:pPr>
              <w:spacing w:before="0" w:after="0"/>
              <w:jc w:val="center"/>
              <w:rPr>
                <w:rFonts w:eastAsia="Times New Roman" w:cstheme="minorHAnsi"/>
                <w:color w:val="467886"/>
                <w:sz w:val="20"/>
                <w:szCs w:val="20"/>
                <w:u w:val="single"/>
                <w:lang w:eastAsia="cs-CZ"/>
              </w:rPr>
            </w:pPr>
            <w:hyperlink w:anchor="_ftn2" w:history="1">
              <w:r w:rsidRPr="009A5C71">
                <w:rPr>
                  <w:rFonts w:eastAsia="Times New Roman" w:cstheme="minorHAnsi"/>
                  <w:color w:val="467886"/>
                  <w:sz w:val="20"/>
                  <w:szCs w:val="20"/>
                  <w:u w:val="single"/>
                  <w:lang w:eastAsia="cs-CZ"/>
                </w:rPr>
                <w:t>5,2 %[2]</w:t>
              </w:r>
            </w:hyperlink>
          </w:p>
        </w:tc>
        <w:tc>
          <w:tcPr>
            <w:tcW w:w="1334"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1C8C7260" w14:textId="2459C7D3">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4,50</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0E7B13F9" w14:textId="77777777" w:rsidTr="00096586">
        <w:tblPrEx>
          <w:tblW w:w="12387" w:type="dxa"/>
          <w:tblCellMar>
            <w:top w:w="15" w:type="dxa"/>
            <w:left w:w="70" w:type="dxa"/>
            <w:bottom w:w="15" w:type="dxa"/>
            <w:right w:w="70" w:type="dxa"/>
          </w:tblCellMar>
          <w:tblLook w:val="04A0"/>
        </w:tblPrEx>
        <w:trPr>
          <w:trHeight w:val="1068"/>
        </w:trPr>
        <w:tc>
          <w:tcPr>
            <w:tcW w:w="1013" w:type="dxa"/>
            <w:tcBorders>
              <w:top w:val="single" w:sz="8" w:space="0" w:color="auto"/>
              <w:left w:val="single" w:sz="8" w:space="0" w:color="auto"/>
              <w:bottom w:val="nil"/>
              <w:right w:val="single" w:sz="8" w:space="0" w:color="auto"/>
            </w:tcBorders>
            <w:shd w:val="clear" w:color="000000" w:fill="FFFFFF"/>
          </w:tcPr>
          <w:p w:rsidR="009A5C71" w:rsidRPr="00EE3D20" w:rsidP="009A5C71" w14:paraId="035BA7BC" w14:textId="18E42837">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1.1</w:t>
            </w:r>
          </w:p>
        </w:tc>
        <w:tc>
          <w:tcPr>
            <w:tcW w:w="2581"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516AC51B" w14:textId="518556B1">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osob s rizikovou konzumací alkoholu</w:t>
            </w:r>
          </w:p>
        </w:tc>
        <w:tc>
          <w:tcPr>
            <w:tcW w:w="2501"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081873BB"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osob konzumujících 6 a více alkoholických nápojů při jedné příležitosti alespoň jednou měsíčně</w:t>
            </w:r>
          </w:p>
        </w:tc>
        <w:tc>
          <w:tcPr>
            <w:tcW w:w="1022"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2D8B04F0"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SZÚ</w:t>
            </w:r>
          </w:p>
        </w:tc>
        <w:tc>
          <w:tcPr>
            <w:tcW w:w="1484"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494926D5"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16638356"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 x ročně</w:t>
            </w:r>
          </w:p>
        </w:tc>
        <w:tc>
          <w:tcPr>
            <w:tcW w:w="1276" w:type="dxa"/>
            <w:tcBorders>
              <w:top w:val="single" w:sz="8" w:space="0" w:color="auto"/>
              <w:left w:val="nil"/>
              <w:bottom w:val="nil"/>
              <w:right w:val="single" w:sz="8" w:space="0" w:color="auto"/>
            </w:tcBorders>
            <w:shd w:val="clear" w:color="auto" w:fill="auto"/>
            <w:vAlign w:val="center"/>
            <w:hideMark/>
          </w:tcPr>
          <w:p w:rsidR="009A5C71" w:rsidRPr="009A5C71" w:rsidP="009A5C71" w14:paraId="02B23870" w14:textId="3A070420">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8,3 % rizikové pití</w:t>
            </w:r>
            <w:r w:rsidRPr="00EE3D20" w:rsidR="009906CF">
              <w:rPr>
                <w:rFonts w:eastAsia="Times New Roman" w:cstheme="minorHAnsi"/>
                <w:color w:val="000000"/>
                <w:sz w:val="20"/>
                <w:szCs w:val="20"/>
                <w:lang w:eastAsia="cs-CZ"/>
              </w:rPr>
              <w:t xml:space="preserve">, </w:t>
            </w:r>
            <w:r w:rsidRPr="009A5C71" w:rsidR="009906CF">
              <w:rPr>
                <w:rFonts w:eastAsia="Times New Roman" w:cstheme="minorHAnsi"/>
                <w:color w:val="000000"/>
                <w:sz w:val="20"/>
                <w:szCs w:val="20"/>
                <w:lang w:eastAsia="cs-CZ"/>
              </w:rPr>
              <w:t>6,3 % škodlivé pití</w:t>
            </w:r>
          </w:p>
        </w:tc>
        <w:tc>
          <w:tcPr>
            <w:tcW w:w="1334" w:type="dxa"/>
            <w:tcBorders>
              <w:top w:val="single" w:sz="8" w:space="0" w:color="auto"/>
              <w:left w:val="single" w:sz="8" w:space="0" w:color="auto"/>
              <w:bottom w:val="nil"/>
              <w:right w:val="single" w:sz="8" w:space="0" w:color="auto"/>
            </w:tcBorders>
            <w:shd w:val="clear" w:color="000000" w:fill="FFFFFF"/>
            <w:vAlign w:val="center"/>
            <w:hideMark/>
          </w:tcPr>
          <w:p w:rsidR="009A5C71" w:rsidRPr="009A5C71" w:rsidP="009A5C71" w14:paraId="3DA8C42F" w14:textId="2353B46F">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7,50</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3C28ED82" w14:textId="77777777" w:rsidTr="00096586">
        <w:tblPrEx>
          <w:tblW w:w="12387" w:type="dxa"/>
          <w:tblCellMar>
            <w:top w:w="15" w:type="dxa"/>
            <w:left w:w="70" w:type="dxa"/>
            <w:bottom w:w="15" w:type="dxa"/>
            <w:right w:w="70" w:type="dxa"/>
          </w:tblCellMar>
          <w:tblLook w:val="04A0"/>
        </w:tblPrEx>
        <w:trPr>
          <w:trHeight w:val="801"/>
        </w:trPr>
        <w:tc>
          <w:tcPr>
            <w:tcW w:w="1013" w:type="dxa"/>
            <w:tcBorders>
              <w:top w:val="single" w:sz="8" w:space="0" w:color="auto"/>
              <w:left w:val="single" w:sz="8" w:space="0" w:color="auto"/>
              <w:bottom w:val="single" w:sz="8" w:space="0" w:color="auto"/>
              <w:right w:val="single" w:sz="8" w:space="0" w:color="auto"/>
            </w:tcBorders>
            <w:shd w:val="clear" w:color="000000" w:fill="FFFFFF"/>
          </w:tcPr>
          <w:p w:rsidR="009A5C71" w:rsidRPr="00EE3D20" w:rsidP="009A5C71" w14:paraId="41AF7544" w14:textId="03E78BAB">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1.1</w:t>
            </w:r>
          </w:p>
        </w:tc>
        <w:tc>
          <w:tcPr>
            <w:tcW w:w="2581"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9A5C71" w:rsidRPr="009A5C71" w:rsidP="009A5C71" w14:paraId="1B818832" w14:textId="28578C56">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denních kuřáků</w:t>
            </w:r>
          </w:p>
        </w:tc>
        <w:tc>
          <w:tcPr>
            <w:tcW w:w="2501" w:type="dxa"/>
            <w:tcBorders>
              <w:top w:val="single" w:sz="8" w:space="0" w:color="auto"/>
              <w:left w:val="nil"/>
              <w:bottom w:val="single" w:sz="8" w:space="0" w:color="auto"/>
              <w:right w:val="single" w:sz="8" w:space="0" w:color="auto"/>
            </w:tcBorders>
            <w:shd w:val="clear" w:color="000000" w:fill="FFFFFF"/>
            <w:vAlign w:val="center"/>
            <w:hideMark/>
          </w:tcPr>
          <w:p w:rsidR="009A5C71" w:rsidRPr="009A5C71" w:rsidP="009A5C71" w14:paraId="535293B8"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denních kuřáků starších 15 let</w:t>
            </w:r>
          </w:p>
        </w:tc>
        <w:tc>
          <w:tcPr>
            <w:tcW w:w="1022" w:type="dxa"/>
            <w:tcBorders>
              <w:top w:val="single" w:sz="8" w:space="0" w:color="auto"/>
              <w:left w:val="nil"/>
              <w:bottom w:val="single" w:sz="8" w:space="0" w:color="auto"/>
              <w:right w:val="single" w:sz="8" w:space="0" w:color="auto"/>
            </w:tcBorders>
            <w:shd w:val="clear" w:color="000000" w:fill="FFFFFF"/>
            <w:vAlign w:val="center"/>
            <w:hideMark/>
          </w:tcPr>
          <w:p w:rsidR="009A5C71" w:rsidRPr="009A5C71" w:rsidP="009A5C71" w14:paraId="4C719BC9"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SZÚ</w:t>
            </w:r>
          </w:p>
        </w:tc>
        <w:tc>
          <w:tcPr>
            <w:tcW w:w="1484" w:type="dxa"/>
            <w:tcBorders>
              <w:top w:val="single" w:sz="8" w:space="0" w:color="auto"/>
              <w:left w:val="nil"/>
              <w:bottom w:val="single" w:sz="8" w:space="0" w:color="auto"/>
              <w:right w:val="single" w:sz="8" w:space="0" w:color="auto"/>
            </w:tcBorders>
            <w:shd w:val="clear" w:color="000000" w:fill="FFFFFF"/>
            <w:vAlign w:val="center"/>
            <w:hideMark/>
          </w:tcPr>
          <w:p w:rsidR="009A5C71" w:rsidRPr="009A5C71" w:rsidP="009A5C71" w14:paraId="3D724370"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nil"/>
              <w:bottom w:val="single" w:sz="8" w:space="0" w:color="auto"/>
              <w:right w:val="single" w:sz="8" w:space="0" w:color="auto"/>
            </w:tcBorders>
            <w:shd w:val="clear" w:color="000000" w:fill="FFFFFF"/>
            <w:vAlign w:val="center"/>
            <w:hideMark/>
          </w:tcPr>
          <w:p w:rsidR="009A5C71" w:rsidRPr="009A5C71" w:rsidP="009A5C71" w14:paraId="6391FC39"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1x ročně</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9A5C71" w:rsidRPr="009A5C71" w:rsidP="009A5C71" w14:paraId="7285FD0E" w14:textId="6979844E">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15,90</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c>
          <w:tcPr>
            <w:tcW w:w="1334" w:type="dxa"/>
            <w:tcBorders>
              <w:top w:val="single" w:sz="8" w:space="0" w:color="auto"/>
              <w:left w:val="nil"/>
              <w:bottom w:val="single" w:sz="8" w:space="0" w:color="auto"/>
              <w:right w:val="single" w:sz="8" w:space="0" w:color="auto"/>
            </w:tcBorders>
            <w:shd w:val="clear" w:color="000000" w:fill="FFFFFF"/>
            <w:vAlign w:val="center"/>
            <w:hideMark/>
          </w:tcPr>
          <w:p w:rsidR="009A5C71" w:rsidRPr="009A5C71" w:rsidP="009A5C71" w14:paraId="30E78012" w14:textId="5D3DC470">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15</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0A893E30" w14:textId="77777777" w:rsidTr="00096586">
        <w:tblPrEx>
          <w:tblW w:w="12387" w:type="dxa"/>
          <w:tblCellMar>
            <w:top w:w="15" w:type="dxa"/>
            <w:left w:w="70" w:type="dxa"/>
            <w:bottom w:w="15" w:type="dxa"/>
            <w:right w:w="70" w:type="dxa"/>
          </w:tblCellMar>
          <w:tblLook w:val="04A0"/>
        </w:tblPrEx>
        <w:trPr>
          <w:trHeight w:val="1935"/>
        </w:trPr>
        <w:tc>
          <w:tcPr>
            <w:tcW w:w="1013" w:type="dxa"/>
            <w:tcBorders>
              <w:top w:val="single" w:sz="8" w:space="0" w:color="auto"/>
              <w:left w:val="single" w:sz="8" w:space="0" w:color="auto"/>
              <w:bottom w:val="nil"/>
              <w:right w:val="single" w:sz="8" w:space="0" w:color="auto"/>
            </w:tcBorders>
          </w:tcPr>
          <w:p w:rsidR="009A5C71" w:rsidRPr="00EE3D20" w:rsidP="009A5C71" w14:paraId="44E987A0" w14:textId="201DEA44">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1.1</w:t>
            </w:r>
          </w:p>
        </w:tc>
        <w:tc>
          <w:tcPr>
            <w:tcW w:w="2581" w:type="dxa"/>
            <w:tcBorders>
              <w:top w:val="single" w:sz="8" w:space="0" w:color="auto"/>
              <w:left w:val="single" w:sz="8" w:space="0" w:color="auto"/>
              <w:bottom w:val="nil"/>
              <w:right w:val="single" w:sz="8" w:space="0" w:color="auto"/>
            </w:tcBorders>
            <w:vAlign w:val="center"/>
            <w:hideMark/>
          </w:tcPr>
          <w:p w:rsidR="009A5C71" w:rsidRPr="009A5C71" w:rsidP="009A5C71" w14:paraId="092C6C32" w14:textId="03328A1F">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dospělých osob s obezitou</w:t>
            </w:r>
          </w:p>
        </w:tc>
        <w:tc>
          <w:tcPr>
            <w:tcW w:w="2501" w:type="dxa"/>
            <w:tcBorders>
              <w:top w:val="single" w:sz="8" w:space="0" w:color="auto"/>
              <w:left w:val="single" w:sz="8" w:space="0" w:color="auto"/>
              <w:bottom w:val="nil"/>
              <w:right w:val="single" w:sz="8" w:space="0" w:color="auto"/>
            </w:tcBorders>
            <w:vAlign w:val="center"/>
            <w:hideMark/>
          </w:tcPr>
          <w:p w:rsidR="009A5C71" w:rsidRPr="009A5C71" w:rsidP="009A5C71" w14:paraId="083F7716"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osob s indexem tělesné hmotnosti BMI (hmotnost v kg/(výška v m)2) vyšším než 30</w:t>
            </w:r>
          </w:p>
        </w:tc>
        <w:tc>
          <w:tcPr>
            <w:tcW w:w="1022" w:type="dxa"/>
            <w:tcBorders>
              <w:top w:val="single" w:sz="8" w:space="0" w:color="auto"/>
              <w:left w:val="single" w:sz="8" w:space="0" w:color="auto"/>
              <w:bottom w:val="nil"/>
              <w:right w:val="single" w:sz="8" w:space="0" w:color="auto"/>
            </w:tcBorders>
            <w:vAlign w:val="center"/>
            <w:hideMark/>
          </w:tcPr>
          <w:p w:rsidR="009A5C71" w:rsidRPr="009A5C71" w:rsidP="009A5C71" w14:paraId="3ACDF95A"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SZÚ</w:t>
            </w:r>
          </w:p>
        </w:tc>
        <w:tc>
          <w:tcPr>
            <w:tcW w:w="1484" w:type="dxa"/>
            <w:tcBorders>
              <w:top w:val="single" w:sz="8" w:space="0" w:color="auto"/>
              <w:left w:val="single" w:sz="8" w:space="0" w:color="auto"/>
              <w:bottom w:val="nil"/>
              <w:right w:val="single" w:sz="8" w:space="0" w:color="auto"/>
            </w:tcBorders>
            <w:vAlign w:val="center"/>
            <w:hideMark/>
          </w:tcPr>
          <w:p w:rsidR="009A5C71" w:rsidRPr="009A5C71" w:rsidP="009A5C71" w14:paraId="0AE3CE3C"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single" w:sz="8" w:space="0" w:color="auto"/>
              <w:bottom w:val="nil"/>
              <w:right w:val="single" w:sz="8" w:space="0" w:color="auto"/>
            </w:tcBorders>
            <w:vAlign w:val="center"/>
            <w:hideMark/>
          </w:tcPr>
          <w:p w:rsidR="009A5C71" w:rsidRPr="009A5C71" w:rsidP="009A5C71" w14:paraId="606B93C9"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1x za 6 let</w:t>
            </w:r>
          </w:p>
        </w:tc>
        <w:tc>
          <w:tcPr>
            <w:tcW w:w="1276" w:type="dxa"/>
            <w:tcBorders>
              <w:top w:val="single" w:sz="8" w:space="0" w:color="auto"/>
              <w:left w:val="single" w:sz="8" w:space="0" w:color="auto"/>
              <w:bottom w:val="nil"/>
              <w:right w:val="single" w:sz="8" w:space="0" w:color="auto"/>
            </w:tcBorders>
            <w:shd w:val="clear" w:color="auto" w:fill="auto"/>
            <w:vAlign w:val="center"/>
            <w:hideMark/>
          </w:tcPr>
          <w:p w:rsidR="009A5C71" w:rsidRPr="009A5C71" w:rsidP="009A5C71" w14:paraId="1A116482"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19.3 % (z. 2019)</w:t>
            </w:r>
          </w:p>
        </w:tc>
        <w:tc>
          <w:tcPr>
            <w:tcW w:w="1334" w:type="dxa"/>
            <w:tcBorders>
              <w:top w:val="single" w:sz="8" w:space="0" w:color="auto"/>
              <w:left w:val="single" w:sz="8" w:space="0" w:color="auto"/>
              <w:bottom w:val="nil"/>
              <w:right w:val="single" w:sz="8" w:space="0" w:color="auto"/>
            </w:tcBorders>
            <w:vAlign w:val="center"/>
            <w:hideMark/>
          </w:tcPr>
          <w:p w:rsidR="009A5C71" w:rsidRPr="009A5C71" w:rsidP="009A5C71" w14:paraId="0A376779" w14:textId="25A5ECC8">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17</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70E9039F" w14:textId="77777777" w:rsidTr="00096586">
        <w:tblPrEx>
          <w:tblW w:w="12387" w:type="dxa"/>
          <w:tblCellMar>
            <w:top w:w="15" w:type="dxa"/>
            <w:left w:w="70" w:type="dxa"/>
            <w:bottom w:w="15" w:type="dxa"/>
            <w:right w:w="70" w:type="dxa"/>
          </w:tblCellMar>
          <w:tblLook w:val="04A0"/>
        </w:tblPrEx>
        <w:trPr>
          <w:trHeight w:val="1476"/>
        </w:trPr>
        <w:tc>
          <w:tcPr>
            <w:tcW w:w="1013" w:type="dxa"/>
            <w:tcBorders>
              <w:top w:val="single" w:sz="8" w:space="0" w:color="auto"/>
              <w:left w:val="single" w:sz="8" w:space="0" w:color="auto"/>
              <w:bottom w:val="single" w:sz="8" w:space="0" w:color="auto"/>
              <w:right w:val="single" w:sz="8" w:space="0" w:color="auto"/>
            </w:tcBorders>
          </w:tcPr>
          <w:p w:rsidR="009A5C71" w:rsidRPr="00EE3D20" w:rsidP="009A5C71" w14:paraId="73F53DE6" w14:textId="36B1093F">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1.1</w:t>
            </w:r>
          </w:p>
        </w:tc>
        <w:tc>
          <w:tcPr>
            <w:tcW w:w="2581" w:type="dxa"/>
            <w:tcBorders>
              <w:top w:val="single" w:sz="8" w:space="0" w:color="auto"/>
              <w:left w:val="single" w:sz="8" w:space="0" w:color="auto"/>
              <w:bottom w:val="single" w:sz="8" w:space="0" w:color="auto"/>
              <w:right w:val="single" w:sz="8" w:space="0" w:color="auto"/>
            </w:tcBorders>
            <w:vAlign w:val="center"/>
            <w:hideMark/>
          </w:tcPr>
          <w:p w:rsidR="009A5C71" w:rsidRPr="009A5C71" w:rsidP="009A5C71" w14:paraId="47681653" w14:textId="571FA4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dětí a mladistvých (do 18 let) s obezitou</w:t>
            </w:r>
          </w:p>
        </w:tc>
        <w:tc>
          <w:tcPr>
            <w:tcW w:w="2501" w:type="dxa"/>
            <w:tcBorders>
              <w:top w:val="single" w:sz="8" w:space="0" w:color="auto"/>
              <w:left w:val="nil"/>
              <w:bottom w:val="single" w:sz="8" w:space="0" w:color="auto"/>
              <w:right w:val="single" w:sz="8" w:space="0" w:color="auto"/>
            </w:tcBorders>
            <w:vAlign w:val="center"/>
            <w:hideMark/>
          </w:tcPr>
          <w:p w:rsidR="009A5C71" w:rsidRPr="009A5C71" w:rsidP="009A5C71" w14:paraId="7F2D5B9E"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Podíl dětí a mladistvých jejichž index tělesné hmotnosti BMI odpovídá hodnotám pro obezitu v závislosti na věku a pohlaví dle příslušného rozmezí na růstových grafech pro děti a dospívajících</w:t>
            </w:r>
          </w:p>
        </w:tc>
        <w:tc>
          <w:tcPr>
            <w:tcW w:w="1022" w:type="dxa"/>
            <w:tcBorders>
              <w:top w:val="single" w:sz="8" w:space="0" w:color="auto"/>
              <w:left w:val="nil"/>
              <w:bottom w:val="single" w:sz="8" w:space="0" w:color="auto"/>
              <w:right w:val="single" w:sz="8" w:space="0" w:color="auto"/>
            </w:tcBorders>
            <w:vAlign w:val="center"/>
            <w:hideMark/>
          </w:tcPr>
          <w:p w:rsidR="009A5C71" w:rsidRPr="009A5C71" w:rsidP="009A5C71" w14:paraId="50C228AF"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SZÚ</w:t>
            </w:r>
          </w:p>
        </w:tc>
        <w:tc>
          <w:tcPr>
            <w:tcW w:w="1484" w:type="dxa"/>
            <w:tcBorders>
              <w:top w:val="single" w:sz="8" w:space="0" w:color="auto"/>
              <w:left w:val="nil"/>
              <w:bottom w:val="single" w:sz="8" w:space="0" w:color="auto"/>
              <w:right w:val="single" w:sz="8" w:space="0" w:color="auto"/>
            </w:tcBorders>
            <w:vAlign w:val="center"/>
            <w:hideMark/>
          </w:tcPr>
          <w:p w:rsidR="009A5C71" w:rsidRPr="009A5C71" w:rsidP="009A5C71" w14:paraId="439FB1BE"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nil"/>
              <w:bottom w:val="single" w:sz="8" w:space="0" w:color="auto"/>
              <w:right w:val="single" w:sz="8" w:space="0" w:color="auto"/>
            </w:tcBorders>
            <w:vAlign w:val="center"/>
            <w:hideMark/>
          </w:tcPr>
          <w:p w:rsidR="009A5C71" w:rsidRPr="009A5C71" w:rsidP="009A5C71" w14:paraId="60729CA4" w14:textId="7777777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1x za 5-6 let</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9A5C71" w:rsidRPr="009A5C71" w:rsidP="009A5C71" w14:paraId="27F01885" w14:textId="77777777">
            <w:pPr>
              <w:spacing w:before="0" w:after="0"/>
              <w:jc w:val="center"/>
              <w:rPr>
                <w:rFonts w:eastAsia="Times New Roman" w:cstheme="minorHAnsi"/>
                <w:color w:val="467886"/>
                <w:sz w:val="20"/>
                <w:szCs w:val="20"/>
                <w:u w:val="single"/>
                <w:lang w:eastAsia="cs-CZ"/>
              </w:rPr>
            </w:pPr>
            <w:hyperlink w:anchor="_ftn2" w:history="1">
              <w:r w:rsidRPr="009A5C71">
                <w:rPr>
                  <w:rFonts w:eastAsia="Times New Roman" w:cstheme="minorHAnsi"/>
                  <w:color w:val="467886"/>
                  <w:sz w:val="20"/>
                  <w:szCs w:val="20"/>
                  <w:u w:val="single"/>
                  <w:lang w:eastAsia="cs-CZ"/>
                </w:rPr>
                <w:t>16,4 %[2]</w:t>
              </w:r>
            </w:hyperlink>
          </w:p>
        </w:tc>
        <w:tc>
          <w:tcPr>
            <w:tcW w:w="1334" w:type="dxa"/>
            <w:tcBorders>
              <w:top w:val="single" w:sz="8" w:space="0" w:color="auto"/>
              <w:left w:val="nil"/>
              <w:bottom w:val="single" w:sz="8" w:space="0" w:color="auto"/>
              <w:right w:val="single" w:sz="8" w:space="0" w:color="auto"/>
            </w:tcBorders>
            <w:vAlign w:val="center"/>
            <w:hideMark/>
          </w:tcPr>
          <w:p w:rsidR="009A5C71" w:rsidRPr="009A5C71" w:rsidP="009A5C71" w14:paraId="01569043" w14:textId="0B7BB84B">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15</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07387EE1" w14:textId="77777777" w:rsidTr="00096586">
        <w:tblPrEx>
          <w:tblW w:w="12387" w:type="dxa"/>
          <w:tblCellMar>
            <w:top w:w="15" w:type="dxa"/>
            <w:left w:w="70" w:type="dxa"/>
            <w:bottom w:w="15" w:type="dxa"/>
            <w:right w:w="70" w:type="dxa"/>
          </w:tblCellMar>
          <w:tblLook w:val="04A0"/>
        </w:tblPrEx>
        <w:trPr>
          <w:trHeight w:val="894"/>
        </w:trPr>
        <w:tc>
          <w:tcPr>
            <w:tcW w:w="1013"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543032D2" w14:textId="52E5DB63">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1.2</w:t>
            </w:r>
          </w:p>
        </w:tc>
        <w:tc>
          <w:tcPr>
            <w:tcW w:w="2581"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581A9108" w14:textId="571E349D">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Pokrytí populace screeningem kolorektálního karcinomu</w:t>
            </w:r>
          </w:p>
        </w:tc>
        <w:tc>
          <w:tcPr>
            <w:tcW w:w="2501" w:type="dxa"/>
            <w:tcBorders>
              <w:top w:val="single" w:sz="8" w:space="0" w:color="auto"/>
              <w:left w:val="nil"/>
              <w:bottom w:val="single" w:sz="8" w:space="0" w:color="auto"/>
              <w:right w:val="single" w:sz="8" w:space="0" w:color="auto"/>
            </w:tcBorders>
            <w:vAlign w:val="center"/>
          </w:tcPr>
          <w:p w:rsidR="001A6CE6" w:rsidRPr="00EE3D20" w:rsidP="001A6CE6" w14:paraId="0E3ACB95" w14:textId="3CD54819">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Pokrytí screeningovými vyšetřeními ve tříletém intervalu u osob od 50 let</w:t>
            </w:r>
          </w:p>
        </w:tc>
        <w:tc>
          <w:tcPr>
            <w:tcW w:w="1022" w:type="dxa"/>
            <w:tcBorders>
              <w:top w:val="single" w:sz="8" w:space="0" w:color="auto"/>
              <w:left w:val="nil"/>
              <w:bottom w:val="single" w:sz="8" w:space="0" w:color="auto"/>
              <w:right w:val="single" w:sz="8" w:space="0" w:color="auto"/>
            </w:tcBorders>
            <w:vAlign w:val="center"/>
          </w:tcPr>
          <w:p w:rsidR="001A6CE6" w:rsidRPr="00EE3D20" w:rsidP="001A6CE6" w14:paraId="00A0C748" w14:textId="5D3BB17C">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ÚZIS ČR</w:t>
            </w:r>
          </w:p>
        </w:tc>
        <w:tc>
          <w:tcPr>
            <w:tcW w:w="1484" w:type="dxa"/>
            <w:tcBorders>
              <w:top w:val="single" w:sz="8" w:space="0" w:color="auto"/>
              <w:left w:val="nil"/>
              <w:bottom w:val="single" w:sz="8" w:space="0" w:color="auto"/>
              <w:right w:val="single" w:sz="8" w:space="0" w:color="auto"/>
            </w:tcBorders>
            <w:vAlign w:val="center"/>
          </w:tcPr>
          <w:p w:rsidR="001A6CE6" w:rsidRPr="00EE3D20" w:rsidP="001A6CE6" w14:paraId="3309D8D1" w14:textId="5614CA0C">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nil"/>
              <w:bottom w:val="single" w:sz="8" w:space="0" w:color="auto"/>
              <w:right w:val="single" w:sz="8" w:space="0" w:color="auto"/>
            </w:tcBorders>
            <w:vAlign w:val="center"/>
          </w:tcPr>
          <w:p w:rsidR="001A6CE6" w:rsidRPr="00EE3D20" w:rsidP="001A6CE6" w14:paraId="1BCFA498" w14:textId="76980CB1">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1A6CE6" w:rsidRPr="00EE3D20" w:rsidP="001A6CE6" w14:paraId="07EA11F5" w14:textId="66694225">
            <w:pPr>
              <w:spacing w:before="0" w:after="0"/>
              <w:jc w:val="center"/>
              <w:rPr>
                <w:rFonts w:eastAsia="Times New Roman" w:cstheme="minorHAnsi"/>
                <w:color w:val="467886"/>
                <w:sz w:val="20"/>
                <w:szCs w:val="20"/>
                <w:u w:val="single"/>
                <w:lang w:eastAsia="cs-CZ"/>
              </w:rPr>
            </w:pPr>
            <w:r w:rsidRPr="009A5C71">
              <w:rPr>
                <w:rFonts w:eastAsia="Times New Roman" w:cstheme="minorHAnsi"/>
                <w:color w:val="000000"/>
                <w:sz w:val="20"/>
                <w:szCs w:val="20"/>
                <w:lang w:eastAsia="cs-CZ"/>
              </w:rPr>
              <w:t>40,00</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c>
          <w:tcPr>
            <w:tcW w:w="1334" w:type="dxa"/>
            <w:tcBorders>
              <w:top w:val="single" w:sz="8" w:space="0" w:color="auto"/>
              <w:left w:val="nil"/>
              <w:bottom w:val="single" w:sz="8" w:space="0" w:color="auto"/>
              <w:right w:val="single" w:sz="8" w:space="0" w:color="auto"/>
            </w:tcBorders>
            <w:vAlign w:val="center"/>
          </w:tcPr>
          <w:p w:rsidR="001A6CE6" w:rsidRPr="00EE3D20" w:rsidP="001A6CE6" w14:paraId="39BF9EB6" w14:textId="6F1B759B">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45</w:t>
            </w:r>
            <w:r w:rsidR="00096586">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6914D8BF" w14:textId="77777777" w:rsidTr="00096586">
        <w:tblPrEx>
          <w:tblW w:w="12387" w:type="dxa"/>
          <w:tblCellMar>
            <w:top w:w="15" w:type="dxa"/>
            <w:left w:w="70" w:type="dxa"/>
            <w:bottom w:w="15" w:type="dxa"/>
            <w:right w:w="70" w:type="dxa"/>
          </w:tblCellMar>
          <w:tblLook w:val="04A0"/>
        </w:tblPrEx>
        <w:trPr>
          <w:trHeight w:val="1375"/>
        </w:trPr>
        <w:tc>
          <w:tcPr>
            <w:tcW w:w="1013"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6AF18D78" w14:textId="5898CE9F">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1.2</w:t>
            </w:r>
          </w:p>
        </w:tc>
        <w:tc>
          <w:tcPr>
            <w:tcW w:w="2581"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4FCD1B05" w14:textId="793B8612">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Počet osob, které byly osloveny do programu časného záchytu karcinomu plic a dalších plicních onemocnění</w:t>
            </w:r>
          </w:p>
        </w:tc>
        <w:tc>
          <w:tcPr>
            <w:tcW w:w="2501" w:type="dxa"/>
            <w:tcBorders>
              <w:top w:val="single" w:sz="8" w:space="0" w:color="auto"/>
              <w:left w:val="nil"/>
              <w:bottom w:val="single" w:sz="8" w:space="0" w:color="auto"/>
              <w:right w:val="single" w:sz="8" w:space="0" w:color="auto"/>
            </w:tcBorders>
            <w:vAlign w:val="center"/>
          </w:tcPr>
          <w:p w:rsidR="001A6CE6" w:rsidRPr="00EE3D20" w:rsidP="001A6CE6" w14:paraId="0A927459" w14:textId="7B935859">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Počet osob, které byly osloveny k účasti v program u praktického lékaře nebo pneumologa</w:t>
            </w:r>
          </w:p>
        </w:tc>
        <w:tc>
          <w:tcPr>
            <w:tcW w:w="1022" w:type="dxa"/>
            <w:tcBorders>
              <w:top w:val="single" w:sz="8" w:space="0" w:color="auto"/>
              <w:left w:val="nil"/>
              <w:bottom w:val="single" w:sz="8" w:space="0" w:color="auto"/>
              <w:right w:val="single" w:sz="8" w:space="0" w:color="auto"/>
            </w:tcBorders>
            <w:vAlign w:val="center"/>
          </w:tcPr>
          <w:p w:rsidR="001A6CE6" w:rsidRPr="00EE3D20" w:rsidP="001A6CE6" w14:paraId="2F863288" w14:textId="5EB13941">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ÚZIS ČR</w:t>
            </w:r>
          </w:p>
        </w:tc>
        <w:tc>
          <w:tcPr>
            <w:tcW w:w="1484" w:type="dxa"/>
            <w:tcBorders>
              <w:top w:val="single" w:sz="8" w:space="0" w:color="auto"/>
              <w:left w:val="nil"/>
              <w:bottom w:val="single" w:sz="8" w:space="0" w:color="auto"/>
              <w:right w:val="single" w:sz="8" w:space="0" w:color="auto"/>
            </w:tcBorders>
            <w:vAlign w:val="center"/>
          </w:tcPr>
          <w:p w:rsidR="001A6CE6" w:rsidRPr="00EE3D20" w:rsidP="001A6CE6" w14:paraId="4A4D47B9" w14:textId="4FEE543F">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počet osob</w:t>
            </w:r>
          </w:p>
        </w:tc>
        <w:tc>
          <w:tcPr>
            <w:tcW w:w="1176" w:type="dxa"/>
            <w:tcBorders>
              <w:top w:val="single" w:sz="8" w:space="0" w:color="auto"/>
              <w:left w:val="nil"/>
              <w:bottom w:val="single" w:sz="8" w:space="0" w:color="auto"/>
              <w:right w:val="single" w:sz="8" w:space="0" w:color="auto"/>
            </w:tcBorders>
            <w:vAlign w:val="center"/>
          </w:tcPr>
          <w:p w:rsidR="001A6CE6" w:rsidRPr="00EE3D20" w:rsidP="001A6CE6" w14:paraId="11C56684" w14:textId="0522C25E">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1A6CE6" w:rsidRPr="00EE3D20" w:rsidP="001A6CE6" w14:paraId="5CFA956A" w14:textId="21873C95">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25406</w:t>
            </w:r>
          </w:p>
        </w:tc>
        <w:tc>
          <w:tcPr>
            <w:tcW w:w="1334" w:type="dxa"/>
            <w:tcBorders>
              <w:top w:val="single" w:sz="8" w:space="0" w:color="auto"/>
              <w:left w:val="nil"/>
              <w:bottom w:val="single" w:sz="8" w:space="0" w:color="auto"/>
              <w:right w:val="single" w:sz="8" w:space="0" w:color="auto"/>
            </w:tcBorders>
            <w:vAlign w:val="center"/>
          </w:tcPr>
          <w:p w:rsidR="001A6CE6" w:rsidRPr="00EE3D20" w:rsidP="001A6CE6" w14:paraId="1442FDF2" w14:textId="5C2BEEF4">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100 000</w:t>
            </w:r>
          </w:p>
        </w:tc>
      </w:tr>
      <w:tr w14:paraId="17DD70B0" w14:textId="77777777" w:rsidTr="00096586">
        <w:tblPrEx>
          <w:tblW w:w="12387" w:type="dxa"/>
          <w:tblCellMar>
            <w:top w:w="15" w:type="dxa"/>
            <w:left w:w="70" w:type="dxa"/>
            <w:bottom w:w="15" w:type="dxa"/>
            <w:right w:w="70" w:type="dxa"/>
          </w:tblCellMar>
          <w:tblLook w:val="04A0"/>
        </w:tblPrEx>
        <w:trPr>
          <w:trHeight w:val="1088"/>
        </w:trPr>
        <w:tc>
          <w:tcPr>
            <w:tcW w:w="1013"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09C019FB" w14:textId="17AE4FEB">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1.2</w:t>
            </w:r>
          </w:p>
        </w:tc>
        <w:tc>
          <w:tcPr>
            <w:tcW w:w="2581"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29B1789E" w14:textId="47A82357">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Pokrytí populace screeningovým programem časného záchytu karcinomu prostaty</w:t>
            </w:r>
          </w:p>
        </w:tc>
        <w:tc>
          <w:tcPr>
            <w:tcW w:w="2501" w:type="dxa"/>
            <w:tcBorders>
              <w:top w:val="single" w:sz="8" w:space="0" w:color="auto"/>
              <w:left w:val="nil"/>
              <w:bottom w:val="single" w:sz="8" w:space="0" w:color="auto"/>
              <w:right w:val="single" w:sz="8" w:space="0" w:color="auto"/>
            </w:tcBorders>
            <w:vAlign w:val="center"/>
          </w:tcPr>
          <w:p w:rsidR="001A6CE6" w:rsidRPr="00EE3D20" w:rsidP="001A6CE6" w14:paraId="186D155A" w14:textId="18609BCC">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Celkové pokrytí screeningovými výkony</w:t>
            </w:r>
          </w:p>
        </w:tc>
        <w:tc>
          <w:tcPr>
            <w:tcW w:w="1022" w:type="dxa"/>
            <w:tcBorders>
              <w:top w:val="single" w:sz="8" w:space="0" w:color="auto"/>
              <w:left w:val="nil"/>
              <w:bottom w:val="single" w:sz="8" w:space="0" w:color="auto"/>
              <w:right w:val="single" w:sz="8" w:space="0" w:color="auto"/>
            </w:tcBorders>
            <w:vAlign w:val="center"/>
          </w:tcPr>
          <w:p w:rsidR="001A6CE6" w:rsidRPr="00EE3D20" w:rsidP="001A6CE6" w14:paraId="2BD8C9E8" w14:textId="071AEAEA">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ÚZIS ČR</w:t>
            </w:r>
          </w:p>
        </w:tc>
        <w:tc>
          <w:tcPr>
            <w:tcW w:w="1484" w:type="dxa"/>
            <w:tcBorders>
              <w:top w:val="single" w:sz="8" w:space="0" w:color="auto"/>
              <w:left w:val="nil"/>
              <w:bottom w:val="single" w:sz="8" w:space="0" w:color="auto"/>
              <w:right w:val="single" w:sz="8" w:space="0" w:color="auto"/>
            </w:tcBorders>
            <w:vAlign w:val="center"/>
          </w:tcPr>
          <w:p w:rsidR="001A6CE6" w:rsidRPr="00EE3D20" w:rsidP="001A6CE6" w14:paraId="36C68334" w14:textId="2EB2D3F9">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w:t>
            </w:r>
          </w:p>
        </w:tc>
        <w:tc>
          <w:tcPr>
            <w:tcW w:w="1176" w:type="dxa"/>
            <w:tcBorders>
              <w:top w:val="single" w:sz="8" w:space="0" w:color="auto"/>
              <w:left w:val="nil"/>
              <w:bottom w:val="single" w:sz="8" w:space="0" w:color="auto"/>
              <w:right w:val="single" w:sz="8" w:space="0" w:color="auto"/>
            </w:tcBorders>
            <w:vAlign w:val="center"/>
          </w:tcPr>
          <w:p w:rsidR="001A6CE6" w:rsidRPr="00EE3D20" w:rsidP="001A6CE6" w14:paraId="78A42506" w14:textId="1D7ABD71">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1A6CE6" w:rsidRPr="00EE3D20" w:rsidP="001A6CE6" w14:paraId="4C2D4DCA" w14:textId="04BBAC5B">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Bude možné vyhodnotit na konci roku 2025</w:t>
            </w:r>
          </w:p>
        </w:tc>
        <w:tc>
          <w:tcPr>
            <w:tcW w:w="1334" w:type="dxa"/>
            <w:tcBorders>
              <w:top w:val="single" w:sz="8" w:space="0" w:color="auto"/>
              <w:left w:val="nil"/>
              <w:bottom w:val="single" w:sz="8" w:space="0" w:color="auto"/>
              <w:right w:val="single" w:sz="8" w:space="0" w:color="auto"/>
            </w:tcBorders>
            <w:vAlign w:val="center"/>
          </w:tcPr>
          <w:p w:rsidR="001A6CE6" w:rsidRPr="00EE3D20" w:rsidP="001A6CE6" w14:paraId="010E2CE8" w14:textId="153CA4D1">
            <w:pPr>
              <w:spacing w:before="0" w:after="0"/>
              <w:jc w:val="center"/>
              <w:rPr>
                <w:rFonts w:eastAsia="Times New Roman" w:cstheme="minorHAnsi"/>
                <w:color w:val="000000"/>
                <w:sz w:val="20"/>
                <w:szCs w:val="20"/>
                <w:lang w:eastAsia="cs-CZ"/>
              </w:rPr>
            </w:pPr>
            <w:r w:rsidRPr="009A5C71">
              <w:rPr>
                <w:rFonts w:eastAsia="Times New Roman" w:cstheme="minorHAnsi"/>
                <w:color w:val="000000"/>
                <w:sz w:val="20"/>
                <w:szCs w:val="20"/>
                <w:lang w:eastAsia="cs-CZ"/>
              </w:rPr>
              <w:t>30</w:t>
            </w:r>
            <w:r w:rsidRPr="00EE3D20">
              <w:rPr>
                <w:rFonts w:eastAsia="Times New Roman" w:cstheme="minorHAnsi"/>
                <w:color w:val="000000"/>
                <w:sz w:val="20"/>
                <w:szCs w:val="20"/>
                <w:lang w:eastAsia="cs-CZ"/>
              </w:rPr>
              <w:t xml:space="preserve"> </w:t>
            </w:r>
            <w:r w:rsidRPr="009A5C71">
              <w:rPr>
                <w:rFonts w:eastAsia="Times New Roman" w:cstheme="minorHAnsi"/>
                <w:color w:val="000000"/>
                <w:sz w:val="20"/>
                <w:szCs w:val="20"/>
                <w:lang w:eastAsia="cs-CZ"/>
              </w:rPr>
              <w:t>%</w:t>
            </w:r>
          </w:p>
        </w:tc>
      </w:tr>
      <w:tr w14:paraId="2207B017" w14:textId="77777777" w:rsidTr="00096586">
        <w:tblPrEx>
          <w:tblW w:w="12387" w:type="dxa"/>
          <w:tblCellMar>
            <w:top w:w="15" w:type="dxa"/>
            <w:left w:w="70" w:type="dxa"/>
            <w:bottom w:w="15" w:type="dxa"/>
            <w:right w:w="70" w:type="dxa"/>
          </w:tblCellMar>
          <w:tblLook w:val="04A0"/>
        </w:tblPrEx>
        <w:trPr>
          <w:trHeight w:val="1784"/>
        </w:trPr>
        <w:tc>
          <w:tcPr>
            <w:tcW w:w="1013"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1F560683" w14:textId="3A09C133">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1.3</w:t>
            </w:r>
          </w:p>
        </w:tc>
        <w:tc>
          <w:tcPr>
            <w:tcW w:w="2581"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42449E44" w14:textId="46E79EA3">
            <w:pPr>
              <w:spacing w:before="0" w:after="0"/>
              <w:jc w:val="center"/>
              <w:rPr>
                <w:rFonts w:eastAsia="Times New Roman" w:cstheme="minorHAnsi"/>
                <w:color w:val="000000"/>
                <w:sz w:val="20"/>
                <w:szCs w:val="20"/>
                <w:lang w:eastAsia="cs-CZ"/>
              </w:rPr>
            </w:pPr>
            <w:r w:rsidRPr="00EE3D20">
              <w:rPr>
                <w:rFonts w:cstheme="minorHAnsi"/>
                <w:color w:val="000000"/>
                <w:sz w:val="20"/>
                <w:szCs w:val="20"/>
              </w:rPr>
              <w:t>Počet skupin léčivých přípravků v systému rezervací SSHR</w:t>
            </w:r>
          </w:p>
        </w:tc>
        <w:tc>
          <w:tcPr>
            <w:tcW w:w="2501" w:type="dxa"/>
            <w:tcBorders>
              <w:top w:val="single" w:sz="8" w:space="0" w:color="auto"/>
              <w:left w:val="nil"/>
              <w:bottom w:val="single" w:sz="8" w:space="0" w:color="auto"/>
              <w:right w:val="single" w:sz="8" w:space="0" w:color="auto"/>
            </w:tcBorders>
            <w:vAlign w:val="center"/>
          </w:tcPr>
          <w:p w:rsidR="001A6CE6" w:rsidRPr="00EE3D20" w:rsidP="001A6CE6" w14:paraId="5D7865E7" w14:textId="1115783A">
            <w:pPr>
              <w:spacing w:before="0" w:after="0"/>
              <w:jc w:val="center"/>
              <w:rPr>
                <w:rFonts w:eastAsia="Times New Roman" w:cstheme="minorHAnsi"/>
                <w:color w:val="000000"/>
                <w:sz w:val="20"/>
                <w:szCs w:val="20"/>
                <w:lang w:eastAsia="cs-CZ"/>
              </w:rPr>
            </w:pPr>
            <w:r w:rsidRPr="00EE3D20">
              <w:rPr>
                <w:rFonts w:cstheme="minorHAnsi"/>
                <w:color w:val="000000"/>
                <w:sz w:val="20"/>
                <w:szCs w:val="20"/>
              </w:rPr>
              <w:t>Konkrétní skupiny léčivých přípravků, které budou s ohledem na své terapeutické vlastnosti rezervovány</w:t>
            </w:r>
          </w:p>
        </w:tc>
        <w:tc>
          <w:tcPr>
            <w:tcW w:w="1022" w:type="dxa"/>
            <w:tcBorders>
              <w:top w:val="single" w:sz="8" w:space="0" w:color="auto"/>
              <w:left w:val="nil"/>
              <w:bottom w:val="single" w:sz="8" w:space="0" w:color="auto"/>
              <w:right w:val="single" w:sz="8" w:space="0" w:color="auto"/>
            </w:tcBorders>
            <w:vAlign w:val="center"/>
          </w:tcPr>
          <w:p w:rsidR="001A6CE6" w:rsidRPr="00EE3D20" w:rsidP="001A6CE6" w14:paraId="6EEA2888" w14:textId="30660EE3">
            <w:pPr>
              <w:spacing w:before="0" w:after="0"/>
              <w:jc w:val="center"/>
              <w:rPr>
                <w:rFonts w:eastAsia="Times New Roman" w:cstheme="minorHAnsi"/>
                <w:color w:val="000000"/>
                <w:sz w:val="20"/>
                <w:szCs w:val="20"/>
                <w:lang w:eastAsia="cs-CZ"/>
              </w:rPr>
            </w:pPr>
            <w:r w:rsidRPr="00EE3D20">
              <w:rPr>
                <w:rFonts w:cstheme="minorHAnsi"/>
                <w:color w:val="000000"/>
                <w:sz w:val="20"/>
                <w:szCs w:val="20"/>
              </w:rPr>
              <w:t>SSHR</w:t>
            </w:r>
          </w:p>
        </w:tc>
        <w:tc>
          <w:tcPr>
            <w:tcW w:w="1484" w:type="dxa"/>
            <w:tcBorders>
              <w:top w:val="single" w:sz="8" w:space="0" w:color="auto"/>
              <w:left w:val="nil"/>
              <w:bottom w:val="single" w:sz="8" w:space="0" w:color="auto"/>
              <w:right w:val="single" w:sz="8" w:space="0" w:color="auto"/>
            </w:tcBorders>
            <w:vAlign w:val="center"/>
          </w:tcPr>
          <w:p w:rsidR="001A6CE6" w:rsidRPr="00EE3D20" w:rsidP="001A6CE6" w14:paraId="2821CC8A" w14:textId="5655E252">
            <w:pPr>
              <w:spacing w:before="0" w:after="0"/>
              <w:jc w:val="center"/>
              <w:rPr>
                <w:rFonts w:eastAsia="Times New Roman" w:cstheme="minorHAnsi"/>
                <w:color w:val="000000"/>
                <w:sz w:val="20"/>
                <w:szCs w:val="20"/>
                <w:lang w:eastAsia="cs-CZ"/>
              </w:rPr>
            </w:pPr>
            <w:r w:rsidRPr="00EE3D20">
              <w:rPr>
                <w:rFonts w:cstheme="minorHAnsi"/>
                <w:color w:val="000000"/>
                <w:sz w:val="20"/>
                <w:szCs w:val="20"/>
              </w:rPr>
              <w:t>ATC skupina</w:t>
            </w:r>
          </w:p>
        </w:tc>
        <w:tc>
          <w:tcPr>
            <w:tcW w:w="1176" w:type="dxa"/>
            <w:tcBorders>
              <w:top w:val="single" w:sz="8" w:space="0" w:color="auto"/>
              <w:left w:val="nil"/>
              <w:bottom w:val="single" w:sz="8" w:space="0" w:color="auto"/>
              <w:right w:val="single" w:sz="8" w:space="0" w:color="auto"/>
            </w:tcBorders>
            <w:vAlign w:val="center"/>
          </w:tcPr>
          <w:p w:rsidR="001A6CE6" w:rsidRPr="00EE3D20" w:rsidP="001A6CE6" w14:paraId="33B08999" w14:textId="37D8450C">
            <w:pPr>
              <w:spacing w:before="0" w:after="0"/>
              <w:jc w:val="center"/>
              <w:rPr>
                <w:rFonts w:eastAsia="Times New Roman" w:cstheme="minorHAnsi"/>
                <w:color w:val="000000"/>
                <w:sz w:val="20"/>
                <w:szCs w:val="20"/>
                <w:lang w:eastAsia="cs-CZ"/>
              </w:rPr>
            </w:pPr>
            <w:r w:rsidRPr="00EE3D20">
              <w:rPr>
                <w:rFonts w:cstheme="minorHAnsi"/>
                <w:color w:val="000000"/>
                <w:sz w:val="20"/>
                <w:szCs w:val="20"/>
              </w:rPr>
              <w:t>průběžně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1A6CE6" w:rsidRPr="00EE3D20" w:rsidP="001A6CE6" w14:paraId="169B86A8" w14:textId="7EDDAE5A">
            <w:pPr>
              <w:spacing w:before="0" w:after="0"/>
              <w:jc w:val="center"/>
              <w:rPr>
                <w:rFonts w:eastAsia="Times New Roman" w:cstheme="minorHAnsi"/>
                <w:color w:val="000000"/>
                <w:sz w:val="20"/>
                <w:szCs w:val="20"/>
                <w:lang w:eastAsia="cs-CZ"/>
              </w:rPr>
            </w:pPr>
            <w:r w:rsidRPr="00EE3D20">
              <w:rPr>
                <w:rFonts w:cstheme="minorHAnsi"/>
                <w:color w:val="000000"/>
                <w:sz w:val="20"/>
                <w:szCs w:val="20"/>
              </w:rPr>
              <w:t>0</w:t>
            </w:r>
          </w:p>
        </w:tc>
        <w:tc>
          <w:tcPr>
            <w:tcW w:w="1334" w:type="dxa"/>
            <w:tcBorders>
              <w:top w:val="single" w:sz="8" w:space="0" w:color="auto"/>
              <w:left w:val="nil"/>
              <w:bottom w:val="single" w:sz="8" w:space="0" w:color="auto"/>
              <w:right w:val="single" w:sz="8" w:space="0" w:color="auto"/>
            </w:tcBorders>
            <w:vAlign w:val="center"/>
          </w:tcPr>
          <w:p w:rsidR="001A6CE6" w:rsidRPr="00EE3D20" w:rsidP="001A6CE6" w14:paraId="678986DD" w14:textId="184DBC54">
            <w:pPr>
              <w:spacing w:before="0" w:after="0"/>
              <w:jc w:val="center"/>
              <w:rPr>
                <w:rFonts w:eastAsia="Times New Roman" w:cstheme="minorHAnsi"/>
                <w:color w:val="000000"/>
                <w:sz w:val="20"/>
                <w:szCs w:val="20"/>
                <w:lang w:eastAsia="cs-CZ"/>
              </w:rPr>
            </w:pPr>
            <w:r w:rsidRPr="00EE3D20">
              <w:rPr>
                <w:rFonts w:cstheme="minorHAnsi"/>
                <w:color w:val="000000"/>
                <w:sz w:val="20"/>
                <w:szCs w:val="20"/>
              </w:rPr>
              <w:t>200</w:t>
            </w:r>
          </w:p>
        </w:tc>
      </w:tr>
      <w:tr w14:paraId="1B8CA62E" w14:textId="77777777" w:rsidTr="00096586">
        <w:tblPrEx>
          <w:tblW w:w="12387" w:type="dxa"/>
          <w:tblCellMar>
            <w:top w:w="15" w:type="dxa"/>
            <w:left w:w="70" w:type="dxa"/>
            <w:bottom w:w="15" w:type="dxa"/>
            <w:right w:w="70" w:type="dxa"/>
          </w:tblCellMar>
          <w:tblLook w:val="04A0"/>
        </w:tblPrEx>
        <w:trPr>
          <w:trHeight w:val="1378"/>
        </w:trPr>
        <w:tc>
          <w:tcPr>
            <w:tcW w:w="1013"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58170359" w14:textId="6F899D18">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1.3</w:t>
            </w:r>
          </w:p>
        </w:tc>
        <w:tc>
          <w:tcPr>
            <w:tcW w:w="2581"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05E85B7B" w14:textId="3EBDAF27">
            <w:pPr>
              <w:spacing w:before="0" w:after="0"/>
              <w:jc w:val="center"/>
              <w:rPr>
                <w:rFonts w:eastAsia="Times New Roman" w:cstheme="minorHAnsi"/>
                <w:color w:val="000000"/>
                <w:sz w:val="20"/>
                <w:szCs w:val="20"/>
                <w:lang w:eastAsia="cs-CZ"/>
              </w:rPr>
            </w:pPr>
            <w:r w:rsidRPr="00EE3D20">
              <w:rPr>
                <w:rFonts w:cstheme="minorHAnsi"/>
                <w:color w:val="000000"/>
                <w:sz w:val="20"/>
                <w:szCs w:val="20"/>
              </w:rPr>
              <w:t>Provedení zátěžového a funkčního testu</w:t>
            </w:r>
          </w:p>
        </w:tc>
        <w:tc>
          <w:tcPr>
            <w:tcW w:w="2501" w:type="dxa"/>
            <w:tcBorders>
              <w:top w:val="single" w:sz="8" w:space="0" w:color="auto"/>
              <w:left w:val="nil"/>
              <w:bottom w:val="single" w:sz="8" w:space="0" w:color="auto"/>
              <w:right w:val="single" w:sz="8" w:space="0" w:color="auto"/>
            </w:tcBorders>
            <w:vAlign w:val="center"/>
          </w:tcPr>
          <w:p w:rsidR="001A6CE6" w:rsidRPr="00EE3D20" w:rsidP="001A6CE6" w14:paraId="3E0A319C" w14:textId="7FB1FA25">
            <w:pPr>
              <w:spacing w:before="0" w:after="0"/>
              <w:jc w:val="center"/>
              <w:rPr>
                <w:rFonts w:eastAsia="Times New Roman" w:cstheme="minorHAnsi"/>
                <w:color w:val="000000"/>
                <w:sz w:val="20"/>
                <w:szCs w:val="20"/>
                <w:lang w:eastAsia="cs-CZ"/>
              </w:rPr>
            </w:pPr>
            <w:r w:rsidRPr="00EE3D20">
              <w:rPr>
                <w:rFonts w:cstheme="minorHAnsi"/>
                <w:color w:val="000000"/>
                <w:sz w:val="20"/>
                <w:szCs w:val="20"/>
              </w:rPr>
              <w:t>Otestování systému a připravenosti jednotlivých subjektů na využití rezervovaných zásob léčivých přípravků</w:t>
            </w:r>
          </w:p>
        </w:tc>
        <w:tc>
          <w:tcPr>
            <w:tcW w:w="1022" w:type="dxa"/>
            <w:tcBorders>
              <w:top w:val="single" w:sz="8" w:space="0" w:color="auto"/>
              <w:left w:val="nil"/>
              <w:bottom w:val="single" w:sz="8" w:space="0" w:color="auto"/>
              <w:right w:val="single" w:sz="8" w:space="0" w:color="auto"/>
            </w:tcBorders>
            <w:vAlign w:val="center"/>
          </w:tcPr>
          <w:p w:rsidR="001A6CE6" w:rsidRPr="00EE3D20" w:rsidP="001A6CE6" w14:paraId="281E02CB" w14:textId="1976C076">
            <w:pPr>
              <w:spacing w:before="0" w:after="0"/>
              <w:jc w:val="center"/>
              <w:rPr>
                <w:rFonts w:eastAsia="Times New Roman" w:cstheme="minorHAnsi"/>
                <w:color w:val="000000"/>
                <w:sz w:val="20"/>
                <w:szCs w:val="20"/>
                <w:lang w:eastAsia="cs-CZ"/>
              </w:rPr>
            </w:pPr>
            <w:r w:rsidRPr="00EE3D20">
              <w:rPr>
                <w:rFonts w:cstheme="minorHAnsi"/>
                <w:color w:val="000000"/>
                <w:sz w:val="20"/>
                <w:szCs w:val="20"/>
              </w:rPr>
              <w:t>SSHR/MZD - SE-OLZP</w:t>
            </w:r>
          </w:p>
        </w:tc>
        <w:tc>
          <w:tcPr>
            <w:tcW w:w="1484" w:type="dxa"/>
            <w:tcBorders>
              <w:top w:val="single" w:sz="8" w:space="0" w:color="auto"/>
              <w:left w:val="nil"/>
              <w:bottom w:val="single" w:sz="8" w:space="0" w:color="auto"/>
              <w:right w:val="single" w:sz="8" w:space="0" w:color="auto"/>
            </w:tcBorders>
            <w:vAlign w:val="center"/>
          </w:tcPr>
          <w:p w:rsidR="001A6CE6" w:rsidRPr="00EE3D20" w:rsidP="001A6CE6" w14:paraId="225DE669" w14:textId="7BC23BD1">
            <w:pPr>
              <w:spacing w:before="0" w:after="0"/>
              <w:jc w:val="center"/>
              <w:rPr>
                <w:rFonts w:eastAsia="Times New Roman" w:cstheme="minorHAnsi"/>
                <w:color w:val="000000"/>
                <w:sz w:val="20"/>
                <w:szCs w:val="20"/>
                <w:lang w:eastAsia="cs-CZ"/>
              </w:rPr>
            </w:pPr>
            <w:r w:rsidRPr="00EE3D20">
              <w:rPr>
                <w:rFonts w:cstheme="minorHAnsi"/>
                <w:color w:val="000000"/>
                <w:sz w:val="20"/>
                <w:szCs w:val="20"/>
              </w:rPr>
              <w:t>ATC skupina</w:t>
            </w:r>
          </w:p>
        </w:tc>
        <w:tc>
          <w:tcPr>
            <w:tcW w:w="1176" w:type="dxa"/>
            <w:tcBorders>
              <w:top w:val="single" w:sz="8" w:space="0" w:color="auto"/>
              <w:left w:val="nil"/>
              <w:bottom w:val="single" w:sz="8" w:space="0" w:color="auto"/>
              <w:right w:val="single" w:sz="8" w:space="0" w:color="auto"/>
            </w:tcBorders>
            <w:vAlign w:val="center"/>
          </w:tcPr>
          <w:p w:rsidR="001A6CE6" w:rsidRPr="00EE3D20" w:rsidP="001A6CE6" w14:paraId="075D1A9F" w14:textId="657DAFAB">
            <w:pPr>
              <w:spacing w:before="0" w:after="0"/>
              <w:jc w:val="center"/>
              <w:rPr>
                <w:rFonts w:eastAsia="Times New Roman" w:cstheme="minorHAnsi"/>
                <w:color w:val="000000"/>
                <w:sz w:val="20"/>
                <w:szCs w:val="20"/>
                <w:lang w:eastAsia="cs-CZ"/>
              </w:rPr>
            </w:pPr>
            <w:r w:rsidRPr="00EE3D20">
              <w:rPr>
                <w:rFonts w:cstheme="minorHAnsi"/>
                <w:color w:val="000000"/>
                <w:sz w:val="20"/>
                <w:szCs w:val="20"/>
              </w:rPr>
              <w:t xml:space="preserve">Průběžně </w:t>
            </w:r>
          </w:p>
        </w:tc>
        <w:tc>
          <w:tcPr>
            <w:tcW w:w="1276" w:type="dxa"/>
            <w:tcBorders>
              <w:top w:val="single" w:sz="8" w:space="0" w:color="auto"/>
              <w:left w:val="nil"/>
              <w:bottom w:val="single" w:sz="8" w:space="0" w:color="auto"/>
              <w:right w:val="single" w:sz="8" w:space="0" w:color="auto"/>
            </w:tcBorders>
            <w:shd w:val="clear" w:color="auto" w:fill="auto"/>
            <w:vAlign w:val="center"/>
          </w:tcPr>
          <w:p w:rsidR="001A6CE6" w:rsidRPr="00EE3D20" w:rsidP="001A6CE6" w14:paraId="19D2FC63" w14:textId="21C91EF2">
            <w:pPr>
              <w:spacing w:before="0" w:after="0"/>
              <w:jc w:val="center"/>
              <w:rPr>
                <w:rFonts w:eastAsia="Times New Roman" w:cstheme="minorHAnsi"/>
                <w:color w:val="000000"/>
                <w:sz w:val="20"/>
                <w:szCs w:val="20"/>
                <w:lang w:eastAsia="cs-CZ"/>
              </w:rPr>
            </w:pPr>
            <w:r w:rsidRPr="00EE3D20">
              <w:rPr>
                <w:rFonts w:cstheme="minorHAnsi"/>
                <w:color w:val="000000"/>
                <w:sz w:val="20"/>
                <w:szCs w:val="20"/>
              </w:rPr>
              <w:t>0</w:t>
            </w:r>
          </w:p>
        </w:tc>
        <w:tc>
          <w:tcPr>
            <w:tcW w:w="1334" w:type="dxa"/>
            <w:tcBorders>
              <w:top w:val="single" w:sz="8" w:space="0" w:color="auto"/>
              <w:left w:val="nil"/>
              <w:bottom w:val="single" w:sz="8" w:space="0" w:color="auto"/>
              <w:right w:val="single" w:sz="8" w:space="0" w:color="auto"/>
            </w:tcBorders>
            <w:vAlign w:val="center"/>
          </w:tcPr>
          <w:p w:rsidR="001A6CE6" w:rsidRPr="00EE3D20" w:rsidP="001A6CE6" w14:paraId="4E292566" w14:textId="793EA533">
            <w:pPr>
              <w:spacing w:before="0" w:after="0"/>
              <w:jc w:val="center"/>
              <w:rPr>
                <w:rFonts w:eastAsia="Times New Roman" w:cstheme="minorHAnsi"/>
                <w:color w:val="000000"/>
                <w:sz w:val="20"/>
                <w:szCs w:val="20"/>
                <w:lang w:eastAsia="cs-CZ"/>
              </w:rPr>
            </w:pPr>
            <w:r w:rsidRPr="00EE3D20">
              <w:rPr>
                <w:rFonts w:cstheme="minorHAnsi"/>
                <w:color w:val="000000"/>
                <w:sz w:val="20"/>
                <w:szCs w:val="20"/>
              </w:rPr>
              <w:t>3</w:t>
            </w:r>
          </w:p>
        </w:tc>
      </w:tr>
      <w:tr w14:paraId="17BAB8F3" w14:textId="77777777" w:rsidTr="00096586">
        <w:tblPrEx>
          <w:tblW w:w="12387" w:type="dxa"/>
          <w:tblCellMar>
            <w:top w:w="15" w:type="dxa"/>
            <w:left w:w="70" w:type="dxa"/>
            <w:bottom w:w="15" w:type="dxa"/>
            <w:right w:w="70" w:type="dxa"/>
          </w:tblCellMar>
          <w:tblLook w:val="04A0"/>
        </w:tblPrEx>
        <w:trPr>
          <w:trHeight w:val="1467"/>
        </w:trPr>
        <w:tc>
          <w:tcPr>
            <w:tcW w:w="1013"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33A081D4" w14:textId="41C71EE0">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1.3</w:t>
            </w:r>
          </w:p>
        </w:tc>
        <w:tc>
          <w:tcPr>
            <w:tcW w:w="2581" w:type="dxa"/>
            <w:tcBorders>
              <w:top w:val="single" w:sz="8" w:space="0" w:color="auto"/>
              <w:left w:val="single" w:sz="8" w:space="0" w:color="auto"/>
              <w:bottom w:val="single" w:sz="8" w:space="0" w:color="auto"/>
              <w:right w:val="single" w:sz="8" w:space="0" w:color="auto"/>
            </w:tcBorders>
            <w:vAlign w:val="center"/>
          </w:tcPr>
          <w:p w:rsidR="001A6CE6" w:rsidRPr="00EE3D20" w:rsidP="001A6CE6" w14:paraId="2FA162D4" w14:textId="5C099614">
            <w:pPr>
              <w:spacing w:before="0" w:after="0"/>
              <w:jc w:val="center"/>
              <w:rPr>
                <w:rFonts w:cstheme="minorHAnsi"/>
                <w:color w:val="000000"/>
                <w:sz w:val="20"/>
                <w:szCs w:val="20"/>
              </w:rPr>
            </w:pPr>
            <w:r w:rsidRPr="00EE3D20">
              <w:rPr>
                <w:rFonts w:cstheme="minorHAnsi"/>
                <w:color w:val="000000"/>
                <w:sz w:val="20"/>
                <w:szCs w:val="20"/>
              </w:rPr>
              <w:t>Počet centrálně nakoupených léčivých přípravků</w:t>
            </w:r>
          </w:p>
        </w:tc>
        <w:tc>
          <w:tcPr>
            <w:tcW w:w="2501" w:type="dxa"/>
            <w:tcBorders>
              <w:top w:val="single" w:sz="8" w:space="0" w:color="auto"/>
              <w:left w:val="nil"/>
              <w:bottom w:val="single" w:sz="8" w:space="0" w:color="auto"/>
              <w:right w:val="single" w:sz="8" w:space="0" w:color="auto"/>
            </w:tcBorders>
            <w:vAlign w:val="center"/>
          </w:tcPr>
          <w:p w:rsidR="001A6CE6" w:rsidRPr="00EE3D20" w:rsidP="001A6CE6" w14:paraId="5D593D6C" w14:textId="76CF6F61">
            <w:pPr>
              <w:spacing w:before="0" w:after="0"/>
              <w:jc w:val="center"/>
              <w:rPr>
                <w:rFonts w:eastAsia="Times New Roman" w:cstheme="minorHAnsi"/>
                <w:color w:val="000000"/>
                <w:sz w:val="20"/>
                <w:szCs w:val="20"/>
                <w:lang w:eastAsia="cs-CZ"/>
              </w:rPr>
            </w:pPr>
            <w:r w:rsidRPr="00EE3D20">
              <w:rPr>
                <w:rFonts w:cstheme="minorHAnsi"/>
                <w:color w:val="000000"/>
                <w:sz w:val="20"/>
                <w:szCs w:val="20"/>
              </w:rPr>
              <w:t>Konkrétní léčivé přípravky, které budou s ohledem na své unikátní postavení na trhu v ČR a cenu centrálně nakupovány</w:t>
            </w:r>
          </w:p>
        </w:tc>
        <w:tc>
          <w:tcPr>
            <w:tcW w:w="1022" w:type="dxa"/>
            <w:tcBorders>
              <w:top w:val="single" w:sz="8" w:space="0" w:color="auto"/>
              <w:left w:val="nil"/>
              <w:bottom w:val="single" w:sz="8" w:space="0" w:color="auto"/>
              <w:right w:val="single" w:sz="8" w:space="0" w:color="auto"/>
            </w:tcBorders>
            <w:vAlign w:val="center"/>
          </w:tcPr>
          <w:p w:rsidR="001A6CE6" w:rsidRPr="00EE3D20" w:rsidP="001A6CE6" w14:paraId="43965357" w14:textId="7D5B4A44">
            <w:pPr>
              <w:spacing w:before="0" w:after="0"/>
              <w:jc w:val="center"/>
              <w:rPr>
                <w:rFonts w:eastAsia="Times New Roman" w:cstheme="minorHAnsi"/>
                <w:color w:val="000000"/>
                <w:sz w:val="20"/>
                <w:szCs w:val="20"/>
                <w:lang w:eastAsia="cs-CZ"/>
              </w:rPr>
            </w:pPr>
            <w:r w:rsidRPr="00EE3D20">
              <w:rPr>
                <w:rFonts w:cstheme="minorHAnsi"/>
                <w:color w:val="000000"/>
                <w:sz w:val="20"/>
                <w:szCs w:val="20"/>
              </w:rPr>
              <w:t>SZP/VZP</w:t>
            </w:r>
          </w:p>
        </w:tc>
        <w:tc>
          <w:tcPr>
            <w:tcW w:w="1484" w:type="dxa"/>
            <w:tcBorders>
              <w:top w:val="single" w:sz="8" w:space="0" w:color="auto"/>
              <w:left w:val="nil"/>
              <w:bottom w:val="single" w:sz="8" w:space="0" w:color="auto"/>
              <w:right w:val="single" w:sz="8" w:space="0" w:color="auto"/>
            </w:tcBorders>
            <w:vAlign w:val="center"/>
          </w:tcPr>
          <w:p w:rsidR="001A6CE6" w:rsidRPr="00EE3D20" w:rsidP="001A6CE6" w14:paraId="79081B26" w14:textId="323CFB74">
            <w:pPr>
              <w:spacing w:before="0" w:after="0"/>
              <w:jc w:val="center"/>
              <w:rPr>
                <w:rFonts w:eastAsia="Times New Roman" w:cstheme="minorHAnsi"/>
                <w:color w:val="000000"/>
                <w:sz w:val="20"/>
                <w:szCs w:val="20"/>
                <w:lang w:eastAsia="cs-CZ"/>
              </w:rPr>
            </w:pPr>
            <w:r w:rsidRPr="00EE3D20">
              <w:rPr>
                <w:rFonts w:cstheme="minorHAnsi"/>
                <w:color w:val="000000"/>
                <w:sz w:val="20"/>
                <w:szCs w:val="20"/>
              </w:rPr>
              <w:t>ATC skupina</w:t>
            </w:r>
          </w:p>
        </w:tc>
        <w:tc>
          <w:tcPr>
            <w:tcW w:w="1176" w:type="dxa"/>
            <w:tcBorders>
              <w:top w:val="single" w:sz="8" w:space="0" w:color="auto"/>
              <w:left w:val="nil"/>
              <w:bottom w:val="single" w:sz="8" w:space="0" w:color="auto"/>
              <w:right w:val="single" w:sz="8" w:space="0" w:color="auto"/>
            </w:tcBorders>
            <w:vAlign w:val="center"/>
          </w:tcPr>
          <w:p w:rsidR="001A6CE6" w:rsidRPr="00EE3D20" w:rsidP="001A6CE6" w14:paraId="47068C3F" w14:textId="68876894">
            <w:pPr>
              <w:spacing w:before="0" w:after="0"/>
              <w:jc w:val="center"/>
              <w:rPr>
                <w:rFonts w:eastAsia="Times New Roman" w:cstheme="minorHAnsi"/>
                <w:color w:val="000000"/>
                <w:sz w:val="20"/>
                <w:szCs w:val="20"/>
                <w:lang w:eastAsia="cs-CZ"/>
              </w:rPr>
            </w:pPr>
            <w:r w:rsidRPr="00EE3D20">
              <w:rPr>
                <w:rFonts w:cstheme="minorHAnsi"/>
                <w:color w:val="000000"/>
                <w:sz w:val="20"/>
                <w:szCs w:val="20"/>
              </w:rPr>
              <w:t>Průběžně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1A6CE6" w:rsidRPr="00EE3D20" w:rsidP="001A6CE6" w14:paraId="613F2813" w14:textId="2DC3F4FF">
            <w:pPr>
              <w:spacing w:before="0" w:after="0"/>
              <w:jc w:val="center"/>
              <w:rPr>
                <w:rFonts w:eastAsia="Times New Roman" w:cstheme="minorHAnsi"/>
                <w:color w:val="000000"/>
                <w:sz w:val="20"/>
                <w:szCs w:val="20"/>
                <w:lang w:eastAsia="cs-CZ"/>
              </w:rPr>
            </w:pPr>
            <w:r w:rsidRPr="00EE3D20">
              <w:rPr>
                <w:rFonts w:cstheme="minorHAnsi"/>
                <w:color w:val="000000"/>
                <w:sz w:val="20"/>
                <w:szCs w:val="20"/>
              </w:rPr>
              <w:t>0</w:t>
            </w:r>
          </w:p>
        </w:tc>
        <w:tc>
          <w:tcPr>
            <w:tcW w:w="1334" w:type="dxa"/>
            <w:tcBorders>
              <w:top w:val="single" w:sz="8" w:space="0" w:color="auto"/>
              <w:left w:val="nil"/>
              <w:bottom w:val="single" w:sz="8" w:space="0" w:color="auto"/>
              <w:right w:val="single" w:sz="8" w:space="0" w:color="auto"/>
            </w:tcBorders>
            <w:vAlign w:val="center"/>
          </w:tcPr>
          <w:p w:rsidR="001A6CE6" w:rsidRPr="00EE3D20" w:rsidP="001A6CE6" w14:paraId="4EF13CEA" w14:textId="33BD6404">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30</w:t>
            </w:r>
          </w:p>
        </w:tc>
      </w:tr>
      <w:tr w14:paraId="45ADB5C1" w14:textId="77777777" w:rsidTr="00096586">
        <w:tblPrEx>
          <w:tblW w:w="12387" w:type="dxa"/>
          <w:tblCellMar>
            <w:top w:w="15" w:type="dxa"/>
            <w:left w:w="70" w:type="dxa"/>
            <w:bottom w:w="15" w:type="dxa"/>
            <w:right w:w="70" w:type="dxa"/>
          </w:tblCellMar>
          <w:tblLook w:val="04A0"/>
        </w:tblPrEx>
        <w:trPr>
          <w:trHeight w:val="1236"/>
        </w:trPr>
        <w:tc>
          <w:tcPr>
            <w:tcW w:w="1013" w:type="dxa"/>
            <w:tcBorders>
              <w:top w:val="single" w:sz="8" w:space="0" w:color="auto"/>
              <w:left w:val="single" w:sz="8" w:space="0" w:color="auto"/>
              <w:bottom w:val="single" w:sz="8" w:space="0" w:color="auto"/>
              <w:right w:val="single" w:sz="8" w:space="0" w:color="auto"/>
            </w:tcBorders>
            <w:vAlign w:val="center"/>
          </w:tcPr>
          <w:p w:rsidR="009C17F0" w:rsidRPr="00EE3D20" w:rsidP="00096586" w14:paraId="3E8B93DE" w14:textId="7F4D88E2">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2.1</w:t>
            </w:r>
          </w:p>
        </w:tc>
        <w:tc>
          <w:tcPr>
            <w:tcW w:w="2581" w:type="dxa"/>
            <w:tcBorders>
              <w:top w:val="single" w:sz="8" w:space="0" w:color="auto"/>
              <w:left w:val="single" w:sz="8" w:space="0" w:color="auto"/>
              <w:bottom w:val="single" w:sz="8" w:space="0" w:color="auto"/>
              <w:right w:val="single" w:sz="8" w:space="0" w:color="auto"/>
            </w:tcBorders>
            <w:vAlign w:val="center"/>
          </w:tcPr>
          <w:p w:rsidR="009C17F0" w:rsidRPr="00EE3D20" w:rsidP="009C17F0" w14:paraId="0BB48412" w14:textId="37EAF0FF">
            <w:pPr>
              <w:spacing w:before="0" w:after="0"/>
              <w:jc w:val="center"/>
              <w:rPr>
                <w:rFonts w:cstheme="minorHAnsi"/>
                <w:color w:val="000000"/>
                <w:sz w:val="20"/>
                <w:szCs w:val="20"/>
              </w:rPr>
            </w:pPr>
            <w:r w:rsidRPr="00EE3D20">
              <w:rPr>
                <w:rFonts w:cstheme="minorHAnsi"/>
                <w:color w:val="000000"/>
                <w:sz w:val="20"/>
                <w:szCs w:val="20"/>
              </w:rPr>
              <w:t>průměrný věk praktických lékařů</w:t>
            </w:r>
          </w:p>
        </w:tc>
        <w:tc>
          <w:tcPr>
            <w:tcW w:w="2501" w:type="dxa"/>
            <w:tcBorders>
              <w:top w:val="single" w:sz="8" w:space="0" w:color="auto"/>
              <w:left w:val="nil"/>
              <w:bottom w:val="single" w:sz="8" w:space="0" w:color="auto"/>
              <w:right w:val="single" w:sz="8" w:space="0" w:color="auto"/>
            </w:tcBorders>
            <w:vAlign w:val="center"/>
          </w:tcPr>
          <w:p w:rsidR="009C17F0" w:rsidRPr="00EE3D20" w:rsidP="009C17F0" w14:paraId="273B4C01" w14:textId="1740A397">
            <w:pPr>
              <w:spacing w:before="0" w:after="0"/>
              <w:jc w:val="center"/>
              <w:rPr>
                <w:rFonts w:cstheme="minorHAnsi"/>
                <w:color w:val="000000"/>
                <w:sz w:val="20"/>
                <w:szCs w:val="20"/>
              </w:rPr>
            </w:pPr>
            <w:r w:rsidRPr="00EE3D20">
              <w:rPr>
                <w:rFonts w:cstheme="minorHAnsi"/>
                <w:color w:val="000000"/>
                <w:sz w:val="20"/>
                <w:szCs w:val="20"/>
              </w:rPr>
              <w:t>Věk všech aktivních všeobecných praktických lékařů v daném období</w:t>
            </w:r>
          </w:p>
        </w:tc>
        <w:tc>
          <w:tcPr>
            <w:tcW w:w="1022" w:type="dxa"/>
            <w:tcBorders>
              <w:top w:val="single" w:sz="8" w:space="0" w:color="auto"/>
              <w:left w:val="nil"/>
              <w:bottom w:val="single" w:sz="8" w:space="0" w:color="auto"/>
              <w:right w:val="single" w:sz="8" w:space="0" w:color="auto"/>
            </w:tcBorders>
            <w:vAlign w:val="center"/>
          </w:tcPr>
          <w:p w:rsidR="009C17F0" w:rsidRPr="00EE3D20" w:rsidP="009C17F0" w14:paraId="28DF9550" w14:textId="7F7B52D4">
            <w:pPr>
              <w:spacing w:before="0" w:after="0"/>
              <w:jc w:val="center"/>
              <w:rPr>
                <w:rFonts w:cstheme="minorHAnsi"/>
                <w:color w:val="000000"/>
                <w:sz w:val="20"/>
                <w:szCs w:val="20"/>
              </w:rPr>
            </w:pPr>
            <w:r w:rsidRPr="00EE3D20">
              <w:rPr>
                <w:rFonts w:cstheme="minorHAnsi"/>
                <w:color w:val="000000"/>
                <w:sz w:val="20"/>
                <w:szCs w:val="20"/>
              </w:rPr>
              <w:t>MZD</w:t>
            </w:r>
            <w:r w:rsidRPr="00EE3D20" w:rsidR="000574F5">
              <w:rPr>
                <w:rFonts w:cstheme="minorHAnsi"/>
                <w:color w:val="000000"/>
                <w:sz w:val="20"/>
                <w:szCs w:val="20"/>
              </w:rPr>
              <w:t>-SZ/OZP</w:t>
            </w:r>
          </w:p>
        </w:tc>
        <w:tc>
          <w:tcPr>
            <w:tcW w:w="1484" w:type="dxa"/>
            <w:tcBorders>
              <w:top w:val="single" w:sz="8" w:space="0" w:color="auto"/>
              <w:left w:val="nil"/>
              <w:bottom w:val="single" w:sz="8" w:space="0" w:color="auto"/>
              <w:right w:val="single" w:sz="8" w:space="0" w:color="auto"/>
            </w:tcBorders>
            <w:vAlign w:val="center"/>
          </w:tcPr>
          <w:p w:rsidR="009C17F0" w:rsidRPr="00EE3D20" w:rsidP="009C17F0" w14:paraId="246FD476" w14:textId="40E5A264">
            <w:pPr>
              <w:spacing w:before="0" w:after="0"/>
              <w:jc w:val="center"/>
              <w:rPr>
                <w:rFonts w:cstheme="minorHAnsi"/>
                <w:color w:val="000000"/>
                <w:sz w:val="20"/>
                <w:szCs w:val="20"/>
              </w:rPr>
            </w:pPr>
            <w:r w:rsidRPr="00EE3D20">
              <w:rPr>
                <w:rFonts w:cstheme="minorHAnsi"/>
                <w:color w:val="000000"/>
                <w:sz w:val="20"/>
                <w:szCs w:val="20"/>
              </w:rPr>
              <w:t>Věk</w:t>
            </w:r>
          </w:p>
        </w:tc>
        <w:tc>
          <w:tcPr>
            <w:tcW w:w="1176" w:type="dxa"/>
            <w:tcBorders>
              <w:top w:val="single" w:sz="8" w:space="0" w:color="auto"/>
              <w:left w:val="nil"/>
              <w:bottom w:val="single" w:sz="8" w:space="0" w:color="auto"/>
              <w:right w:val="single" w:sz="8" w:space="0" w:color="auto"/>
            </w:tcBorders>
            <w:vAlign w:val="center"/>
          </w:tcPr>
          <w:p w:rsidR="009C17F0" w:rsidRPr="00EE3D20" w:rsidP="009C17F0" w14:paraId="713687C2" w14:textId="44939F88">
            <w:pPr>
              <w:spacing w:before="0" w:after="0"/>
              <w:jc w:val="center"/>
              <w:rPr>
                <w:rFonts w:cstheme="minorHAnsi"/>
                <w:color w:val="000000"/>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9C17F0" w:rsidRPr="00EE3D20" w:rsidP="009C17F0" w14:paraId="540315F6" w14:textId="0A22DBBA">
            <w:pPr>
              <w:spacing w:before="0" w:after="0"/>
              <w:jc w:val="center"/>
              <w:rPr>
                <w:rFonts w:cstheme="minorHAnsi"/>
                <w:color w:val="000000"/>
                <w:sz w:val="20"/>
                <w:szCs w:val="20"/>
              </w:rPr>
            </w:pPr>
            <w:r w:rsidRPr="00EE3D20">
              <w:rPr>
                <w:rFonts w:cstheme="minorHAnsi"/>
                <w:color w:val="000000"/>
                <w:sz w:val="20"/>
                <w:szCs w:val="20"/>
              </w:rPr>
              <w:t>55</w:t>
            </w:r>
          </w:p>
        </w:tc>
        <w:tc>
          <w:tcPr>
            <w:tcW w:w="1334" w:type="dxa"/>
            <w:tcBorders>
              <w:top w:val="single" w:sz="8" w:space="0" w:color="auto"/>
              <w:left w:val="nil"/>
              <w:bottom w:val="single" w:sz="8" w:space="0" w:color="auto"/>
              <w:right w:val="single" w:sz="8" w:space="0" w:color="auto"/>
            </w:tcBorders>
            <w:vAlign w:val="center"/>
          </w:tcPr>
          <w:p w:rsidR="009C17F0" w:rsidRPr="00EE3D20" w:rsidP="009C17F0" w14:paraId="156E5B35" w14:textId="14FB746A">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50</w:t>
            </w:r>
          </w:p>
        </w:tc>
      </w:tr>
      <w:tr w14:paraId="16650DF3" w14:textId="77777777" w:rsidTr="00096586">
        <w:tblPrEx>
          <w:tblW w:w="12387" w:type="dxa"/>
          <w:tblCellMar>
            <w:top w:w="15" w:type="dxa"/>
            <w:left w:w="70" w:type="dxa"/>
            <w:bottom w:w="15" w:type="dxa"/>
            <w:right w:w="70" w:type="dxa"/>
          </w:tblCellMar>
          <w:tblLook w:val="04A0"/>
        </w:tblPrEx>
        <w:trPr>
          <w:trHeight w:val="1935"/>
        </w:trPr>
        <w:tc>
          <w:tcPr>
            <w:tcW w:w="1013" w:type="dxa"/>
            <w:tcBorders>
              <w:top w:val="single" w:sz="8" w:space="0" w:color="auto"/>
              <w:left w:val="single" w:sz="8" w:space="0" w:color="auto"/>
              <w:bottom w:val="single" w:sz="8" w:space="0" w:color="auto"/>
              <w:right w:val="single" w:sz="8" w:space="0" w:color="auto"/>
            </w:tcBorders>
            <w:vAlign w:val="center"/>
          </w:tcPr>
          <w:p w:rsidR="000574F5" w:rsidRPr="00EE3D20" w:rsidP="00096586" w14:paraId="49D44B84" w14:textId="286E8F41">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2.1</w:t>
            </w:r>
          </w:p>
        </w:tc>
        <w:tc>
          <w:tcPr>
            <w:tcW w:w="2581" w:type="dxa"/>
            <w:tcBorders>
              <w:top w:val="single" w:sz="8" w:space="0" w:color="auto"/>
              <w:left w:val="single" w:sz="8" w:space="0" w:color="auto"/>
              <w:bottom w:val="single" w:sz="8" w:space="0" w:color="auto"/>
              <w:right w:val="single" w:sz="8" w:space="0" w:color="auto"/>
            </w:tcBorders>
            <w:vAlign w:val="center"/>
          </w:tcPr>
          <w:p w:rsidR="000574F5" w:rsidRPr="00EE3D20" w:rsidP="000574F5" w14:paraId="7061DB52" w14:textId="7A71477E">
            <w:pPr>
              <w:spacing w:before="0" w:after="0"/>
              <w:jc w:val="center"/>
              <w:rPr>
                <w:rFonts w:cstheme="minorHAnsi"/>
                <w:b/>
                <w:bCs/>
                <w:color w:val="000000"/>
                <w:sz w:val="20"/>
                <w:szCs w:val="20"/>
              </w:rPr>
            </w:pPr>
            <w:r w:rsidRPr="00EE3D20">
              <w:rPr>
                <w:rFonts w:cstheme="minorHAnsi"/>
                <w:color w:val="000000"/>
                <w:sz w:val="20"/>
                <w:szCs w:val="20"/>
              </w:rPr>
              <w:t>Poměr návštěv u ambulantních specialistů k návštěvám u praktických lékařů</w:t>
            </w:r>
          </w:p>
        </w:tc>
        <w:tc>
          <w:tcPr>
            <w:tcW w:w="2501" w:type="dxa"/>
            <w:tcBorders>
              <w:top w:val="single" w:sz="8" w:space="0" w:color="auto"/>
              <w:left w:val="nil"/>
              <w:bottom w:val="single" w:sz="8" w:space="0" w:color="auto"/>
              <w:right w:val="single" w:sz="8" w:space="0" w:color="auto"/>
            </w:tcBorders>
            <w:vAlign w:val="center"/>
          </w:tcPr>
          <w:p w:rsidR="000574F5" w:rsidRPr="00EE3D20" w:rsidP="000574F5" w14:paraId="7527C6DB" w14:textId="700153B3">
            <w:pPr>
              <w:spacing w:before="0" w:after="0"/>
              <w:jc w:val="center"/>
              <w:rPr>
                <w:rFonts w:cstheme="minorHAnsi"/>
                <w:b/>
                <w:bCs/>
                <w:color w:val="000000"/>
                <w:sz w:val="20"/>
                <w:szCs w:val="20"/>
              </w:rPr>
            </w:pPr>
            <w:r w:rsidRPr="00EE3D20">
              <w:rPr>
                <w:rFonts w:cstheme="minorHAnsi"/>
                <w:color w:val="000000"/>
                <w:sz w:val="20"/>
                <w:szCs w:val="20"/>
              </w:rPr>
              <w:t>Relativní četnost kontaktů pacientů s ambulantními specialisty ve srovnání s kontakty s praktickými lékaři</w:t>
            </w:r>
          </w:p>
        </w:tc>
        <w:tc>
          <w:tcPr>
            <w:tcW w:w="1022" w:type="dxa"/>
            <w:tcBorders>
              <w:top w:val="single" w:sz="8" w:space="0" w:color="auto"/>
              <w:left w:val="nil"/>
              <w:bottom w:val="single" w:sz="8" w:space="0" w:color="auto"/>
              <w:right w:val="single" w:sz="8" w:space="0" w:color="auto"/>
            </w:tcBorders>
            <w:vAlign w:val="center"/>
          </w:tcPr>
          <w:p w:rsidR="000574F5" w:rsidRPr="00EE3D20" w:rsidP="000574F5" w14:paraId="1204B952" w14:textId="6C4E069C">
            <w:pPr>
              <w:spacing w:before="0" w:after="0"/>
              <w:jc w:val="center"/>
              <w:rPr>
                <w:rFonts w:cstheme="minorHAnsi"/>
                <w:sz w:val="20"/>
                <w:szCs w:val="20"/>
              </w:rPr>
            </w:pPr>
            <w:r w:rsidRPr="00EE3D20">
              <w:rPr>
                <w:rFonts w:cstheme="minorHAnsi"/>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0574F5" w:rsidRPr="00EE3D20" w:rsidP="000574F5" w14:paraId="5A4638B5" w14:textId="086087D6">
            <w:pPr>
              <w:spacing w:before="0" w:after="0"/>
              <w:jc w:val="center"/>
              <w:rPr>
                <w:rFonts w:cstheme="minorHAnsi"/>
                <w:sz w:val="20"/>
                <w:szCs w:val="20"/>
              </w:rPr>
            </w:pPr>
            <w:r w:rsidRPr="00EE3D20">
              <w:rPr>
                <w:rFonts w:cstheme="minorHAnsi"/>
                <w:sz w:val="20"/>
                <w:szCs w:val="20"/>
              </w:rPr>
              <w:t>Průměrný počet návštěv na jednoho pacienta u ambulantního specialisty: průměrný počet návštěv na jednoho pacienta</w:t>
            </w:r>
          </w:p>
        </w:tc>
        <w:tc>
          <w:tcPr>
            <w:tcW w:w="1176" w:type="dxa"/>
            <w:tcBorders>
              <w:top w:val="single" w:sz="8" w:space="0" w:color="auto"/>
              <w:left w:val="nil"/>
              <w:bottom w:val="single" w:sz="8" w:space="0" w:color="auto"/>
              <w:right w:val="single" w:sz="8" w:space="0" w:color="auto"/>
            </w:tcBorders>
            <w:vAlign w:val="center"/>
          </w:tcPr>
          <w:p w:rsidR="000574F5" w:rsidRPr="00EE3D20" w:rsidP="000574F5" w14:paraId="52FA6141" w14:textId="7A47C546">
            <w:pPr>
              <w:spacing w:before="0" w:after="0"/>
              <w:jc w:val="center"/>
              <w:rPr>
                <w:rFonts w:cstheme="minorHAnsi"/>
                <w:sz w:val="20"/>
                <w:szCs w:val="20"/>
              </w:rPr>
            </w:pPr>
            <w:r w:rsidRPr="00EE3D20">
              <w:rPr>
                <w:rFonts w:cstheme="minorHAnsi"/>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0574F5" w:rsidRPr="00EE3D20" w:rsidP="000574F5" w14:paraId="6A71CADC" w14:textId="2E6818E6">
            <w:pPr>
              <w:spacing w:before="0" w:after="0"/>
              <w:jc w:val="center"/>
              <w:rPr>
                <w:rFonts w:cstheme="minorHAnsi"/>
                <w:sz w:val="20"/>
                <w:szCs w:val="20"/>
              </w:rPr>
            </w:pPr>
            <w:r w:rsidRPr="00EE3D20">
              <w:rPr>
                <w:rFonts w:cstheme="minorHAnsi"/>
                <w:sz w:val="20"/>
                <w:szCs w:val="20"/>
              </w:rPr>
              <w:t>4,9:3,4</w:t>
            </w:r>
          </w:p>
        </w:tc>
        <w:tc>
          <w:tcPr>
            <w:tcW w:w="1334" w:type="dxa"/>
            <w:tcBorders>
              <w:top w:val="single" w:sz="8" w:space="0" w:color="auto"/>
              <w:left w:val="nil"/>
              <w:bottom w:val="single" w:sz="8" w:space="0" w:color="auto"/>
              <w:right w:val="single" w:sz="8" w:space="0" w:color="auto"/>
            </w:tcBorders>
            <w:vAlign w:val="center"/>
          </w:tcPr>
          <w:p w:rsidR="000574F5" w:rsidRPr="00EE3D20" w:rsidP="000574F5" w14:paraId="2A80485E" w14:textId="7553D68A">
            <w:pPr>
              <w:spacing w:before="0" w:after="0"/>
              <w:jc w:val="center"/>
              <w:rPr>
                <w:rFonts w:eastAsia="Times New Roman" w:cstheme="minorHAnsi"/>
                <w:color w:val="000000"/>
                <w:sz w:val="20"/>
                <w:szCs w:val="20"/>
                <w:lang w:eastAsia="cs-CZ"/>
              </w:rPr>
            </w:pPr>
            <w:r w:rsidRPr="00EE3D20">
              <w:rPr>
                <w:rFonts w:cstheme="minorHAnsi"/>
                <w:color w:val="000000"/>
                <w:sz w:val="20"/>
                <w:szCs w:val="20"/>
              </w:rPr>
              <w:t>6,5 : 3,6</w:t>
            </w:r>
          </w:p>
        </w:tc>
      </w:tr>
      <w:tr w14:paraId="4D70AB2D" w14:textId="77777777" w:rsidTr="00096586">
        <w:tblPrEx>
          <w:tblW w:w="12387" w:type="dxa"/>
          <w:tblCellMar>
            <w:top w:w="15" w:type="dxa"/>
            <w:left w:w="70" w:type="dxa"/>
            <w:bottom w:w="15" w:type="dxa"/>
            <w:right w:w="70" w:type="dxa"/>
          </w:tblCellMar>
          <w:tblLook w:val="04A0"/>
        </w:tblPrEx>
        <w:trPr>
          <w:trHeight w:val="1476"/>
        </w:trPr>
        <w:tc>
          <w:tcPr>
            <w:tcW w:w="1013" w:type="dxa"/>
            <w:tcBorders>
              <w:top w:val="single" w:sz="8" w:space="0" w:color="auto"/>
              <w:left w:val="single" w:sz="8" w:space="0" w:color="auto"/>
              <w:bottom w:val="single" w:sz="8" w:space="0" w:color="auto"/>
              <w:right w:val="single" w:sz="8" w:space="0" w:color="auto"/>
            </w:tcBorders>
            <w:vAlign w:val="center"/>
          </w:tcPr>
          <w:p w:rsidR="000574F5" w:rsidRPr="00EE3D20" w:rsidP="00096586" w14:paraId="2934B827" w14:textId="6D04E0B1">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2.1</w:t>
            </w:r>
          </w:p>
        </w:tc>
        <w:tc>
          <w:tcPr>
            <w:tcW w:w="2581" w:type="dxa"/>
            <w:tcBorders>
              <w:top w:val="single" w:sz="8" w:space="0" w:color="auto"/>
              <w:left w:val="single" w:sz="8" w:space="0" w:color="auto"/>
              <w:bottom w:val="single" w:sz="8" w:space="0" w:color="auto"/>
              <w:right w:val="single" w:sz="8" w:space="0" w:color="auto"/>
            </w:tcBorders>
            <w:vAlign w:val="center"/>
          </w:tcPr>
          <w:p w:rsidR="000574F5" w:rsidRPr="00EE3D20" w:rsidP="000574F5" w14:paraId="66897ADF" w14:textId="7DF4DE94">
            <w:pPr>
              <w:spacing w:before="0" w:after="0"/>
              <w:jc w:val="center"/>
              <w:rPr>
                <w:rFonts w:cstheme="minorHAnsi"/>
                <w:b/>
                <w:bCs/>
                <w:color w:val="000000"/>
                <w:sz w:val="20"/>
                <w:szCs w:val="20"/>
              </w:rPr>
            </w:pPr>
            <w:r w:rsidRPr="00EE3D20">
              <w:rPr>
                <w:rFonts w:cstheme="minorHAnsi"/>
                <w:color w:val="000000"/>
                <w:sz w:val="20"/>
                <w:szCs w:val="20"/>
              </w:rPr>
              <w:t>Preventivní prohlídky u praktického lékaře</w:t>
            </w:r>
          </w:p>
        </w:tc>
        <w:tc>
          <w:tcPr>
            <w:tcW w:w="2501" w:type="dxa"/>
            <w:tcBorders>
              <w:top w:val="single" w:sz="8" w:space="0" w:color="auto"/>
              <w:left w:val="nil"/>
              <w:bottom w:val="single" w:sz="8" w:space="0" w:color="auto"/>
              <w:right w:val="single" w:sz="8" w:space="0" w:color="auto"/>
            </w:tcBorders>
            <w:vAlign w:val="center"/>
          </w:tcPr>
          <w:p w:rsidR="000574F5" w:rsidRPr="00EE3D20" w:rsidP="000574F5" w14:paraId="433B9A86" w14:textId="360BCAFA">
            <w:pPr>
              <w:spacing w:before="0" w:after="0"/>
              <w:jc w:val="center"/>
              <w:rPr>
                <w:rFonts w:cstheme="minorHAnsi"/>
                <w:b/>
                <w:bCs/>
                <w:color w:val="000000"/>
                <w:sz w:val="20"/>
                <w:szCs w:val="20"/>
              </w:rPr>
            </w:pPr>
            <w:r w:rsidRPr="00EE3D20">
              <w:rPr>
                <w:rFonts w:cstheme="minorHAnsi"/>
                <w:color w:val="000000"/>
                <w:sz w:val="20"/>
                <w:szCs w:val="20"/>
              </w:rPr>
              <w:t>Provedené preventivní prohlídky u všeobecných praktických lékařů v daném období. Míra využívání preventivní péče obyvatelstvem.</w:t>
            </w:r>
          </w:p>
        </w:tc>
        <w:tc>
          <w:tcPr>
            <w:tcW w:w="1022" w:type="dxa"/>
            <w:tcBorders>
              <w:top w:val="single" w:sz="8" w:space="0" w:color="auto"/>
              <w:left w:val="nil"/>
              <w:bottom w:val="single" w:sz="8" w:space="0" w:color="auto"/>
              <w:right w:val="single" w:sz="8" w:space="0" w:color="auto"/>
            </w:tcBorders>
            <w:vAlign w:val="center"/>
          </w:tcPr>
          <w:p w:rsidR="000574F5" w:rsidRPr="00EE3D20" w:rsidP="000574F5" w14:paraId="60A3D487" w14:textId="6A8FFCCE">
            <w:pPr>
              <w:spacing w:before="0" w:after="0"/>
              <w:jc w:val="center"/>
              <w:rPr>
                <w:rFonts w:cstheme="minorHAnsi"/>
                <w:sz w:val="20"/>
                <w:szCs w:val="20"/>
              </w:rPr>
            </w:pPr>
            <w:r w:rsidRPr="00EE3D20">
              <w:rPr>
                <w:rFonts w:cstheme="minorHAnsi"/>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0574F5" w:rsidRPr="00EE3D20" w:rsidP="000574F5" w14:paraId="081D34AF" w14:textId="30E24F17">
            <w:pPr>
              <w:spacing w:before="0" w:after="0"/>
              <w:jc w:val="center"/>
              <w:rPr>
                <w:rFonts w:cstheme="minorHAnsi"/>
                <w:sz w:val="20"/>
                <w:szCs w:val="20"/>
              </w:rPr>
            </w:pPr>
            <w:r w:rsidRPr="00EE3D20">
              <w:rPr>
                <w:rFonts w:cstheme="minorHAnsi"/>
                <w:sz w:val="20"/>
                <w:szCs w:val="20"/>
              </w:rPr>
              <w:t>Podíl obyvatel, kteří v průběhu předchozích dvou let absolvovali preventivní prohlídku u praktického lékaře</w:t>
            </w:r>
          </w:p>
        </w:tc>
        <w:tc>
          <w:tcPr>
            <w:tcW w:w="1176" w:type="dxa"/>
            <w:tcBorders>
              <w:top w:val="single" w:sz="8" w:space="0" w:color="auto"/>
              <w:left w:val="nil"/>
              <w:bottom w:val="single" w:sz="8" w:space="0" w:color="auto"/>
              <w:right w:val="single" w:sz="8" w:space="0" w:color="auto"/>
            </w:tcBorders>
            <w:vAlign w:val="center"/>
          </w:tcPr>
          <w:p w:rsidR="000574F5" w:rsidRPr="00EE3D20" w:rsidP="000574F5" w14:paraId="637AD7CB" w14:textId="7501008A">
            <w:pPr>
              <w:spacing w:before="0" w:after="0"/>
              <w:jc w:val="center"/>
              <w:rPr>
                <w:rFonts w:cstheme="minorHAnsi"/>
                <w:sz w:val="20"/>
                <w:szCs w:val="20"/>
              </w:rPr>
            </w:pPr>
            <w:r w:rsidRPr="00EE3D20">
              <w:rPr>
                <w:rFonts w:cstheme="minorHAnsi"/>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0574F5" w:rsidRPr="00EE3D20" w:rsidP="000574F5" w14:paraId="7AB565C0" w14:textId="21909BD6">
            <w:pPr>
              <w:spacing w:before="0" w:after="0"/>
              <w:jc w:val="center"/>
              <w:rPr>
                <w:rFonts w:cstheme="minorHAnsi"/>
                <w:sz w:val="20"/>
                <w:szCs w:val="20"/>
              </w:rPr>
            </w:pPr>
            <w:r w:rsidRPr="00EE3D20">
              <w:rPr>
                <w:rFonts w:cstheme="minorHAnsi"/>
                <w:sz w:val="20"/>
                <w:szCs w:val="20"/>
              </w:rPr>
              <w:t>59,80</w:t>
            </w:r>
            <w:r w:rsidR="00096586">
              <w:rPr>
                <w:rFonts w:cstheme="minorHAnsi"/>
                <w:sz w:val="20"/>
                <w:szCs w:val="20"/>
              </w:rPr>
              <w:t xml:space="preserve"> </w:t>
            </w:r>
            <w:r w:rsidRPr="00EE3D20">
              <w:rPr>
                <w:rFonts w:cstheme="minorHAnsi"/>
                <w:sz w:val="20"/>
                <w:szCs w:val="20"/>
              </w:rPr>
              <w:t>%</w:t>
            </w:r>
          </w:p>
        </w:tc>
        <w:tc>
          <w:tcPr>
            <w:tcW w:w="1334" w:type="dxa"/>
            <w:tcBorders>
              <w:top w:val="single" w:sz="8" w:space="0" w:color="auto"/>
              <w:left w:val="nil"/>
              <w:bottom w:val="single" w:sz="8" w:space="0" w:color="auto"/>
              <w:right w:val="single" w:sz="8" w:space="0" w:color="auto"/>
            </w:tcBorders>
            <w:vAlign w:val="center"/>
          </w:tcPr>
          <w:p w:rsidR="000574F5" w:rsidRPr="00EE3D20" w:rsidP="000574F5" w14:paraId="1C0D833E" w14:textId="43B73496">
            <w:pPr>
              <w:spacing w:before="0" w:after="0"/>
              <w:jc w:val="center"/>
              <w:rPr>
                <w:rFonts w:eastAsia="Times New Roman" w:cstheme="minorHAnsi"/>
                <w:color w:val="000000"/>
                <w:sz w:val="20"/>
                <w:szCs w:val="20"/>
                <w:lang w:eastAsia="cs-CZ"/>
              </w:rPr>
            </w:pPr>
            <w:r w:rsidRPr="00EE3D20">
              <w:rPr>
                <w:rFonts w:cstheme="minorHAnsi"/>
                <w:color w:val="000000"/>
                <w:sz w:val="20"/>
                <w:szCs w:val="20"/>
              </w:rPr>
              <w:t>74,10</w:t>
            </w:r>
            <w:r w:rsidR="00096586">
              <w:rPr>
                <w:rFonts w:cstheme="minorHAnsi"/>
                <w:color w:val="000000"/>
                <w:sz w:val="20"/>
                <w:szCs w:val="20"/>
              </w:rPr>
              <w:t xml:space="preserve"> </w:t>
            </w:r>
            <w:r w:rsidRPr="00EE3D20">
              <w:rPr>
                <w:rFonts w:cstheme="minorHAnsi"/>
                <w:color w:val="000000"/>
                <w:sz w:val="20"/>
                <w:szCs w:val="20"/>
              </w:rPr>
              <w:t>%</w:t>
            </w:r>
          </w:p>
        </w:tc>
      </w:tr>
      <w:tr w14:paraId="4992B35F" w14:textId="77777777" w:rsidTr="00096586">
        <w:tblPrEx>
          <w:tblW w:w="12387" w:type="dxa"/>
          <w:tblCellMar>
            <w:top w:w="15" w:type="dxa"/>
            <w:left w:w="70" w:type="dxa"/>
            <w:bottom w:w="15" w:type="dxa"/>
            <w:right w:w="70" w:type="dxa"/>
          </w:tblCellMar>
          <w:tblLook w:val="04A0"/>
        </w:tblPrEx>
        <w:trPr>
          <w:trHeight w:val="244"/>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3CFFCFAB" w14:textId="7E20FB6C">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2.2</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3CCEB7AD" w14:textId="707C8C18">
            <w:pPr>
              <w:spacing w:before="0" w:after="0"/>
              <w:jc w:val="center"/>
              <w:rPr>
                <w:rFonts w:cstheme="minorHAnsi"/>
                <w:color w:val="000000"/>
                <w:sz w:val="20"/>
                <w:szCs w:val="20"/>
              </w:rPr>
            </w:pPr>
            <w:r w:rsidRPr="00EE3D20">
              <w:rPr>
                <w:rFonts w:cstheme="minorHAnsi"/>
                <w:color w:val="000000"/>
                <w:sz w:val="20"/>
                <w:szCs w:val="20"/>
              </w:rPr>
              <w:t>Počet lékařů/zubařů/zdravotnických pracovníků – (všeobecných sester, nelékařů atp) na 1000 obyvatel/územně samosprávný celek</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6169388B" w14:textId="75176FE6">
            <w:pPr>
              <w:spacing w:before="0" w:after="0"/>
              <w:jc w:val="center"/>
              <w:rPr>
                <w:rFonts w:cstheme="minorHAnsi"/>
                <w:color w:val="000000"/>
                <w:sz w:val="20"/>
                <w:szCs w:val="20"/>
              </w:rPr>
            </w:pPr>
            <w:r w:rsidRPr="00EE3D20">
              <w:rPr>
                <w:rFonts w:cstheme="minorHAnsi"/>
                <w:color w:val="000000"/>
                <w:sz w:val="20"/>
                <w:szCs w:val="20"/>
              </w:rPr>
              <w:t>Pročet uvedených zdravotnických pracovníků se do roku 2035 zvýší.</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1CAB1E64" w14:textId="05814CEC">
            <w:pPr>
              <w:spacing w:before="0" w:after="0"/>
              <w:jc w:val="center"/>
              <w:rPr>
                <w:rFonts w:cstheme="minorHAnsi"/>
                <w:sz w:val="20"/>
                <w:szCs w:val="20"/>
              </w:rPr>
            </w:pPr>
            <w:r w:rsidRPr="00EE3D20">
              <w:rPr>
                <w:rFonts w:cstheme="minorHAnsi"/>
                <w:color w:val="000000"/>
                <w:sz w:val="20"/>
                <w:szCs w:val="20"/>
              </w:rPr>
              <w:t>MZD-NAM/2, SZ/OZP</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6BB99966" w14:textId="7BCFE94B">
            <w:pPr>
              <w:spacing w:before="0" w:after="0"/>
              <w:jc w:val="center"/>
              <w:rPr>
                <w:rFonts w:cstheme="minorHAnsi"/>
                <w:sz w:val="20"/>
                <w:szCs w:val="20"/>
              </w:rPr>
            </w:pPr>
            <w:r w:rsidRPr="00EE3D20">
              <w:rPr>
                <w:rFonts w:cstheme="minorHAnsi"/>
                <w:color w:val="000000"/>
                <w:sz w:val="20"/>
                <w:szCs w:val="20"/>
              </w:rPr>
              <w:t>Počet zdravotnických pracovníků (včetně sester) na 1 000 obyvatel</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4A3ECB4D" w14:textId="7235DF00">
            <w:pPr>
              <w:spacing w:before="0" w:after="0"/>
              <w:jc w:val="center"/>
              <w:rPr>
                <w:rFonts w:cstheme="minorHAnsi"/>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660A1C84" w14:textId="17B8ED7A">
            <w:pPr>
              <w:spacing w:before="0" w:after="0"/>
              <w:jc w:val="center"/>
              <w:rPr>
                <w:rFonts w:cstheme="minorHAnsi"/>
                <w:sz w:val="20"/>
                <w:szCs w:val="20"/>
              </w:rPr>
            </w:pPr>
            <w:r w:rsidRPr="00EE3D20">
              <w:rPr>
                <w:rFonts w:cstheme="minorHAnsi"/>
                <w:color w:val="000000"/>
                <w:sz w:val="20"/>
                <w:szCs w:val="20"/>
              </w:rPr>
              <w:t>23</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2CF4E219" w14:textId="1380B757">
            <w:pPr>
              <w:spacing w:before="0" w:after="0"/>
              <w:jc w:val="center"/>
              <w:rPr>
                <w:rFonts w:cstheme="minorHAnsi"/>
                <w:color w:val="000000"/>
                <w:sz w:val="20"/>
                <w:szCs w:val="20"/>
              </w:rPr>
            </w:pPr>
            <w:r w:rsidRPr="00EE3D20">
              <w:rPr>
                <w:rFonts w:cstheme="minorHAnsi"/>
                <w:color w:val="000000"/>
                <w:sz w:val="20"/>
                <w:szCs w:val="20"/>
              </w:rPr>
              <w:t>32</w:t>
            </w:r>
          </w:p>
        </w:tc>
      </w:tr>
      <w:tr w14:paraId="2D4392D6" w14:textId="77777777" w:rsidTr="00096586">
        <w:tblPrEx>
          <w:tblW w:w="12387" w:type="dxa"/>
          <w:tblCellMar>
            <w:top w:w="15" w:type="dxa"/>
            <w:left w:w="70" w:type="dxa"/>
            <w:bottom w:w="15" w:type="dxa"/>
            <w:right w:w="70" w:type="dxa"/>
          </w:tblCellMar>
          <w:tblLook w:val="04A0"/>
        </w:tblPrEx>
        <w:trPr>
          <w:trHeight w:val="1803"/>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712CF5B7" w14:textId="73A1A216">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2.2</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64DB64FD" w14:textId="1F2CBC13">
            <w:pPr>
              <w:spacing w:before="0" w:after="0"/>
              <w:jc w:val="center"/>
              <w:rPr>
                <w:rFonts w:cstheme="minorHAnsi"/>
                <w:color w:val="000000"/>
                <w:sz w:val="20"/>
                <w:szCs w:val="20"/>
              </w:rPr>
            </w:pPr>
            <w:r w:rsidRPr="00EE3D20">
              <w:rPr>
                <w:rFonts w:cstheme="minorHAnsi"/>
                <w:color w:val="000000"/>
                <w:sz w:val="20"/>
                <w:szCs w:val="20"/>
              </w:rPr>
              <w:t>Dostupné personální údaje z kritické systemizace míst dle modelu DRG (lůžková péče)</w:t>
            </w:r>
          </w:p>
        </w:tc>
        <w:tc>
          <w:tcPr>
            <w:tcW w:w="2501" w:type="dxa"/>
            <w:tcBorders>
              <w:top w:val="single" w:sz="8" w:space="0" w:color="auto"/>
              <w:left w:val="nil"/>
              <w:bottom w:val="single" w:sz="8" w:space="0" w:color="auto"/>
              <w:right w:val="single" w:sz="8" w:space="0" w:color="auto"/>
            </w:tcBorders>
            <w:vAlign w:val="bottom"/>
          </w:tcPr>
          <w:p w:rsidR="009906CF" w:rsidRPr="00EE3D20" w:rsidP="009906CF" w14:paraId="4FBE3352" w14:textId="1237DF93">
            <w:pPr>
              <w:spacing w:before="0" w:after="0"/>
              <w:jc w:val="center"/>
              <w:rPr>
                <w:rFonts w:cstheme="minorHAnsi"/>
                <w:color w:val="000000"/>
                <w:sz w:val="20"/>
                <w:szCs w:val="20"/>
              </w:rPr>
            </w:pPr>
            <w:r w:rsidRPr="00EE3D20">
              <w:rPr>
                <w:rFonts w:cstheme="minorHAnsi"/>
                <w:color w:val="000000"/>
                <w:sz w:val="20"/>
                <w:szCs w:val="20"/>
              </w:rPr>
              <w:t>Údaje o systemizovaných pracovních místech v rámci lůžkové péče, které jsou vyhodnocovány v rámci DRG.</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4EC3C2D4" w14:textId="2C7B1925">
            <w:pPr>
              <w:spacing w:before="0" w:after="0"/>
              <w:jc w:val="center"/>
              <w:rPr>
                <w:rFonts w:cstheme="minorHAnsi"/>
                <w:sz w:val="20"/>
                <w:szCs w:val="20"/>
              </w:rPr>
            </w:pPr>
            <w:r w:rsidRPr="00EE3D20">
              <w:rPr>
                <w:rFonts w:cstheme="minorHAnsi"/>
                <w:color w:val="000000"/>
                <w:sz w:val="20"/>
                <w:szCs w:val="20"/>
              </w:rPr>
              <w:t>MZD-SE/CAU</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47162A63" w14:textId="09806049">
            <w:pPr>
              <w:spacing w:before="0" w:after="0"/>
              <w:jc w:val="center"/>
              <w:rPr>
                <w:rFonts w:cstheme="minorHAnsi"/>
                <w:sz w:val="20"/>
                <w:szCs w:val="20"/>
              </w:rPr>
            </w:pPr>
            <w:r w:rsidRPr="00EE3D20">
              <w:rPr>
                <w:rFonts w:cstheme="minorHAnsi"/>
                <w:color w:val="000000"/>
                <w:sz w:val="20"/>
                <w:szCs w:val="20"/>
              </w:rPr>
              <w:t>Existence validních údajů</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3864FCF8" w14:textId="1CFA7AB5">
            <w:pPr>
              <w:spacing w:before="0" w:after="0"/>
              <w:jc w:val="center"/>
              <w:rPr>
                <w:rFonts w:cstheme="minorHAnsi"/>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15498A3E" w14:textId="50422F58">
            <w:pPr>
              <w:spacing w:before="0" w:after="0"/>
              <w:jc w:val="center"/>
              <w:rPr>
                <w:rFonts w:cstheme="minorHAnsi"/>
                <w:sz w:val="20"/>
                <w:szCs w:val="20"/>
              </w:rPr>
            </w:pPr>
            <w:r w:rsidRPr="00EE3D20">
              <w:rPr>
                <w:rFonts w:cstheme="minorHAnsi"/>
                <w:color w:val="000000"/>
                <w:sz w:val="20"/>
                <w:szCs w:val="20"/>
              </w:rPr>
              <w:t>ANO</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41491F53" w14:textId="4C73EEB8">
            <w:pPr>
              <w:spacing w:before="0" w:after="0"/>
              <w:jc w:val="center"/>
              <w:rPr>
                <w:rFonts w:cstheme="minorHAnsi"/>
                <w:color w:val="000000"/>
                <w:sz w:val="20"/>
                <w:szCs w:val="20"/>
              </w:rPr>
            </w:pPr>
            <w:r w:rsidRPr="00EE3D20">
              <w:rPr>
                <w:rFonts w:cstheme="minorHAnsi"/>
                <w:color w:val="000000"/>
                <w:sz w:val="20"/>
                <w:szCs w:val="20"/>
              </w:rPr>
              <w:t>ANO</w:t>
            </w:r>
          </w:p>
        </w:tc>
      </w:tr>
      <w:tr w14:paraId="66D0B5FD" w14:textId="77777777" w:rsidTr="00096586">
        <w:tblPrEx>
          <w:tblW w:w="12387" w:type="dxa"/>
          <w:tblCellMar>
            <w:top w:w="15" w:type="dxa"/>
            <w:left w:w="70" w:type="dxa"/>
            <w:bottom w:w="15" w:type="dxa"/>
            <w:right w:w="70" w:type="dxa"/>
          </w:tblCellMar>
          <w:tblLook w:val="04A0"/>
        </w:tblPrEx>
        <w:trPr>
          <w:trHeight w:val="2469"/>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693893A6" w14:textId="57C98B44">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2.3</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3A8543B0" w14:textId="1BA3E1A6">
            <w:pPr>
              <w:spacing w:before="0" w:after="0"/>
              <w:jc w:val="center"/>
              <w:rPr>
                <w:rFonts w:cstheme="minorHAnsi"/>
                <w:color w:val="000000"/>
                <w:sz w:val="20"/>
                <w:szCs w:val="20"/>
              </w:rPr>
            </w:pPr>
            <w:r w:rsidRPr="00EE3D20">
              <w:rPr>
                <w:rFonts w:cstheme="minorHAnsi"/>
                <w:color w:val="000000"/>
                <w:sz w:val="20"/>
                <w:szCs w:val="20"/>
              </w:rPr>
              <w:t>Počet vytvořených portálových řešení elektronického zdravotnictví (elektronické zdravotní záznamy)</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25827E7F" w14:textId="791466F5">
            <w:pPr>
              <w:spacing w:before="0" w:after="0"/>
              <w:jc w:val="center"/>
              <w:rPr>
                <w:rFonts w:cstheme="minorHAnsi"/>
                <w:color w:val="000000"/>
                <w:sz w:val="20"/>
                <w:szCs w:val="20"/>
              </w:rPr>
            </w:pPr>
            <w:r w:rsidRPr="00EE3D20">
              <w:rPr>
                <w:rFonts w:cstheme="minorHAnsi"/>
                <w:color w:val="000000"/>
                <w:sz w:val="20"/>
                <w:szCs w:val="20"/>
              </w:rPr>
              <w:t>Centrálním prvkem celého systému elektronického zdravotnictví bude Národní portál elektronického zdravotnictví (NPEZ), zpřístupňující služby elektronického zdravotnictví, včetně elektronické zdravotnické dokumentace, doprovázený mobilní aplikací EZkarta. Portál i aplikace jsou vymezeny zákonem</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1A3B9386" w14:textId="757F8E80">
            <w:pPr>
              <w:spacing w:before="0" w:after="0"/>
              <w:jc w:val="center"/>
              <w:rPr>
                <w:rFonts w:cstheme="minorHAnsi"/>
                <w:sz w:val="20"/>
                <w:szCs w:val="20"/>
              </w:rPr>
            </w:pPr>
            <w:r w:rsidRPr="00EE3D20">
              <w:rPr>
                <w:rFonts w:cstheme="minorHAnsi"/>
                <w:color w:val="000000"/>
                <w:sz w:val="20"/>
                <w:szCs w:val="20"/>
              </w:rPr>
              <w:t>MZD-SIT/NCEZ</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7A9736CB" w14:textId="398ACCF2">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161E1604" w14:textId="1CE530EA">
            <w:pPr>
              <w:spacing w:before="0" w:after="0"/>
              <w:jc w:val="center"/>
              <w:rPr>
                <w:rFonts w:cstheme="minorHAnsi"/>
                <w:sz w:val="20"/>
                <w:szCs w:val="20"/>
              </w:rPr>
            </w:pPr>
            <w:r w:rsidRPr="00EE3D20">
              <w:rPr>
                <w:rFonts w:cstheme="minorHAnsi"/>
                <w:color w:val="000000"/>
                <w:sz w:val="20"/>
                <w:szCs w:val="20"/>
              </w:rPr>
              <w:t>na konci sledovaného období</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1B3F4C21" w14:textId="1F92420C">
            <w:pPr>
              <w:spacing w:before="0" w:after="0"/>
              <w:jc w:val="center"/>
              <w:rPr>
                <w:rFonts w:cstheme="minorHAnsi"/>
                <w:sz w:val="20"/>
                <w:szCs w:val="20"/>
              </w:rPr>
            </w:pPr>
            <w:r w:rsidRPr="00EE3D20">
              <w:rPr>
                <w:rFonts w:cstheme="minorHAnsi"/>
                <w:color w:val="000000"/>
                <w:sz w:val="20"/>
                <w:szCs w:val="20"/>
              </w:rPr>
              <w:t>0</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66585C10" w14:textId="48FC934F">
            <w:pPr>
              <w:spacing w:before="0" w:after="0"/>
              <w:jc w:val="center"/>
              <w:rPr>
                <w:rFonts w:cstheme="minorHAnsi"/>
                <w:color w:val="000000"/>
                <w:sz w:val="20"/>
                <w:szCs w:val="20"/>
              </w:rPr>
            </w:pPr>
            <w:r w:rsidRPr="00EE3D20">
              <w:rPr>
                <w:rFonts w:cstheme="minorHAnsi"/>
                <w:color w:val="000000"/>
                <w:sz w:val="20"/>
                <w:szCs w:val="20"/>
              </w:rPr>
              <w:t>1</w:t>
            </w:r>
          </w:p>
        </w:tc>
      </w:tr>
      <w:tr w14:paraId="4305EBD7" w14:textId="77777777" w:rsidTr="00096586">
        <w:tblPrEx>
          <w:tblW w:w="12387" w:type="dxa"/>
          <w:tblCellMar>
            <w:top w:w="15" w:type="dxa"/>
            <w:left w:w="70" w:type="dxa"/>
            <w:bottom w:w="15" w:type="dxa"/>
            <w:right w:w="70" w:type="dxa"/>
          </w:tblCellMar>
          <w:tblLook w:val="04A0"/>
        </w:tblPrEx>
        <w:trPr>
          <w:trHeight w:val="1497"/>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4311CE96" w14:textId="40E84438">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2.4</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1D2F2504" w14:textId="3B2D366E">
            <w:pPr>
              <w:spacing w:before="0" w:after="0"/>
              <w:jc w:val="center"/>
              <w:rPr>
                <w:rFonts w:cstheme="minorHAnsi"/>
                <w:color w:val="000000"/>
                <w:sz w:val="20"/>
                <w:szCs w:val="20"/>
              </w:rPr>
            </w:pPr>
            <w:r w:rsidRPr="00EE3D20">
              <w:rPr>
                <w:rFonts w:cstheme="minorHAnsi"/>
                <w:color w:val="000000"/>
                <w:sz w:val="20"/>
                <w:szCs w:val="20"/>
              </w:rPr>
              <w:t>Podíl bezchybně zaklasifikovaných hospitalizačních případů dle modelu CZ DRG , přijatých pojišťovnami k úhradě</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34ABB9BC" w14:textId="6EA12A3B">
            <w:pPr>
              <w:spacing w:before="0" w:after="0"/>
              <w:jc w:val="center"/>
              <w:rPr>
                <w:rFonts w:cstheme="minorHAnsi"/>
                <w:color w:val="000000"/>
                <w:sz w:val="20"/>
                <w:szCs w:val="20"/>
              </w:rPr>
            </w:pPr>
            <w:r w:rsidRPr="00EE3D20">
              <w:rPr>
                <w:rFonts w:cstheme="minorHAnsi"/>
                <w:color w:val="000000"/>
                <w:sz w:val="20"/>
                <w:szCs w:val="20"/>
              </w:rPr>
              <w:t>Podíl hospitalizačních případů klasifikovaných v CZ-DRG na celkovém počtu hospitalizačních případů v ČR</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3B012C60" w14:textId="1B05B0B7">
            <w:pPr>
              <w:spacing w:before="0" w:after="0"/>
              <w:jc w:val="center"/>
              <w:rPr>
                <w:rFonts w:cstheme="minorHAnsi"/>
                <w:sz w:val="20"/>
                <w:szCs w:val="20"/>
              </w:rPr>
            </w:pPr>
            <w:r w:rsidRPr="00EE3D20">
              <w:rPr>
                <w:rFonts w:cstheme="minorHAnsi"/>
                <w:color w:val="000000"/>
                <w:sz w:val="20"/>
                <w:szCs w:val="20"/>
              </w:rPr>
              <w:t>MZD-SE/CAU</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371038DD" w14:textId="44591DBE">
            <w:pPr>
              <w:spacing w:before="0" w:after="0"/>
              <w:jc w:val="center"/>
              <w:rPr>
                <w:rFonts w:cstheme="minorHAnsi"/>
                <w:sz w:val="20"/>
                <w:szCs w:val="20"/>
              </w:rPr>
            </w:pPr>
            <w:r w:rsidRPr="00EE3D20">
              <w:rPr>
                <w:rFonts w:cstheme="minorHAnsi"/>
                <w:color w:val="000000"/>
                <w:sz w:val="20"/>
                <w:szCs w:val="20"/>
              </w:rPr>
              <w:t>%</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046255E6" w14:textId="29D6E3E2">
            <w:pPr>
              <w:spacing w:before="0" w:after="0"/>
              <w:jc w:val="center"/>
              <w:rPr>
                <w:rFonts w:cstheme="minorHAnsi"/>
                <w:sz w:val="20"/>
                <w:szCs w:val="20"/>
              </w:rPr>
            </w:pPr>
            <w:r w:rsidRPr="00EE3D20">
              <w:rPr>
                <w:rFonts w:cstheme="minorHAnsi"/>
                <w:color w:val="000000"/>
                <w:sz w:val="20"/>
                <w:szCs w:val="20"/>
              </w:rPr>
              <w:t>Roční</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4B860357" w14:textId="33F1111F">
            <w:pPr>
              <w:spacing w:before="0" w:after="0"/>
              <w:jc w:val="center"/>
              <w:rPr>
                <w:rFonts w:cstheme="minorHAnsi"/>
                <w:sz w:val="20"/>
                <w:szCs w:val="20"/>
              </w:rPr>
            </w:pPr>
            <w:r w:rsidRPr="00EE3D20">
              <w:rPr>
                <w:rFonts w:cstheme="minorHAnsi"/>
                <w:color w:val="000000"/>
                <w:sz w:val="20"/>
                <w:szCs w:val="20"/>
              </w:rPr>
              <w:t>1</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6F3AEF94" w14:textId="3992039E">
            <w:pPr>
              <w:spacing w:before="0" w:after="0"/>
              <w:jc w:val="center"/>
              <w:rPr>
                <w:rFonts w:cstheme="minorHAnsi"/>
                <w:color w:val="000000"/>
                <w:sz w:val="20"/>
                <w:szCs w:val="20"/>
              </w:rPr>
            </w:pPr>
            <w:r w:rsidRPr="00EE3D20">
              <w:rPr>
                <w:rFonts w:cstheme="minorHAnsi"/>
                <w:color w:val="000000"/>
                <w:sz w:val="20"/>
                <w:szCs w:val="20"/>
              </w:rPr>
              <w:t>1</w:t>
            </w:r>
          </w:p>
        </w:tc>
      </w:tr>
      <w:tr w14:paraId="084D6E3C" w14:textId="77777777" w:rsidTr="00096586">
        <w:tblPrEx>
          <w:tblW w:w="12387" w:type="dxa"/>
          <w:tblCellMar>
            <w:top w:w="15" w:type="dxa"/>
            <w:left w:w="70" w:type="dxa"/>
            <w:bottom w:w="15" w:type="dxa"/>
            <w:right w:w="70" w:type="dxa"/>
          </w:tblCellMar>
          <w:tblLook w:val="04A0"/>
        </w:tblPrEx>
        <w:trPr>
          <w:trHeight w:val="1051"/>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60D98DAD" w14:textId="72260129">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2.4</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151D023D" w14:textId="5D8D5F57">
            <w:pPr>
              <w:spacing w:before="0" w:after="0"/>
              <w:jc w:val="center"/>
              <w:rPr>
                <w:rFonts w:cstheme="minorHAnsi"/>
                <w:color w:val="000000"/>
                <w:sz w:val="20"/>
                <w:szCs w:val="20"/>
              </w:rPr>
            </w:pPr>
            <w:r w:rsidRPr="00EE3D20">
              <w:rPr>
                <w:rFonts w:cstheme="minorHAnsi"/>
                <w:color w:val="000000"/>
                <w:sz w:val="20"/>
                <w:szCs w:val="20"/>
              </w:rPr>
              <w:t>Počet datových sad/datových modelů</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14EB9037" w14:textId="02EEEBD6">
            <w:pPr>
              <w:spacing w:before="0" w:after="0"/>
              <w:jc w:val="center"/>
              <w:rPr>
                <w:rFonts w:cstheme="minorHAnsi"/>
                <w:color w:val="000000"/>
                <w:sz w:val="20"/>
                <w:szCs w:val="20"/>
              </w:rPr>
            </w:pPr>
            <w:r w:rsidRPr="00EE3D20">
              <w:rPr>
                <w:rFonts w:cstheme="minorHAnsi"/>
                <w:color w:val="000000"/>
                <w:sz w:val="20"/>
                <w:szCs w:val="20"/>
              </w:rPr>
              <w:t>Počet datových sad a modelů jako datová a informační podpora dohodovacího řízení.</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2C084E58" w14:textId="422A98B2">
            <w:pPr>
              <w:spacing w:before="0" w:after="0"/>
              <w:jc w:val="center"/>
              <w:rPr>
                <w:rFonts w:cstheme="minorHAnsi"/>
                <w:sz w:val="20"/>
                <w:szCs w:val="20"/>
              </w:rPr>
            </w:pPr>
            <w:r w:rsidRPr="00EE3D20">
              <w:rPr>
                <w:rFonts w:cstheme="minorHAnsi"/>
                <w:color w:val="000000"/>
                <w:sz w:val="20"/>
                <w:szCs w:val="20"/>
              </w:rPr>
              <w:t>ÚZIS ČR</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55B260EE" w14:textId="7730B49C">
            <w:pPr>
              <w:spacing w:before="0" w:after="0"/>
              <w:jc w:val="center"/>
              <w:rPr>
                <w:rFonts w:cstheme="minorHAnsi"/>
                <w:sz w:val="20"/>
                <w:szCs w:val="20"/>
              </w:rPr>
            </w:pPr>
            <w:r w:rsidRPr="00EE3D20">
              <w:rPr>
                <w:rFonts w:cstheme="minorHAnsi"/>
                <w:color w:val="000000"/>
                <w:sz w:val="20"/>
                <w:szCs w:val="20"/>
              </w:rPr>
              <w:t>ks</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373D77EF" w14:textId="228DBD9C">
            <w:pPr>
              <w:spacing w:before="0" w:after="0"/>
              <w:jc w:val="center"/>
              <w:rPr>
                <w:rFonts w:cstheme="minorHAnsi"/>
                <w:sz w:val="20"/>
                <w:szCs w:val="20"/>
              </w:rPr>
            </w:pPr>
            <w:r w:rsidRPr="00EE3D20">
              <w:rPr>
                <w:rFonts w:cstheme="minorHAnsi"/>
                <w:color w:val="000000"/>
                <w:sz w:val="20"/>
                <w:szCs w:val="20"/>
              </w:rPr>
              <w:t>Roční</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4C2ECDC3" w14:textId="32AFC3BE">
            <w:pPr>
              <w:spacing w:before="0" w:after="0"/>
              <w:jc w:val="center"/>
              <w:rPr>
                <w:rFonts w:cstheme="minorHAnsi"/>
                <w:sz w:val="20"/>
                <w:szCs w:val="20"/>
              </w:rPr>
            </w:pPr>
            <w:r w:rsidRPr="00EE3D20">
              <w:rPr>
                <w:rFonts w:cstheme="minorHAnsi"/>
                <w:color w:val="000000"/>
                <w:sz w:val="20"/>
                <w:szCs w:val="20"/>
              </w:rPr>
              <w:t>4</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3A9885AF" w14:textId="31A1A2E2">
            <w:pPr>
              <w:spacing w:before="0" w:after="0"/>
              <w:jc w:val="center"/>
              <w:rPr>
                <w:rFonts w:cstheme="minorHAnsi"/>
                <w:color w:val="000000"/>
                <w:sz w:val="20"/>
                <w:szCs w:val="20"/>
              </w:rPr>
            </w:pPr>
            <w:r w:rsidRPr="00EE3D20">
              <w:rPr>
                <w:rFonts w:cstheme="minorHAnsi"/>
                <w:color w:val="000000"/>
                <w:sz w:val="20"/>
                <w:szCs w:val="20"/>
              </w:rPr>
              <w:t>46</w:t>
            </w:r>
          </w:p>
        </w:tc>
      </w:tr>
      <w:tr w14:paraId="1631E677" w14:textId="77777777" w:rsidTr="00096586">
        <w:tblPrEx>
          <w:tblW w:w="12387" w:type="dxa"/>
          <w:tblCellMar>
            <w:top w:w="15" w:type="dxa"/>
            <w:left w:w="70" w:type="dxa"/>
            <w:bottom w:w="15" w:type="dxa"/>
            <w:right w:w="70" w:type="dxa"/>
          </w:tblCellMar>
          <w:tblLook w:val="04A0"/>
        </w:tblPrEx>
        <w:trPr>
          <w:trHeight w:val="1193"/>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101DA1A8" w14:textId="6CDBB547">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2.4</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5BCF7675" w14:textId="24113C83">
            <w:pPr>
              <w:spacing w:before="0" w:after="0"/>
              <w:jc w:val="center"/>
              <w:rPr>
                <w:rFonts w:cstheme="minorHAnsi"/>
                <w:color w:val="000000"/>
                <w:sz w:val="20"/>
                <w:szCs w:val="20"/>
              </w:rPr>
            </w:pPr>
            <w:r w:rsidRPr="00EE3D20">
              <w:rPr>
                <w:rFonts w:cstheme="minorHAnsi"/>
                <w:color w:val="000000"/>
                <w:sz w:val="20"/>
                <w:szCs w:val="20"/>
              </w:rPr>
              <w:t>Počet modelů optimalizujících úhrady péče</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41004AD5" w14:textId="16B55C00">
            <w:pPr>
              <w:spacing w:before="0" w:after="0"/>
              <w:jc w:val="center"/>
              <w:rPr>
                <w:rFonts w:cstheme="minorHAnsi"/>
                <w:color w:val="000000"/>
                <w:sz w:val="20"/>
                <w:szCs w:val="20"/>
              </w:rPr>
            </w:pPr>
            <w:r w:rsidRPr="00EE3D20">
              <w:rPr>
                <w:rFonts w:cstheme="minorHAnsi"/>
                <w:color w:val="000000"/>
                <w:sz w:val="20"/>
                <w:szCs w:val="20"/>
              </w:rPr>
              <w:t>Počet modelů pro jednotlivé segmenty zdravotní péče, které optimalizují úhradové mechanismy</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4343AF89" w14:textId="1BF52119">
            <w:pPr>
              <w:spacing w:before="0" w:after="0"/>
              <w:jc w:val="center"/>
              <w:rPr>
                <w:rFonts w:cstheme="minorHAnsi"/>
                <w:sz w:val="20"/>
                <w:szCs w:val="20"/>
              </w:rPr>
            </w:pPr>
            <w:r w:rsidRPr="00EE3D20">
              <w:rPr>
                <w:rFonts w:cstheme="minorHAnsi"/>
                <w:color w:val="000000"/>
                <w:sz w:val="20"/>
                <w:szCs w:val="20"/>
              </w:rPr>
              <w:t>MZD-SE/CAU</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16B1F2AA" w14:textId="26038417">
            <w:pPr>
              <w:spacing w:before="0" w:after="0"/>
              <w:jc w:val="center"/>
              <w:rPr>
                <w:rFonts w:cstheme="minorHAnsi"/>
                <w:sz w:val="20"/>
                <w:szCs w:val="20"/>
              </w:rPr>
            </w:pPr>
            <w:r w:rsidRPr="00EE3D20">
              <w:rPr>
                <w:rFonts w:cstheme="minorHAnsi"/>
                <w:color w:val="000000"/>
                <w:sz w:val="20"/>
                <w:szCs w:val="20"/>
              </w:rPr>
              <w:t>ks</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43B719B5" w14:textId="6FEF2F2F">
            <w:pPr>
              <w:spacing w:before="0" w:after="0"/>
              <w:jc w:val="center"/>
              <w:rPr>
                <w:rFonts w:cstheme="minorHAnsi"/>
                <w:sz w:val="20"/>
                <w:szCs w:val="20"/>
              </w:rPr>
            </w:pPr>
            <w:r w:rsidRPr="00EE3D20">
              <w:rPr>
                <w:rFonts w:cstheme="minorHAnsi"/>
                <w:color w:val="000000"/>
                <w:sz w:val="20"/>
                <w:szCs w:val="20"/>
              </w:rPr>
              <w:t>Roční</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62620633" w14:textId="45F20D31">
            <w:pPr>
              <w:spacing w:before="0" w:after="0"/>
              <w:jc w:val="center"/>
              <w:rPr>
                <w:rFonts w:cstheme="minorHAnsi"/>
                <w:sz w:val="20"/>
                <w:szCs w:val="20"/>
              </w:rPr>
            </w:pPr>
            <w:r w:rsidRPr="00EE3D20">
              <w:rPr>
                <w:rFonts w:cstheme="minorHAnsi"/>
                <w:color w:val="000000"/>
                <w:sz w:val="20"/>
                <w:szCs w:val="20"/>
              </w:rPr>
              <w:t>3</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6594BD60" w14:textId="20F293D1">
            <w:pPr>
              <w:spacing w:before="0" w:after="0"/>
              <w:jc w:val="center"/>
              <w:rPr>
                <w:rFonts w:cstheme="minorHAnsi"/>
                <w:color w:val="000000"/>
                <w:sz w:val="20"/>
                <w:szCs w:val="20"/>
              </w:rPr>
            </w:pPr>
            <w:r w:rsidRPr="00EE3D20">
              <w:rPr>
                <w:rFonts w:cstheme="minorHAnsi"/>
                <w:color w:val="000000"/>
                <w:sz w:val="20"/>
                <w:szCs w:val="20"/>
              </w:rPr>
              <w:t>15</w:t>
            </w:r>
          </w:p>
        </w:tc>
      </w:tr>
      <w:tr w14:paraId="18B3FDFC" w14:textId="77777777" w:rsidTr="00096586">
        <w:tblPrEx>
          <w:tblW w:w="12387" w:type="dxa"/>
          <w:tblCellMar>
            <w:top w:w="15" w:type="dxa"/>
            <w:left w:w="70" w:type="dxa"/>
            <w:bottom w:w="15" w:type="dxa"/>
            <w:right w:w="70" w:type="dxa"/>
          </w:tblCellMar>
          <w:tblLook w:val="04A0"/>
        </w:tblPrEx>
        <w:trPr>
          <w:trHeight w:val="1760"/>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1803BFBE" w14:textId="04790D28">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2.5</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62DF8E73" w14:textId="49C5F1CB">
            <w:pPr>
              <w:spacing w:before="0" w:after="0"/>
              <w:jc w:val="center"/>
              <w:rPr>
                <w:rFonts w:cstheme="minorHAnsi"/>
                <w:color w:val="000000"/>
                <w:sz w:val="20"/>
                <w:szCs w:val="20"/>
              </w:rPr>
            </w:pPr>
            <w:r w:rsidRPr="00EE3D20">
              <w:rPr>
                <w:rFonts w:cstheme="minorHAnsi"/>
                <w:color w:val="000000"/>
                <w:sz w:val="20"/>
                <w:szCs w:val="20"/>
              </w:rPr>
              <w:t>Počet lůžek dlouhodobé a následné péče</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3568B4FC" w14:textId="49D9D9B4">
            <w:pPr>
              <w:spacing w:before="0" w:after="0"/>
              <w:jc w:val="center"/>
              <w:rPr>
                <w:rFonts w:cstheme="minorHAnsi"/>
                <w:color w:val="000000"/>
                <w:sz w:val="20"/>
                <w:szCs w:val="20"/>
              </w:rPr>
            </w:pPr>
            <w:r w:rsidRPr="00EE3D20">
              <w:rPr>
                <w:rFonts w:cstheme="minorHAnsi"/>
                <w:color w:val="000000"/>
                <w:sz w:val="20"/>
                <w:szCs w:val="20"/>
              </w:rPr>
              <w:t>Počet lůžkových kapacit poskytovatelů zdravotních služeb v rámci následné a dlouhodobé lůžkové péče dle zákona č. 372/2011 Sb., o zdravotních službách a podmínkách jejich poskytování</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0CF3EDE8" w14:textId="3F3B3CB8">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04FAA644" w14:textId="5E953F0D">
            <w:pPr>
              <w:spacing w:before="0" w:after="0"/>
              <w:jc w:val="center"/>
              <w:rPr>
                <w:rFonts w:cstheme="minorHAnsi"/>
                <w:sz w:val="20"/>
                <w:szCs w:val="20"/>
              </w:rPr>
            </w:pPr>
            <w:r w:rsidRPr="00EE3D20">
              <w:rPr>
                <w:rFonts w:cstheme="minorHAnsi"/>
                <w:color w:val="000000"/>
                <w:sz w:val="20"/>
                <w:szCs w:val="20"/>
              </w:rPr>
              <w:t>Počet lůžek dlouhodobé péče na 1000 obyv.</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1EC92F09" w14:textId="1EA0B841">
            <w:pPr>
              <w:spacing w:before="0" w:after="0"/>
              <w:jc w:val="center"/>
              <w:rPr>
                <w:rFonts w:cstheme="minorHAnsi"/>
                <w:sz w:val="20"/>
                <w:szCs w:val="20"/>
              </w:rPr>
            </w:pPr>
            <w:r w:rsidRPr="00EE3D20">
              <w:rPr>
                <w:rFonts w:cstheme="minorHAnsi"/>
                <w:color w:val="000000"/>
                <w:sz w:val="20"/>
                <w:szCs w:val="20"/>
              </w:rPr>
              <w:t>1x2 roky</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271E25D1" w14:textId="16C969FC">
            <w:pPr>
              <w:spacing w:before="0" w:after="0"/>
              <w:jc w:val="center"/>
              <w:rPr>
                <w:rFonts w:cstheme="minorHAnsi"/>
                <w:sz w:val="20"/>
                <w:szCs w:val="20"/>
              </w:rPr>
            </w:pPr>
            <w:r w:rsidRPr="00EE3D20">
              <w:rPr>
                <w:rFonts w:cstheme="minorHAnsi"/>
                <w:color w:val="000000"/>
                <w:sz w:val="20"/>
                <w:szCs w:val="20"/>
              </w:rPr>
              <w:t>2,6</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4A9D8995" w14:textId="48E82DF8">
            <w:pPr>
              <w:spacing w:before="0" w:after="0"/>
              <w:jc w:val="center"/>
              <w:rPr>
                <w:rFonts w:cstheme="minorHAnsi"/>
                <w:color w:val="000000"/>
                <w:sz w:val="20"/>
                <w:szCs w:val="20"/>
              </w:rPr>
            </w:pPr>
            <w:r w:rsidRPr="00EE3D20">
              <w:rPr>
                <w:rFonts w:cstheme="minorHAnsi"/>
                <w:color w:val="000000"/>
                <w:sz w:val="20"/>
                <w:szCs w:val="20"/>
              </w:rPr>
              <w:t>3,3</w:t>
            </w:r>
          </w:p>
        </w:tc>
      </w:tr>
      <w:tr w14:paraId="23140E67" w14:textId="77777777" w:rsidTr="00096586">
        <w:tblPrEx>
          <w:tblW w:w="12387" w:type="dxa"/>
          <w:tblCellMar>
            <w:top w:w="15" w:type="dxa"/>
            <w:left w:w="70" w:type="dxa"/>
            <w:bottom w:w="15" w:type="dxa"/>
            <w:right w:w="70" w:type="dxa"/>
          </w:tblCellMar>
          <w:tblLook w:val="04A0"/>
        </w:tblPrEx>
        <w:trPr>
          <w:trHeight w:val="2940"/>
        </w:trPr>
        <w:tc>
          <w:tcPr>
            <w:tcW w:w="1013" w:type="dxa"/>
            <w:tcBorders>
              <w:top w:val="single" w:sz="8" w:space="0" w:color="auto"/>
              <w:left w:val="single" w:sz="8" w:space="0" w:color="auto"/>
              <w:bottom w:val="single" w:sz="8" w:space="0" w:color="auto"/>
              <w:right w:val="single" w:sz="8" w:space="0" w:color="auto"/>
            </w:tcBorders>
            <w:vAlign w:val="center"/>
          </w:tcPr>
          <w:p w:rsidR="009906CF" w:rsidRPr="00EE3D20" w:rsidP="00096586" w14:paraId="254495C4" w14:textId="418354C5">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2.5</w:t>
            </w:r>
          </w:p>
        </w:tc>
        <w:tc>
          <w:tcPr>
            <w:tcW w:w="2581" w:type="dxa"/>
            <w:tcBorders>
              <w:top w:val="single" w:sz="8" w:space="0" w:color="auto"/>
              <w:left w:val="single" w:sz="8" w:space="0" w:color="auto"/>
              <w:bottom w:val="single" w:sz="8" w:space="0" w:color="auto"/>
              <w:right w:val="single" w:sz="8" w:space="0" w:color="auto"/>
            </w:tcBorders>
            <w:vAlign w:val="center"/>
          </w:tcPr>
          <w:p w:rsidR="009906CF" w:rsidRPr="00EE3D20" w:rsidP="009906CF" w14:paraId="53324270" w14:textId="4581A9E1">
            <w:pPr>
              <w:spacing w:before="0" w:after="0"/>
              <w:jc w:val="center"/>
              <w:rPr>
                <w:rFonts w:cstheme="minorHAnsi"/>
                <w:color w:val="000000"/>
                <w:sz w:val="20"/>
                <w:szCs w:val="20"/>
              </w:rPr>
            </w:pPr>
            <w:r w:rsidRPr="00EE3D20">
              <w:rPr>
                <w:rFonts w:cstheme="minorHAnsi"/>
                <w:color w:val="000000"/>
                <w:sz w:val="20"/>
                <w:szCs w:val="20"/>
              </w:rPr>
              <w:t>Počet pacientů léčených v domácí péči</w:t>
            </w:r>
          </w:p>
        </w:tc>
        <w:tc>
          <w:tcPr>
            <w:tcW w:w="2501" w:type="dxa"/>
            <w:tcBorders>
              <w:top w:val="single" w:sz="8" w:space="0" w:color="auto"/>
              <w:left w:val="nil"/>
              <w:bottom w:val="single" w:sz="8" w:space="0" w:color="auto"/>
              <w:right w:val="single" w:sz="8" w:space="0" w:color="auto"/>
            </w:tcBorders>
            <w:vAlign w:val="center"/>
          </w:tcPr>
          <w:p w:rsidR="009906CF" w:rsidRPr="00EE3D20" w:rsidP="009906CF" w14:paraId="4A2BB268" w14:textId="1A5EEE43">
            <w:pPr>
              <w:spacing w:before="0" w:after="0"/>
              <w:jc w:val="center"/>
              <w:rPr>
                <w:rFonts w:cstheme="minorHAnsi"/>
                <w:color w:val="000000"/>
                <w:sz w:val="20"/>
                <w:szCs w:val="20"/>
              </w:rPr>
            </w:pPr>
            <w:r w:rsidRPr="00EE3D20">
              <w:rPr>
                <w:rFonts w:cstheme="minorHAnsi"/>
                <w:color w:val="000000"/>
                <w:sz w:val="20"/>
                <w:szCs w:val="20"/>
              </w:rPr>
              <w:t>Pacienti využívající indikovanou zdravotní péči ve vlastním sociálním prostředí, tedy mimo lůžková zdravotnická zařízení (tj. hlavně prostřednictvím domácí zdravotní péče – hl. odbornost 925 a 926, návštěvní služby lékařů)</w:t>
            </w:r>
          </w:p>
        </w:tc>
        <w:tc>
          <w:tcPr>
            <w:tcW w:w="1022" w:type="dxa"/>
            <w:tcBorders>
              <w:top w:val="single" w:sz="8" w:space="0" w:color="auto"/>
              <w:left w:val="nil"/>
              <w:bottom w:val="single" w:sz="8" w:space="0" w:color="auto"/>
              <w:right w:val="single" w:sz="8" w:space="0" w:color="auto"/>
            </w:tcBorders>
            <w:vAlign w:val="center"/>
          </w:tcPr>
          <w:p w:rsidR="009906CF" w:rsidRPr="00EE3D20" w:rsidP="009906CF" w14:paraId="096812F5" w14:textId="47F3B041">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9906CF" w:rsidRPr="00EE3D20" w:rsidP="009906CF" w14:paraId="78ABE5F1" w14:textId="6ABD80EE">
            <w:pPr>
              <w:spacing w:before="0" w:after="0"/>
              <w:jc w:val="center"/>
              <w:rPr>
                <w:rFonts w:cstheme="minorHAnsi"/>
                <w:sz w:val="20"/>
                <w:szCs w:val="20"/>
              </w:rPr>
            </w:pPr>
            <w:r w:rsidRPr="00EE3D20">
              <w:rPr>
                <w:rFonts w:cstheme="minorHAnsi"/>
                <w:color w:val="000000"/>
                <w:sz w:val="20"/>
                <w:szCs w:val="20"/>
              </w:rPr>
              <w:t>Počet pacientů léčených v domácí péči na 1000 obyv.</w:t>
            </w:r>
          </w:p>
        </w:tc>
        <w:tc>
          <w:tcPr>
            <w:tcW w:w="1176" w:type="dxa"/>
            <w:tcBorders>
              <w:top w:val="single" w:sz="8" w:space="0" w:color="auto"/>
              <w:left w:val="nil"/>
              <w:bottom w:val="single" w:sz="8" w:space="0" w:color="auto"/>
              <w:right w:val="single" w:sz="8" w:space="0" w:color="auto"/>
            </w:tcBorders>
            <w:vAlign w:val="center"/>
          </w:tcPr>
          <w:p w:rsidR="009906CF" w:rsidRPr="00EE3D20" w:rsidP="009906CF" w14:paraId="75A13D71" w14:textId="03082A11">
            <w:pPr>
              <w:spacing w:before="0" w:after="0"/>
              <w:jc w:val="center"/>
              <w:rPr>
                <w:rFonts w:cstheme="minorHAnsi"/>
                <w:sz w:val="20"/>
                <w:szCs w:val="20"/>
              </w:rPr>
            </w:pPr>
            <w:r w:rsidRPr="00EE3D20">
              <w:rPr>
                <w:rFonts w:cstheme="minorHAnsi"/>
                <w:color w:val="000000"/>
                <w:sz w:val="20"/>
                <w:szCs w:val="20"/>
              </w:rPr>
              <w:t>1x2 roky</w:t>
            </w:r>
          </w:p>
        </w:tc>
        <w:tc>
          <w:tcPr>
            <w:tcW w:w="1276" w:type="dxa"/>
            <w:tcBorders>
              <w:top w:val="single" w:sz="8" w:space="0" w:color="auto"/>
              <w:left w:val="nil"/>
              <w:bottom w:val="single" w:sz="8" w:space="0" w:color="auto"/>
              <w:right w:val="single" w:sz="8" w:space="0" w:color="auto"/>
            </w:tcBorders>
            <w:shd w:val="clear" w:color="auto" w:fill="auto"/>
            <w:vAlign w:val="center"/>
          </w:tcPr>
          <w:p w:rsidR="009906CF" w:rsidRPr="00EE3D20" w:rsidP="009906CF" w14:paraId="45BF11A9" w14:textId="6B428E76">
            <w:pPr>
              <w:spacing w:before="0" w:after="0"/>
              <w:jc w:val="center"/>
              <w:rPr>
                <w:rFonts w:cstheme="minorHAnsi"/>
                <w:sz w:val="20"/>
                <w:szCs w:val="20"/>
              </w:rPr>
            </w:pPr>
            <w:r w:rsidRPr="00EE3D20">
              <w:rPr>
                <w:rFonts w:cstheme="minorHAnsi"/>
                <w:color w:val="000000"/>
                <w:sz w:val="20"/>
                <w:szCs w:val="20"/>
              </w:rPr>
              <w:t>15,2</w:t>
            </w:r>
          </w:p>
        </w:tc>
        <w:tc>
          <w:tcPr>
            <w:tcW w:w="1334" w:type="dxa"/>
            <w:tcBorders>
              <w:top w:val="single" w:sz="8" w:space="0" w:color="auto"/>
              <w:left w:val="nil"/>
              <w:bottom w:val="single" w:sz="8" w:space="0" w:color="auto"/>
              <w:right w:val="single" w:sz="8" w:space="0" w:color="auto"/>
            </w:tcBorders>
            <w:vAlign w:val="center"/>
          </w:tcPr>
          <w:p w:rsidR="009906CF" w:rsidRPr="00EE3D20" w:rsidP="009906CF" w14:paraId="4E1552BD" w14:textId="0E386B3F">
            <w:pPr>
              <w:spacing w:before="0" w:after="0"/>
              <w:jc w:val="center"/>
              <w:rPr>
                <w:rFonts w:cstheme="minorHAnsi"/>
                <w:color w:val="000000"/>
                <w:sz w:val="20"/>
                <w:szCs w:val="20"/>
              </w:rPr>
            </w:pPr>
            <w:r w:rsidRPr="00EE3D20">
              <w:rPr>
                <w:rFonts w:cstheme="minorHAnsi"/>
                <w:color w:val="000000"/>
                <w:sz w:val="20"/>
                <w:szCs w:val="20"/>
              </w:rPr>
              <w:t>19,6</w:t>
            </w:r>
          </w:p>
        </w:tc>
      </w:tr>
      <w:tr w14:paraId="43BBDC04" w14:textId="77777777" w:rsidTr="00096586">
        <w:tblPrEx>
          <w:tblW w:w="12387" w:type="dxa"/>
          <w:tblCellMar>
            <w:top w:w="15" w:type="dxa"/>
            <w:left w:w="70" w:type="dxa"/>
            <w:bottom w:w="15" w:type="dxa"/>
            <w:right w:w="70" w:type="dxa"/>
          </w:tblCellMar>
          <w:tblLook w:val="04A0"/>
        </w:tblPrEx>
        <w:trPr>
          <w:trHeight w:val="1618"/>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44D52B9D" w14:textId="4F84819B">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2.6</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40F70A5D" w14:textId="33B1BA90">
            <w:pPr>
              <w:spacing w:before="0" w:after="0"/>
              <w:jc w:val="center"/>
              <w:rPr>
                <w:rFonts w:cstheme="minorHAnsi"/>
                <w:color w:val="000000"/>
                <w:sz w:val="20"/>
                <w:szCs w:val="20"/>
              </w:rPr>
            </w:pPr>
            <w:r w:rsidRPr="00EE3D20">
              <w:rPr>
                <w:rFonts w:cstheme="minorHAnsi"/>
                <w:color w:val="000000"/>
                <w:sz w:val="20"/>
                <w:szCs w:val="20"/>
              </w:rPr>
              <w:t>Počet rehospitalizací</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605573F1" w14:textId="2471171E">
            <w:pPr>
              <w:spacing w:before="0" w:after="0"/>
              <w:jc w:val="center"/>
              <w:rPr>
                <w:rFonts w:cstheme="minorHAnsi"/>
                <w:color w:val="000000"/>
                <w:sz w:val="20"/>
                <w:szCs w:val="20"/>
              </w:rPr>
            </w:pPr>
            <w:r w:rsidRPr="00EE3D20">
              <w:rPr>
                <w:rFonts w:cstheme="minorHAnsi"/>
                <w:color w:val="000000"/>
                <w:sz w:val="20"/>
                <w:szCs w:val="20"/>
              </w:rPr>
              <w:t xml:space="preserve">Rehospitalizace je definovaná jako další hospitalizace z důvodu hospitalizace na </w:t>
            </w:r>
            <w:r w:rsidRPr="00EE3D20" w:rsidR="00096586">
              <w:rPr>
                <w:rFonts w:cstheme="minorHAnsi"/>
                <w:color w:val="000000"/>
                <w:sz w:val="20"/>
                <w:szCs w:val="20"/>
              </w:rPr>
              <w:t>psychiatrickém</w:t>
            </w:r>
            <w:r w:rsidRPr="00EE3D20">
              <w:rPr>
                <w:rFonts w:cstheme="minorHAnsi"/>
                <w:color w:val="000000"/>
                <w:sz w:val="20"/>
                <w:szCs w:val="20"/>
              </w:rPr>
              <w:t xml:space="preserve"> oddělení do 30 dní od předchozí hospitalizace. </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494DBC71" w14:textId="7690ED04">
            <w:pPr>
              <w:spacing w:before="0" w:after="0"/>
              <w:jc w:val="center"/>
              <w:rPr>
                <w:rFonts w:cstheme="minorHAnsi"/>
                <w:sz w:val="20"/>
                <w:szCs w:val="20"/>
              </w:rPr>
            </w:pPr>
            <w:r w:rsidRPr="00EE3D20">
              <w:rPr>
                <w:rFonts w:cstheme="minorHAnsi"/>
                <w:color w:val="000000"/>
                <w:sz w:val="20"/>
                <w:szCs w:val="20"/>
              </w:rPr>
              <w:t>MZD-SZ/OZP3</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4643175D" w14:textId="30E1973C">
            <w:pPr>
              <w:spacing w:before="0" w:after="0"/>
              <w:jc w:val="center"/>
              <w:rPr>
                <w:rFonts w:cstheme="minorHAnsi"/>
                <w:sz w:val="20"/>
                <w:szCs w:val="20"/>
              </w:rPr>
            </w:pPr>
            <w:r w:rsidRPr="00EE3D20">
              <w:rPr>
                <w:rFonts w:cstheme="minorHAnsi"/>
                <w:color w:val="000000"/>
                <w:sz w:val="20"/>
                <w:szCs w:val="20"/>
              </w:rPr>
              <w:t>Počet pacientů, u kterých došlo k opětovné psychiatrické hospitalizaci</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16E41C3C" w14:textId="5973981C">
            <w:pPr>
              <w:spacing w:before="0" w:after="0"/>
              <w:jc w:val="center"/>
              <w:rPr>
                <w:rFonts w:cstheme="minorHAnsi"/>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481BEE48" w14:textId="429F56AB">
            <w:pPr>
              <w:spacing w:before="0" w:after="0"/>
              <w:jc w:val="center"/>
              <w:rPr>
                <w:rFonts w:cstheme="minorHAnsi"/>
                <w:sz w:val="20"/>
                <w:szCs w:val="20"/>
              </w:rPr>
            </w:pPr>
            <w:r w:rsidRPr="00EE3D20">
              <w:rPr>
                <w:rFonts w:cstheme="minorHAnsi"/>
                <w:color w:val="000000"/>
                <w:sz w:val="20"/>
                <w:szCs w:val="20"/>
              </w:rPr>
              <w:t>99,8/ 1 000 hospitalizací</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72911ABE" w14:textId="4453138E">
            <w:pPr>
              <w:spacing w:before="0" w:after="0"/>
              <w:jc w:val="center"/>
              <w:rPr>
                <w:rFonts w:cstheme="minorHAnsi"/>
                <w:color w:val="000000"/>
                <w:sz w:val="20"/>
                <w:szCs w:val="20"/>
              </w:rPr>
            </w:pPr>
            <w:r w:rsidRPr="00EE3D20">
              <w:rPr>
                <w:rFonts w:cstheme="minorHAnsi"/>
                <w:color w:val="000000"/>
                <w:sz w:val="20"/>
                <w:szCs w:val="20"/>
              </w:rPr>
              <w:t>75</w:t>
            </w:r>
          </w:p>
        </w:tc>
      </w:tr>
      <w:tr w14:paraId="0EA904AB" w14:textId="77777777" w:rsidTr="00096586">
        <w:tblPrEx>
          <w:tblW w:w="12387" w:type="dxa"/>
          <w:tblCellMar>
            <w:top w:w="15" w:type="dxa"/>
            <w:left w:w="70" w:type="dxa"/>
            <w:bottom w:w="15" w:type="dxa"/>
            <w:right w:w="70" w:type="dxa"/>
          </w:tblCellMar>
          <w:tblLook w:val="04A0"/>
        </w:tblPrEx>
        <w:trPr>
          <w:trHeight w:val="2940"/>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349E2678" w14:textId="6E975772">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2.6</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32369C77" w14:textId="49B53C66">
            <w:pPr>
              <w:spacing w:before="0" w:after="0"/>
              <w:jc w:val="center"/>
              <w:rPr>
                <w:rFonts w:cstheme="minorHAnsi"/>
                <w:color w:val="000000"/>
                <w:sz w:val="20"/>
                <w:szCs w:val="20"/>
              </w:rPr>
            </w:pPr>
            <w:r w:rsidRPr="00EE3D20">
              <w:rPr>
                <w:rFonts w:cstheme="minorHAnsi"/>
                <w:color w:val="000000"/>
                <w:sz w:val="20"/>
                <w:szCs w:val="20"/>
              </w:rPr>
              <w:t>Míra sebevražednosti do 61 dnů od psychiatrické hospitalizace podle pohlaví</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741D5705" w14:textId="48DAEDB2">
            <w:pPr>
              <w:spacing w:before="0" w:after="0"/>
              <w:jc w:val="center"/>
              <w:rPr>
                <w:rFonts w:cstheme="minorHAnsi"/>
                <w:color w:val="000000"/>
                <w:sz w:val="20"/>
                <w:szCs w:val="20"/>
              </w:rPr>
            </w:pPr>
            <w:r w:rsidRPr="00EE3D20">
              <w:rPr>
                <w:rFonts w:cstheme="minorHAnsi"/>
                <w:color w:val="000000"/>
                <w:sz w:val="20"/>
                <w:szCs w:val="20"/>
              </w:rPr>
              <w:t>Počet osob na tisíc hospitalizací, které do  61 dní od psychiatrické hospitalizace ukončili ze své vůle svůj život.</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24A05A32" w14:textId="45CE076B">
            <w:pPr>
              <w:spacing w:before="0" w:after="0"/>
              <w:jc w:val="center"/>
              <w:rPr>
                <w:rFonts w:cstheme="minorHAnsi"/>
                <w:sz w:val="20"/>
                <w:szCs w:val="20"/>
              </w:rPr>
            </w:pPr>
            <w:r w:rsidRPr="00EE3D20">
              <w:rPr>
                <w:rFonts w:cstheme="minorHAnsi"/>
                <w:color w:val="000000"/>
                <w:sz w:val="20"/>
                <w:szCs w:val="20"/>
              </w:rPr>
              <w:t>MZD-SZ/OZP3</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36B101E9" w14:textId="43AD7763">
            <w:pPr>
              <w:spacing w:before="0" w:after="0"/>
              <w:jc w:val="center"/>
              <w:rPr>
                <w:rFonts w:cstheme="minorHAnsi"/>
                <w:sz w:val="20"/>
                <w:szCs w:val="20"/>
              </w:rPr>
            </w:pPr>
            <w:r w:rsidRPr="00EE3D20">
              <w:rPr>
                <w:rFonts w:cstheme="minorHAnsi"/>
                <w:color w:val="000000"/>
                <w:sz w:val="20"/>
                <w:szCs w:val="20"/>
              </w:rPr>
              <w:t xml:space="preserve">Počet uskutečněných sebevražd do 61 dní od psychiatrické hospitalizace dle pohlaví na 1000 </w:t>
            </w:r>
            <w:r w:rsidRPr="00EE3D20" w:rsidR="00096586">
              <w:rPr>
                <w:rFonts w:cstheme="minorHAnsi"/>
                <w:color w:val="000000"/>
                <w:sz w:val="20"/>
                <w:szCs w:val="20"/>
              </w:rPr>
              <w:t>hospitalizací</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3FA32801" w14:textId="5F8B6306">
            <w:pPr>
              <w:spacing w:before="0" w:after="0"/>
              <w:jc w:val="center"/>
              <w:rPr>
                <w:rFonts w:cstheme="minorHAnsi"/>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71427877" w14:textId="0162BC31">
            <w:pPr>
              <w:spacing w:before="0" w:after="0"/>
              <w:jc w:val="center"/>
              <w:rPr>
                <w:rFonts w:cstheme="minorHAnsi"/>
                <w:sz w:val="20"/>
                <w:szCs w:val="20"/>
              </w:rPr>
            </w:pPr>
            <w:r w:rsidRPr="00EE3D20">
              <w:rPr>
                <w:rFonts w:cstheme="minorHAnsi"/>
                <w:color w:val="000000"/>
                <w:sz w:val="20"/>
                <w:szCs w:val="20"/>
              </w:rPr>
              <w:t>muži: 2,6/ 1 000 hospitalizací ženy: 1,3/ 1 000 hospitalizací</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1E145FB9" w14:textId="422218FD">
            <w:pPr>
              <w:spacing w:before="0" w:after="0"/>
              <w:jc w:val="center"/>
              <w:rPr>
                <w:rFonts w:cstheme="minorHAnsi"/>
                <w:color w:val="000000"/>
                <w:sz w:val="20"/>
                <w:szCs w:val="20"/>
              </w:rPr>
            </w:pPr>
            <w:r w:rsidRPr="00EE3D20">
              <w:rPr>
                <w:rFonts w:cstheme="minorHAnsi"/>
                <w:color w:val="000000"/>
                <w:sz w:val="20"/>
                <w:szCs w:val="20"/>
              </w:rPr>
              <w:t>1,2/ 1 000 hospitalizací</w:t>
            </w:r>
          </w:p>
        </w:tc>
      </w:tr>
      <w:tr w14:paraId="2929AE10" w14:textId="77777777" w:rsidTr="00096586">
        <w:tblPrEx>
          <w:tblW w:w="12387" w:type="dxa"/>
          <w:tblCellMar>
            <w:top w:w="15" w:type="dxa"/>
            <w:left w:w="70" w:type="dxa"/>
            <w:bottom w:w="15" w:type="dxa"/>
            <w:right w:w="70" w:type="dxa"/>
          </w:tblCellMar>
          <w:tblLook w:val="04A0"/>
        </w:tblPrEx>
        <w:trPr>
          <w:trHeight w:val="2940"/>
        </w:trPr>
        <w:tc>
          <w:tcPr>
            <w:tcW w:w="1013" w:type="dxa"/>
            <w:tcBorders>
              <w:top w:val="single" w:sz="8" w:space="0" w:color="auto"/>
              <w:left w:val="single" w:sz="8" w:space="0" w:color="auto"/>
              <w:bottom w:val="single" w:sz="8" w:space="0" w:color="auto"/>
              <w:right w:val="single" w:sz="8" w:space="0" w:color="auto"/>
            </w:tcBorders>
            <w:vAlign w:val="center"/>
          </w:tcPr>
          <w:p w:rsidR="00D71888" w:rsidRPr="00EE3D20" w:rsidP="00096586" w14:paraId="60BC34BD" w14:textId="080F2A88">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2.7</w:t>
            </w:r>
          </w:p>
        </w:tc>
        <w:tc>
          <w:tcPr>
            <w:tcW w:w="2581" w:type="dxa"/>
            <w:tcBorders>
              <w:top w:val="single" w:sz="8" w:space="0" w:color="auto"/>
              <w:left w:val="single" w:sz="8" w:space="0" w:color="auto"/>
              <w:bottom w:val="single" w:sz="8" w:space="0" w:color="auto"/>
              <w:right w:val="single" w:sz="8" w:space="0" w:color="auto"/>
            </w:tcBorders>
            <w:vAlign w:val="center"/>
          </w:tcPr>
          <w:p w:rsidR="00D71888" w:rsidRPr="00EE3D20" w:rsidP="00D71888" w14:paraId="2F40105A" w14:textId="1EC97136">
            <w:pPr>
              <w:spacing w:before="0" w:after="0"/>
              <w:jc w:val="center"/>
              <w:rPr>
                <w:rFonts w:cstheme="minorHAnsi"/>
                <w:color w:val="000000"/>
                <w:sz w:val="20"/>
                <w:szCs w:val="20"/>
              </w:rPr>
            </w:pPr>
            <w:r w:rsidRPr="00EE3D20">
              <w:rPr>
                <w:rFonts w:cstheme="minorHAnsi"/>
                <w:color w:val="000000"/>
                <w:sz w:val="20"/>
                <w:szCs w:val="20"/>
              </w:rPr>
              <w:t>Naděje dožití – střední délka života při narození a ve věku 65 let</w:t>
            </w:r>
          </w:p>
        </w:tc>
        <w:tc>
          <w:tcPr>
            <w:tcW w:w="2501" w:type="dxa"/>
            <w:tcBorders>
              <w:top w:val="single" w:sz="8" w:space="0" w:color="auto"/>
              <w:left w:val="nil"/>
              <w:bottom w:val="single" w:sz="8" w:space="0" w:color="auto"/>
              <w:right w:val="single" w:sz="8" w:space="0" w:color="auto"/>
            </w:tcBorders>
            <w:vAlign w:val="center"/>
          </w:tcPr>
          <w:p w:rsidR="00D71888" w:rsidRPr="00EE3D20" w:rsidP="00D71888" w14:paraId="47C0106E" w14:textId="3108D998">
            <w:pPr>
              <w:spacing w:before="0" w:after="0"/>
              <w:jc w:val="center"/>
              <w:rPr>
                <w:rFonts w:cstheme="minorHAnsi"/>
                <w:color w:val="000000"/>
                <w:sz w:val="20"/>
                <w:szCs w:val="20"/>
              </w:rPr>
            </w:pPr>
            <w:r w:rsidRPr="00EE3D20">
              <w:rPr>
                <w:rFonts w:cstheme="minorHAnsi"/>
                <w:color w:val="000000"/>
                <w:sz w:val="20"/>
                <w:szCs w:val="20"/>
              </w:rPr>
              <w:t>Indikátor udává očekávaný celkový průměrný počet let, který zbývá osobám daného věku ještě prožít, jestliže budou zachovány úmrtnostní poměry daného období po zbytek jejich života.</w:t>
            </w:r>
          </w:p>
        </w:tc>
        <w:tc>
          <w:tcPr>
            <w:tcW w:w="1022" w:type="dxa"/>
            <w:tcBorders>
              <w:top w:val="single" w:sz="8" w:space="0" w:color="auto"/>
              <w:left w:val="nil"/>
              <w:bottom w:val="single" w:sz="8" w:space="0" w:color="auto"/>
              <w:right w:val="single" w:sz="8" w:space="0" w:color="auto"/>
            </w:tcBorders>
            <w:vAlign w:val="center"/>
          </w:tcPr>
          <w:p w:rsidR="00D71888" w:rsidRPr="00EE3D20" w:rsidP="00D71888" w14:paraId="2E432D98" w14:textId="28146913">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D71888" w:rsidRPr="00EE3D20" w:rsidP="00D71888" w14:paraId="6238EDB1" w14:textId="320FC0BD">
            <w:pPr>
              <w:spacing w:before="0" w:after="0"/>
              <w:jc w:val="center"/>
              <w:rPr>
                <w:rFonts w:cstheme="minorHAnsi"/>
                <w:sz w:val="20"/>
                <w:szCs w:val="20"/>
              </w:rPr>
            </w:pPr>
            <w:r w:rsidRPr="00EE3D20">
              <w:rPr>
                <w:rFonts w:cstheme="minorHAnsi"/>
                <w:color w:val="000000"/>
                <w:sz w:val="20"/>
                <w:szCs w:val="20"/>
              </w:rPr>
              <w:t>Počet let</w:t>
            </w:r>
          </w:p>
        </w:tc>
        <w:tc>
          <w:tcPr>
            <w:tcW w:w="1176" w:type="dxa"/>
            <w:tcBorders>
              <w:top w:val="single" w:sz="8" w:space="0" w:color="auto"/>
              <w:left w:val="nil"/>
              <w:bottom w:val="single" w:sz="8" w:space="0" w:color="auto"/>
              <w:right w:val="single" w:sz="8" w:space="0" w:color="auto"/>
            </w:tcBorders>
            <w:vAlign w:val="center"/>
          </w:tcPr>
          <w:p w:rsidR="00D71888" w:rsidRPr="00EE3D20" w:rsidP="00D71888" w14:paraId="3D039876" w14:textId="2161ED67">
            <w:pPr>
              <w:spacing w:before="0" w:after="0"/>
              <w:jc w:val="center"/>
              <w:rPr>
                <w:rFonts w:cstheme="minorHAnsi"/>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D71888" w:rsidRPr="00EE3D20" w:rsidP="00D71888" w14:paraId="4DFCB5B1" w14:textId="44DD3A9F">
            <w:pPr>
              <w:spacing w:before="0" w:after="0"/>
              <w:jc w:val="center"/>
              <w:rPr>
                <w:rFonts w:cstheme="minorHAnsi"/>
                <w:sz w:val="20"/>
                <w:szCs w:val="20"/>
              </w:rPr>
            </w:pPr>
            <w:r w:rsidRPr="00EE3D20">
              <w:rPr>
                <w:rFonts w:cstheme="minorHAnsi"/>
                <w:color w:val="000000"/>
                <w:sz w:val="20"/>
                <w:szCs w:val="20"/>
              </w:rPr>
              <w:br/>
              <w:t>Muži: 76,9 roku</w:t>
            </w:r>
            <w:r w:rsidRPr="00EE3D20">
              <w:rPr>
                <w:rFonts w:cstheme="minorHAnsi"/>
                <w:color w:val="000000"/>
                <w:sz w:val="20"/>
                <w:szCs w:val="20"/>
              </w:rPr>
              <w:br/>
              <w:t>Ženy: 82,8 roku</w:t>
            </w:r>
          </w:p>
        </w:tc>
        <w:tc>
          <w:tcPr>
            <w:tcW w:w="1334" w:type="dxa"/>
            <w:tcBorders>
              <w:top w:val="single" w:sz="8" w:space="0" w:color="auto"/>
              <w:left w:val="nil"/>
              <w:bottom w:val="single" w:sz="8" w:space="0" w:color="auto"/>
              <w:right w:val="single" w:sz="8" w:space="0" w:color="auto"/>
            </w:tcBorders>
            <w:vAlign w:val="center"/>
          </w:tcPr>
          <w:p w:rsidR="00D71888" w:rsidRPr="00EE3D20" w:rsidP="00D71888" w14:paraId="72D3246F" w14:textId="2A217110">
            <w:pPr>
              <w:spacing w:before="0" w:after="0"/>
              <w:jc w:val="center"/>
              <w:rPr>
                <w:rFonts w:cstheme="minorHAnsi"/>
                <w:color w:val="000000"/>
                <w:sz w:val="20"/>
                <w:szCs w:val="20"/>
              </w:rPr>
            </w:pPr>
            <w:r>
              <w:rPr>
                <w:rFonts w:ascii="Calibri" w:hAnsi="Calibri" w:cs="Calibri"/>
                <w:color w:val="000000"/>
                <w:sz w:val="20"/>
                <w:szCs w:val="20"/>
              </w:rPr>
              <w:t xml:space="preserve">Při narození: muži: </w:t>
            </w:r>
            <w:r>
              <w:rPr>
                <w:rFonts w:ascii="Calibri" w:hAnsi="Calibri" w:cs="Calibri"/>
                <w:color w:val="000000"/>
                <w:sz w:val="20"/>
                <w:szCs w:val="20"/>
              </w:rPr>
              <w:br/>
              <w:t xml:space="preserve">odhadovaných 78–80 let, ženy: 84,5–85,5 let </w:t>
            </w:r>
            <w:r>
              <w:rPr>
                <w:rFonts w:ascii="Calibri" w:hAnsi="Calibri" w:cs="Calibri"/>
                <w:color w:val="000000"/>
                <w:sz w:val="20"/>
                <w:szCs w:val="20"/>
              </w:rPr>
              <w:br/>
            </w:r>
            <w:r>
              <w:rPr>
                <w:rFonts w:ascii="Calibri" w:hAnsi="Calibri" w:cs="Calibri"/>
                <w:color w:val="000000"/>
                <w:sz w:val="20"/>
                <w:szCs w:val="20"/>
              </w:rPr>
              <w:br/>
              <w:t>Muži ve věku 65 let:na 20 let</w:t>
            </w:r>
            <w:r>
              <w:rPr>
                <w:rFonts w:ascii="Calibri" w:hAnsi="Calibri" w:cs="Calibri"/>
                <w:color w:val="000000"/>
                <w:sz w:val="20"/>
                <w:szCs w:val="20"/>
              </w:rPr>
              <w:br/>
              <w:t>Ženy ve věku 65 let na 23 let</w:t>
            </w:r>
          </w:p>
        </w:tc>
      </w:tr>
      <w:tr w14:paraId="48C190A3" w14:textId="77777777" w:rsidTr="00096586">
        <w:tblPrEx>
          <w:tblW w:w="12387" w:type="dxa"/>
          <w:tblCellMar>
            <w:top w:w="15" w:type="dxa"/>
            <w:left w:w="70" w:type="dxa"/>
            <w:bottom w:w="15" w:type="dxa"/>
            <w:right w:w="70" w:type="dxa"/>
          </w:tblCellMar>
          <w:tblLook w:val="04A0"/>
        </w:tblPrEx>
        <w:trPr>
          <w:trHeight w:val="1618"/>
        </w:trPr>
        <w:tc>
          <w:tcPr>
            <w:tcW w:w="1013" w:type="dxa"/>
            <w:tcBorders>
              <w:top w:val="single" w:sz="8" w:space="0" w:color="auto"/>
              <w:left w:val="single" w:sz="8" w:space="0" w:color="auto"/>
              <w:bottom w:val="single" w:sz="8" w:space="0" w:color="auto"/>
              <w:right w:val="single" w:sz="8" w:space="0" w:color="auto"/>
            </w:tcBorders>
            <w:vAlign w:val="center"/>
          </w:tcPr>
          <w:p w:rsidR="00D71888" w:rsidRPr="00EE3D20" w:rsidP="00096586" w14:paraId="3BC78F10" w14:textId="488C0011">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2.7</w:t>
            </w:r>
          </w:p>
        </w:tc>
        <w:tc>
          <w:tcPr>
            <w:tcW w:w="2581" w:type="dxa"/>
            <w:tcBorders>
              <w:top w:val="single" w:sz="8" w:space="0" w:color="auto"/>
              <w:left w:val="single" w:sz="8" w:space="0" w:color="auto"/>
              <w:bottom w:val="single" w:sz="8" w:space="0" w:color="auto"/>
              <w:right w:val="single" w:sz="8" w:space="0" w:color="auto"/>
            </w:tcBorders>
            <w:vAlign w:val="center"/>
          </w:tcPr>
          <w:p w:rsidR="00D71888" w:rsidRPr="00EE3D20" w:rsidP="00D71888" w14:paraId="71C82A68" w14:textId="3B905FCE">
            <w:pPr>
              <w:spacing w:before="0" w:after="0"/>
              <w:jc w:val="center"/>
              <w:rPr>
                <w:rFonts w:cstheme="minorHAnsi"/>
                <w:color w:val="000000"/>
                <w:sz w:val="20"/>
                <w:szCs w:val="20"/>
              </w:rPr>
            </w:pPr>
            <w:r w:rsidRPr="00EE3D20">
              <w:rPr>
                <w:rFonts w:cstheme="minorHAnsi"/>
                <w:color w:val="000000"/>
                <w:sz w:val="20"/>
                <w:szCs w:val="20"/>
              </w:rPr>
              <w:t>Přežití pacientů s nádorovými onemocněními</w:t>
            </w:r>
          </w:p>
        </w:tc>
        <w:tc>
          <w:tcPr>
            <w:tcW w:w="2501" w:type="dxa"/>
            <w:tcBorders>
              <w:top w:val="single" w:sz="8" w:space="0" w:color="auto"/>
              <w:left w:val="nil"/>
              <w:bottom w:val="single" w:sz="8" w:space="0" w:color="auto"/>
              <w:right w:val="single" w:sz="8" w:space="0" w:color="auto"/>
            </w:tcBorders>
            <w:vAlign w:val="center"/>
          </w:tcPr>
          <w:p w:rsidR="00D71888" w:rsidRPr="00EE3D20" w:rsidP="00D71888" w14:paraId="270FD091" w14:textId="2CB83588">
            <w:pPr>
              <w:spacing w:before="0" w:after="0"/>
              <w:jc w:val="center"/>
              <w:rPr>
                <w:rFonts w:cstheme="minorHAnsi"/>
                <w:color w:val="000000"/>
                <w:sz w:val="20"/>
                <w:szCs w:val="20"/>
              </w:rPr>
            </w:pPr>
            <w:r w:rsidRPr="00EE3D20">
              <w:rPr>
                <w:rFonts w:cstheme="minorHAnsi"/>
                <w:color w:val="000000"/>
                <w:sz w:val="20"/>
                <w:szCs w:val="20"/>
              </w:rPr>
              <w:t>K hodnocení přežívání onkologických pacientů se využívá tzv. relativní přežití, které je definováno jako poměr celkového přežití a tzv. očekávaného přežití. Očekávané přežití vyjadřuje mortalitu v obecné populaci, která odpovídá sledované skupině pacientů věkem, pohlavím a rokem diagnózy. Cílem výpočtu relativního přežití je odfiltrování vlivu mortality spojené s jinými onemocněními, než jsou sledované malignity. Pro hodnocení se využívá tzv. analýza časové periody, zpravidla pětileté.</w:t>
            </w:r>
          </w:p>
        </w:tc>
        <w:tc>
          <w:tcPr>
            <w:tcW w:w="1022" w:type="dxa"/>
            <w:tcBorders>
              <w:top w:val="single" w:sz="8" w:space="0" w:color="auto"/>
              <w:left w:val="nil"/>
              <w:bottom w:val="single" w:sz="8" w:space="0" w:color="auto"/>
              <w:right w:val="single" w:sz="8" w:space="0" w:color="auto"/>
            </w:tcBorders>
            <w:vAlign w:val="center"/>
          </w:tcPr>
          <w:p w:rsidR="00D71888" w:rsidRPr="00EE3D20" w:rsidP="00D71888" w14:paraId="24C11D06" w14:textId="761EB40F">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D71888" w:rsidRPr="00EE3D20" w:rsidP="00D71888" w14:paraId="1F833A8F" w14:textId="12EE9C89">
            <w:pPr>
              <w:spacing w:before="0" w:after="0"/>
              <w:jc w:val="center"/>
              <w:rPr>
                <w:rFonts w:cstheme="minorHAnsi"/>
                <w:sz w:val="20"/>
                <w:szCs w:val="20"/>
              </w:rPr>
            </w:pPr>
            <w:r w:rsidRPr="00EE3D20">
              <w:rPr>
                <w:rFonts w:cstheme="minorHAnsi"/>
                <w:color w:val="000000"/>
                <w:sz w:val="20"/>
                <w:szCs w:val="20"/>
              </w:rPr>
              <w:t>Pětileté relativní přežití, uvádí se v %</w:t>
            </w:r>
          </w:p>
        </w:tc>
        <w:tc>
          <w:tcPr>
            <w:tcW w:w="1176" w:type="dxa"/>
            <w:tcBorders>
              <w:top w:val="single" w:sz="8" w:space="0" w:color="auto"/>
              <w:left w:val="nil"/>
              <w:bottom w:val="single" w:sz="8" w:space="0" w:color="auto"/>
              <w:right w:val="single" w:sz="8" w:space="0" w:color="auto"/>
            </w:tcBorders>
            <w:vAlign w:val="center"/>
          </w:tcPr>
          <w:p w:rsidR="00D71888" w:rsidRPr="00EE3D20" w:rsidP="00D71888" w14:paraId="086A4F74" w14:textId="66F7FBA0">
            <w:pPr>
              <w:spacing w:before="0" w:after="0"/>
              <w:jc w:val="center"/>
              <w:rPr>
                <w:rFonts w:cstheme="minorHAnsi"/>
                <w:sz w:val="20"/>
                <w:szCs w:val="20"/>
              </w:rPr>
            </w:pPr>
            <w:r w:rsidRPr="00EE3D20">
              <w:rPr>
                <w:rFonts w:cstheme="minorHAnsi"/>
                <w:color w:val="000000"/>
                <w:sz w:val="20"/>
                <w:szCs w:val="20"/>
              </w:rPr>
              <w:t>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D71888" w:rsidRPr="00EE3D20" w:rsidP="00D71888" w14:paraId="7176BDE6" w14:textId="527D0A62">
            <w:pPr>
              <w:spacing w:before="0" w:after="0"/>
              <w:jc w:val="center"/>
              <w:rPr>
                <w:rFonts w:cstheme="minorHAnsi"/>
                <w:sz w:val="20"/>
                <w:szCs w:val="20"/>
              </w:rPr>
            </w:pPr>
            <w:r w:rsidRPr="00EE3D20">
              <w:rPr>
                <w:rFonts w:cstheme="minorHAnsi"/>
                <w:color w:val="000000"/>
                <w:sz w:val="20"/>
                <w:szCs w:val="20"/>
              </w:rPr>
              <w:t>ZN tlustého střeva a konečníku (C18–C20): 61.23 % (60.45–62.00); ZN slinivky břišní (C25): 8.73 % (8.12–9.36); ZN průdušnice, průdušky a plíce (C33, C34): 16.86 % (16.32–17.40); ZN prsu (C50) u žen: 90.18 % (89.61–90.72); ZN prostaty (C61): 96.34 % (95.63–96.94) *</w:t>
            </w:r>
          </w:p>
        </w:tc>
        <w:tc>
          <w:tcPr>
            <w:tcW w:w="1334" w:type="dxa"/>
            <w:tcBorders>
              <w:top w:val="single" w:sz="8" w:space="0" w:color="auto"/>
              <w:left w:val="nil"/>
              <w:bottom w:val="single" w:sz="8" w:space="0" w:color="auto"/>
              <w:right w:val="single" w:sz="8" w:space="0" w:color="auto"/>
            </w:tcBorders>
            <w:vAlign w:val="center"/>
          </w:tcPr>
          <w:p w:rsidR="00D71888" w:rsidRPr="00EE3D20" w:rsidP="00D71888" w14:paraId="73601990" w14:textId="5EACFC8D">
            <w:pPr>
              <w:spacing w:before="0" w:after="0"/>
              <w:jc w:val="center"/>
              <w:rPr>
                <w:rFonts w:cstheme="minorHAnsi"/>
                <w:color w:val="000000"/>
                <w:sz w:val="20"/>
                <w:szCs w:val="20"/>
              </w:rPr>
            </w:pPr>
            <w:r>
              <w:rPr>
                <w:rFonts w:ascii="Calibri" w:hAnsi="Calibri" w:cs="Calibri"/>
                <w:color w:val="000000"/>
                <w:sz w:val="20"/>
                <w:szCs w:val="20"/>
              </w:rPr>
              <w:t xml:space="preserve">750 000 osob, pokud </w:t>
            </w:r>
            <w:r>
              <w:rPr>
                <w:rFonts w:ascii="Calibri" w:hAnsi="Calibri" w:cs="Calibri"/>
                <w:color w:val="000000"/>
                <w:sz w:val="20"/>
                <w:szCs w:val="20"/>
              </w:rPr>
              <w:br/>
              <w:t>bude pokračovat</w:t>
            </w:r>
            <w:r>
              <w:rPr>
                <w:rFonts w:ascii="Calibri" w:hAnsi="Calibri" w:cs="Calibri"/>
                <w:color w:val="000000"/>
                <w:sz w:val="20"/>
                <w:szCs w:val="20"/>
              </w:rPr>
              <w:br/>
              <w:t xml:space="preserve"> současný trend růstu</w:t>
            </w:r>
            <w:r>
              <w:rPr>
                <w:rFonts w:ascii="Calibri" w:hAnsi="Calibri" w:cs="Calibri"/>
                <w:color w:val="000000"/>
                <w:sz w:val="20"/>
                <w:szCs w:val="20"/>
              </w:rPr>
              <w:br/>
              <w:t xml:space="preserve"> (meziroční nárůst</w:t>
            </w:r>
            <w:r>
              <w:rPr>
                <w:rFonts w:ascii="Calibri" w:hAnsi="Calibri" w:cs="Calibri"/>
                <w:color w:val="000000"/>
                <w:sz w:val="20"/>
                <w:szCs w:val="20"/>
              </w:rPr>
              <w:br/>
              <w:t>cca 2,5–3 %</w:t>
            </w:r>
            <w:r>
              <w:rPr>
                <w:rFonts w:ascii="Calibri" w:hAnsi="Calibri" w:cs="Calibri"/>
                <w:color w:val="000000"/>
                <w:sz w:val="20"/>
                <w:szCs w:val="20"/>
              </w:rPr>
              <w:br/>
              <w:t>7 000–7 500 na 100 000 obyvatel</w:t>
            </w:r>
          </w:p>
        </w:tc>
      </w:tr>
      <w:tr w14:paraId="02AFD0A1" w14:textId="77777777" w:rsidTr="00096586">
        <w:tblPrEx>
          <w:tblW w:w="12387" w:type="dxa"/>
          <w:tblCellMar>
            <w:top w:w="15" w:type="dxa"/>
            <w:left w:w="70" w:type="dxa"/>
            <w:bottom w:w="15" w:type="dxa"/>
            <w:right w:w="70" w:type="dxa"/>
          </w:tblCellMar>
          <w:tblLook w:val="04A0"/>
        </w:tblPrEx>
        <w:trPr>
          <w:trHeight w:val="1415"/>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50CFB731" w14:textId="52E67AC8">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2.8</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4BB3A286" w14:textId="1F9E1462">
            <w:pPr>
              <w:spacing w:before="0" w:after="0"/>
              <w:jc w:val="center"/>
              <w:rPr>
                <w:rFonts w:cstheme="minorHAnsi"/>
                <w:color w:val="000000"/>
                <w:sz w:val="20"/>
                <w:szCs w:val="20"/>
              </w:rPr>
            </w:pPr>
            <w:r w:rsidRPr="00EE3D20">
              <w:rPr>
                <w:rFonts w:cstheme="minorHAnsi"/>
                <w:color w:val="000000"/>
                <w:sz w:val="20"/>
                <w:szCs w:val="20"/>
              </w:rPr>
              <w:t>Navýšení počtu dobrovolníků ve zdravotnictví (jakýkoliv typ řízení programu)</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456ED2B5" w14:textId="0E80AD73">
            <w:pPr>
              <w:spacing w:before="0" w:after="0"/>
              <w:jc w:val="center"/>
              <w:rPr>
                <w:rFonts w:cstheme="minorHAnsi"/>
                <w:color w:val="000000"/>
                <w:sz w:val="20"/>
                <w:szCs w:val="20"/>
              </w:rPr>
            </w:pPr>
            <w:r w:rsidRPr="00EE3D20">
              <w:rPr>
                <w:rFonts w:cstheme="minorHAnsi"/>
                <w:color w:val="000000"/>
                <w:sz w:val="20"/>
                <w:szCs w:val="20"/>
              </w:rPr>
              <w:t>Systematická podpora pro poskytovatele zdravotních služeb s dobrovolnickým programem ve zdravotnictví, provazování kontaktů</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47965666" w14:textId="1062E18B">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6D7D6F6D" w14:textId="3C735994">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0028A9C7" w14:textId="30405291">
            <w:pPr>
              <w:spacing w:before="0" w:after="0"/>
              <w:jc w:val="center"/>
              <w:rPr>
                <w:rFonts w:cstheme="minorHAnsi"/>
                <w:sz w:val="20"/>
                <w:szCs w:val="20"/>
              </w:rPr>
            </w:pPr>
            <w:r w:rsidRPr="00EE3D20">
              <w:rPr>
                <w:rFonts w:cstheme="minorHAnsi"/>
                <w:color w:val="000000"/>
                <w:sz w:val="20"/>
                <w:szCs w:val="20"/>
              </w:rPr>
              <w:t>1x 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3305F077" w14:textId="2EAC4950">
            <w:pPr>
              <w:spacing w:before="0" w:after="0"/>
              <w:jc w:val="center"/>
              <w:rPr>
                <w:rFonts w:cstheme="minorHAnsi"/>
                <w:sz w:val="20"/>
                <w:szCs w:val="20"/>
              </w:rPr>
            </w:pPr>
            <w:r w:rsidRPr="00EE3D20">
              <w:rPr>
                <w:rFonts w:cstheme="minorHAnsi"/>
                <w:color w:val="000000"/>
                <w:sz w:val="20"/>
                <w:szCs w:val="20"/>
              </w:rPr>
              <w:t>3185</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05E6CF6A" w14:textId="31A3F0FC">
            <w:pPr>
              <w:spacing w:before="0" w:after="0"/>
              <w:jc w:val="center"/>
              <w:rPr>
                <w:rFonts w:cstheme="minorHAnsi"/>
                <w:color w:val="000000"/>
                <w:sz w:val="20"/>
                <w:szCs w:val="20"/>
              </w:rPr>
            </w:pPr>
            <w:r w:rsidRPr="00EE3D20">
              <w:rPr>
                <w:rFonts w:cstheme="minorHAnsi"/>
                <w:color w:val="000000"/>
                <w:sz w:val="20"/>
                <w:szCs w:val="20"/>
              </w:rPr>
              <w:t>4000</w:t>
            </w:r>
          </w:p>
        </w:tc>
      </w:tr>
      <w:tr w14:paraId="2EACBECB" w14:textId="77777777" w:rsidTr="00096586">
        <w:tblPrEx>
          <w:tblW w:w="12387" w:type="dxa"/>
          <w:tblCellMar>
            <w:top w:w="15" w:type="dxa"/>
            <w:left w:w="70" w:type="dxa"/>
            <w:bottom w:w="15" w:type="dxa"/>
            <w:right w:w="70" w:type="dxa"/>
          </w:tblCellMar>
          <w:tblLook w:val="04A0"/>
        </w:tblPrEx>
        <w:trPr>
          <w:trHeight w:val="1521"/>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52E4029D" w14:textId="53FBF9E0">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2.8</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104518B4" w14:textId="798AD0F1">
            <w:pPr>
              <w:spacing w:before="0" w:after="0"/>
              <w:jc w:val="center"/>
              <w:rPr>
                <w:rFonts w:cstheme="minorHAnsi"/>
                <w:color w:val="000000"/>
                <w:sz w:val="20"/>
                <w:szCs w:val="20"/>
              </w:rPr>
            </w:pPr>
            <w:r w:rsidRPr="00EE3D20">
              <w:rPr>
                <w:rFonts w:cstheme="minorHAnsi"/>
                <w:color w:val="000000"/>
                <w:sz w:val="20"/>
                <w:szCs w:val="20"/>
              </w:rPr>
              <w:t>Navýšení počtu poskytovatelů zdravotních služeb nabízejících program dobrovolnictví ve zdravotnictví (jakýkoliv typ řízení programu)</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45D178CC" w14:textId="5D7EA848">
            <w:pPr>
              <w:spacing w:before="0" w:after="0"/>
              <w:jc w:val="center"/>
              <w:rPr>
                <w:rFonts w:cstheme="minorHAnsi"/>
                <w:color w:val="000000"/>
                <w:sz w:val="20"/>
                <w:szCs w:val="20"/>
              </w:rPr>
            </w:pPr>
            <w:r w:rsidRPr="00EE3D20">
              <w:rPr>
                <w:rFonts w:cstheme="minorHAnsi"/>
                <w:color w:val="000000"/>
                <w:sz w:val="20"/>
                <w:szCs w:val="20"/>
              </w:rPr>
              <w:t>Systematická a metodická podpora pro poskytovatele zdravotních služeb, kteří začínají s dobrovolnickým programem</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101407EC" w14:textId="2285443A">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6B80AC18" w14:textId="6D972774">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4256F9DF" w14:textId="5AD18ACB">
            <w:pPr>
              <w:spacing w:before="0" w:after="0"/>
              <w:jc w:val="center"/>
              <w:rPr>
                <w:rFonts w:cstheme="minorHAnsi"/>
                <w:sz w:val="20"/>
                <w:szCs w:val="20"/>
              </w:rPr>
            </w:pPr>
            <w:r w:rsidRPr="00EE3D20">
              <w:rPr>
                <w:rFonts w:cstheme="minorHAnsi"/>
                <w:color w:val="000000"/>
                <w:sz w:val="20"/>
                <w:szCs w:val="20"/>
              </w:rPr>
              <w:t>1x 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1DBCC23F" w14:textId="33C67F1D">
            <w:pPr>
              <w:spacing w:before="0" w:after="0"/>
              <w:jc w:val="center"/>
              <w:rPr>
                <w:rFonts w:cstheme="minorHAnsi"/>
                <w:sz w:val="20"/>
                <w:szCs w:val="20"/>
              </w:rPr>
            </w:pPr>
            <w:r w:rsidRPr="00EE3D20">
              <w:rPr>
                <w:rFonts w:cstheme="minorHAnsi"/>
                <w:color w:val="000000"/>
                <w:sz w:val="20"/>
                <w:szCs w:val="20"/>
              </w:rPr>
              <w:t>129</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6D74A361" w14:textId="7960AEAA">
            <w:pPr>
              <w:spacing w:before="0" w:after="0"/>
              <w:jc w:val="center"/>
              <w:rPr>
                <w:rFonts w:cstheme="minorHAnsi"/>
                <w:color w:val="000000"/>
                <w:sz w:val="20"/>
                <w:szCs w:val="20"/>
              </w:rPr>
            </w:pPr>
            <w:r w:rsidRPr="00EE3D20">
              <w:rPr>
                <w:rFonts w:cstheme="minorHAnsi"/>
                <w:color w:val="000000"/>
                <w:sz w:val="20"/>
                <w:szCs w:val="20"/>
              </w:rPr>
              <w:t>150</w:t>
            </w:r>
          </w:p>
        </w:tc>
      </w:tr>
      <w:tr w14:paraId="2E50FF7D" w14:textId="77777777" w:rsidTr="00096586">
        <w:tblPrEx>
          <w:tblW w:w="12387" w:type="dxa"/>
          <w:tblCellMar>
            <w:top w:w="15" w:type="dxa"/>
            <w:left w:w="70" w:type="dxa"/>
            <w:bottom w:w="15" w:type="dxa"/>
            <w:right w:w="70" w:type="dxa"/>
          </w:tblCellMar>
          <w:tblLook w:val="04A0"/>
        </w:tblPrEx>
        <w:trPr>
          <w:trHeight w:val="934"/>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09630D83" w14:textId="5640596C">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2.8</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3809FDCF" w14:textId="5F0AC060">
            <w:pPr>
              <w:spacing w:before="0" w:after="0"/>
              <w:jc w:val="center"/>
              <w:rPr>
                <w:rFonts w:cstheme="minorHAnsi"/>
                <w:color w:val="000000"/>
                <w:sz w:val="20"/>
                <w:szCs w:val="20"/>
              </w:rPr>
            </w:pPr>
            <w:bookmarkStart w:id="651" w:name="2.8!A5"/>
            <w:r w:rsidRPr="00EE3D20">
              <w:rPr>
                <w:rFonts w:cstheme="minorHAnsi"/>
                <w:color w:val="000000"/>
                <w:sz w:val="20"/>
                <w:szCs w:val="20"/>
              </w:rPr>
              <w:t>Navýšení počtu členů v národní síti HPH</w:t>
            </w:r>
            <w:bookmarkEnd w:id="651"/>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725AAFE9" w14:textId="3A830422">
            <w:pPr>
              <w:spacing w:before="0" w:after="0"/>
              <w:jc w:val="center"/>
              <w:rPr>
                <w:rFonts w:cstheme="minorHAnsi"/>
                <w:color w:val="000000"/>
                <w:sz w:val="20"/>
                <w:szCs w:val="20"/>
              </w:rPr>
            </w:pPr>
            <w:r w:rsidRPr="00EE3D20">
              <w:rPr>
                <w:rFonts w:cstheme="minorHAnsi"/>
                <w:color w:val="000000"/>
                <w:sz w:val="20"/>
                <w:szCs w:val="20"/>
              </w:rPr>
              <w:t>Systematická a metodická podpora pro nové členy v síti HPH</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1C1B62F3" w14:textId="61074E8E">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61AFCDEE" w14:textId="705D8150">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307C1282" w14:textId="4E36D133">
            <w:pPr>
              <w:spacing w:before="0" w:after="0"/>
              <w:jc w:val="center"/>
              <w:rPr>
                <w:rFonts w:cstheme="minorHAnsi"/>
                <w:sz w:val="20"/>
                <w:szCs w:val="20"/>
              </w:rPr>
            </w:pPr>
            <w:r w:rsidRPr="00EE3D20">
              <w:rPr>
                <w:rFonts w:cstheme="minorHAnsi"/>
                <w:color w:val="000000"/>
                <w:sz w:val="20"/>
                <w:szCs w:val="20"/>
              </w:rPr>
              <w:t>1x 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22DEC00C" w14:textId="2804642D">
            <w:pPr>
              <w:spacing w:before="0" w:after="0"/>
              <w:jc w:val="center"/>
              <w:rPr>
                <w:rFonts w:cstheme="minorHAnsi"/>
                <w:sz w:val="20"/>
                <w:szCs w:val="20"/>
              </w:rPr>
            </w:pPr>
            <w:r w:rsidRPr="00EE3D20">
              <w:rPr>
                <w:rFonts w:cstheme="minorHAnsi"/>
                <w:color w:val="000000"/>
                <w:sz w:val="20"/>
                <w:szCs w:val="20"/>
              </w:rPr>
              <w:t>11</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567A5663" w14:textId="0D1995AA">
            <w:pPr>
              <w:spacing w:before="0" w:after="0"/>
              <w:jc w:val="center"/>
              <w:rPr>
                <w:rFonts w:cstheme="minorHAnsi"/>
                <w:color w:val="000000"/>
                <w:sz w:val="20"/>
                <w:szCs w:val="20"/>
              </w:rPr>
            </w:pPr>
            <w:r w:rsidRPr="00EE3D20">
              <w:rPr>
                <w:rFonts w:cstheme="minorHAnsi"/>
                <w:color w:val="000000"/>
                <w:sz w:val="20"/>
                <w:szCs w:val="20"/>
              </w:rPr>
              <w:t>&gt; 11</w:t>
            </w:r>
          </w:p>
        </w:tc>
      </w:tr>
      <w:tr w14:paraId="5C305785" w14:textId="77777777" w:rsidTr="00096586">
        <w:tblPrEx>
          <w:tblW w:w="12387" w:type="dxa"/>
          <w:tblCellMar>
            <w:top w:w="15" w:type="dxa"/>
            <w:left w:w="70" w:type="dxa"/>
            <w:bottom w:w="15" w:type="dxa"/>
            <w:right w:w="70" w:type="dxa"/>
          </w:tblCellMar>
          <w:tblLook w:val="04A0"/>
        </w:tblPrEx>
        <w:trPr>
          <w:trHeight w:val="1193"/>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5FB4DD2E" w14:textId="6CF2B288">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2.8</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389613FD" w14:textId="45C98074">
            <w:pPr>
              <w:spacing w:before="0" w:after="0"/>
              <w:jc w:val="center"/>
              <w:rPr>
                <w:rFonts w:cstheme="minorHAnsi"/>
                <w:color w:val="000000"/>
                <w:sz w:val="20"/>
                <w:szCs w:val="20"/>
              </w:rPr>
            </w:pPr>
            <w:r w:rsidRPr="00EE3D20">
              <w:rPr>
                <w:rFonts w:cstheme="minorHAnsi"/>
                <w:color w:val="000000"/>
                <w:sz w:val="20"/>
                <w:szCs w:val="20"/>
              </w:rPr>
              <w:t>Navýšení počtu členů v národní síti GNTH</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7089A86C" w14:textId="5E51C99D">
            <w:pPr>
              <w:spacing w:before="0" w:after="0"/>
              <w:jc w:val="center"/>
              <w:rPr>
                <w:rFonts w:cstheme="minorHAnsi"/>
                <w:color w:val="000000"/>
                <w:sz w:val="20"/>
                <w:szCs w:val="20"/>
              </w:rPr>
            </w:pPr>
            <w:r w:rsidRPr="00EE3D20">
              <w:rPr>
                <w:rFonts w:cstheme="minorHAnsi"/>
                <w:color w:val="000000"/>
                <w:sz w:val="20"/>
                <w:szCs w:val="20"/>
              </w:rPr>
              <w:t>Systematická a metodická podpora pro nové členy v síti GNTH</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6C0F3D6E" w14:textId="29113855">
            <w:pPr>
              <w:spacing w:before="0" w:after="0"/>
              <w:jc w:val="center"/>
              <w:rPr>
                <w:rFonts w:cstheme="minorHAnsi"/>
                <w:sz w:val="20"/>
                <w:szCs w:val="20"/>
              </w:rPr>
            </w:pPr>
            <w:r w:rsidRPr="00EE3D20">
              <w:rPr>
                <w:rFonts w:cstheme="minorHAnsi"/>
                <w:color w:val="000000"/>
                <w:sz w:val="20"/>
                <w:szCs w:val="20"/>
              </w:rPr>
              <w:t>MZD-SZ/OZP</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1FB48B17" w14:textId="14AAD22C">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6C48BB02" w14:textId="784DABC9">
            <w:pPr>
              <w:spacing w:before="0" w:after="0"/>
              <w:jc w:val="center"/>
              <w:rPr>
                <w:rFonts w:cstheme="minorHAnsi"/>
                <w:sz w:val="20"/>
                <w:szCs w:val="20"/>
              </w:rPr>
            </w:pPr>
            <w:r w:rsidRPr="00EE3D20">
              <w:rPr>
                <w:rFonts w:cstheme="minorHAnsi"/>
                <w:color w:val="000000"/>
                <w:sz w:val="20"/>
                <w:szCs w:val="20"/>
              </w:rPr>
              <w:t>1x ročně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3D3B2AC5" w14:textId="56C43B00">
            <w:pPr>
              <w:spacing w:before="0" w:after="0"/>
              <w:jc w:val="center"/>
              <w:rPr>
                <w:rFonts w:cstheme="minorHAnsi"/>
                <w:sz w:val="20"/>
                <w:szCs w:val="20"/>
              </w:rPr>
            </w:pPr>
            <w:r w:rsidRPr="00EE3D20">
              <w:rPr>
                <w:rFonts w:cstheme="minorHAnsi"/>
                <w:color w:val="000000"/>
                <w:sz w:val="20"/>
                <w:szCs w:val="20"/>
              </w:rPr>
              <w:t>14</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21E4A8E7" w14:textId="2EA034BC">
            <w:pPr>
              <w:spacing w:before="0" w:after="0"/>
              <w:jc w:val="center"/>
              <w:rPr>
                <w:rFonts w:cstheme="minorHAnsi"/>
                <w:color w:val="000000"/>
                <w:sz w:val="20"/>
                <w:szCs w:val="20"/>
              </w:rPr>
            </w:pPr>
            <w:r w:rsidRPr="00EE3D20">
              <w:rPr>
                <w:rFonts w:cstheme="minorHAnsi"/>
                <w:color w:val="000000"/>
                <w:sz w:val="20"/>
                <w:szCs w:val="20"/>
              </w:rPr>
              <w:t>&gt; 15</w:t>
            </w:r>
          </w:p>
        </w:tc>
      </w:tr>
      <w:tr w14:paraId="49BEB226" w14:textId="77777777" w:rsidTr="00096586">
        <w:tblPrEx>
          <w:tblW w:w="12387" w:type="dxa"/>
          <w:tblCellMar>
            <w:top w:w="15" w:type="dxa"/>
            <w:left w:w="70" w:type="dxa"/>
            <w:bottom w:w="15" w:type="dxa"/>
            <w:right w:w="70" w:type="dxa"/>
          </w:tblCellMar>
          <w:tblLook w:val="04A0"/>
        </w:tblPrEx>
        <w:trPr>
          <w:trHeight w:val="1618"/>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00B1822C" w14:textId="0306271A">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2.8</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34DB7B32" w14:textId="02B08652">
            <w:pPr>
              <w:spacing w:before="0" w:after="0"/>
              <w:jc w:val="center"/>
              <w:rPr>
                <w:rFonts w:cstheme="minorHAnsi"/>
                <w:color w:val="000000"/>
                <w:sz w:val="20"/>
                <w:szCs w:val="20"/>
              </w:rPr>
            </w:pPr>
            <w:r w:rsidRPr="00EE3D20">
              <w:rPr>
                <w:rFonts w:cstheme="minorHAnsi"/>
                <w:color w:val="000000"/>
                <w:sz w:val="20"/>
                <w:szCs w:val="20"/>
              </w:rPr>
              <w:t>Navýšení počtu poskytovatelů zdravotních služeb zapojených do projektu Národní hodnocení spokojenosti pacientů v lůžkové péči</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63120342" w14:textId="491DBC0C">
            <w:pPr>
              <w:spacing w:before="0" w:after="0"/>
              <w:jc w:val="center"/>
              <w:rPr>
                <w:rFonts w:cstheme="minorHAnsi"/>
                <w:color w:val="000000"/>
                <w:sz w:val="20"/>
                <w:szCs w:val="20"/>
              </w:rPr>
            </w:pPr>
            <w:r w:rsidRPr="00EE3D20">
              <w:rPr>
                <w:rFonts w:cstheme="minorHAnsi"/>
                <w:color w:val="000000"/>
                <w:sz w:val="20"/>
                <w:szCs w:val="20"/>
              </w:rPr>
              <w:t>Navýšení počtu participantů povede k vyšší implementaci projektu v ČR</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4513D501" w14:textId="411847F1">
            <w:pPr>
              <w:spacing w:before="0" w:after="0"/>
              <w:jc w:val="center"/>
              <w:rPr>
                <w:rFonts w:cstheme="minorHAnsi"/>
                <w:sz w:val="20"/>
                <w:szCs w:val="20"/>
              </w:rPr>
            </w:pPr>
            <w:r w:rsidRPr="00EE3D20">
              <w:rPr>
                <w:rFonts w:cstheme="minorHAnsi"/>
                <w:color w:val="000000"/>
                <w:sz w:val="20"/>
                <w:szCs w:val="20"/>
              </w:rPr>
              <w:t>MZD-SZ/OZP, ÚZIS</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24DF573D" w14:textId="5B8CB354">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27228AC4" w14:textId="3FC881FF">
            <w:pPr>
              <w:spacing w:before="0" w:after="0"/>
              <w:jc w:val="center"/>
              <w:rPr>
                <w:rFonts w:cstheme="minorHAnsi"/>
                <w:sz w:val="20"/>
                <w:szCs w:val="20"/>
              </w:rPr>
            </w:pPr>
            <w:r w:rsidRPr="00EE3D20">
              <w:rPr>
                <w:rFonts w:cstheme="minorHAnsi"/>
                <w:color w:val="000000"/>
                <w:sz w:val="20"/>
                <w:szCs w:val="20"/>
              </w:rPr>
              <w:t>Průběžně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73323F3E" w14:textId="0A2FDD5F">
            <w:pPr>
              <w:spacing w:before="0" w:after="0"/>
              <w:jc w:val="center"/>
              <w:rPr>
                <w:rFonts w:cstheme="minorHAnsi"/>
                <w:sz w:val="20"/>
                <w:szCs w:val="20"/>
              </w:rPr>
            </w:pPr>
            <w:r w:rsidRPr="00EE3D20">
              <w:rPr>
                <w:rFonts w:cstheme="minorHAnsi"/>
                <w:color w:val="000000"/>
                <w:sz w:val="20"/>
                <w:szCs w:val="20"/>
              </w:rPr>
              <w:t>36</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69B116A5" w14:textId="5313E0D8">
            <w:pPr>
              <w:spacing w:before="0" w:after="0"/>
              <w:jc w:val="center"/>
              <w:rPr>
                <w:rFonts w:cstheme="minorHAnsi"/>
                <w:color w:val="000000"/>
                <w:sz w:val="20"/>
                <w:szCs w:val="20"/>
              </w:rPr>
            </w:pPr>
            <w:r w:rsidRPr="00EE3D20">
              <w:rPr>
                <w:rFonts w:cstheme="minorHAnsi"/>
                <w:color w:val="000000"/>
                <w:sz w:val="20"/>
                <w:szCs w:val="20"/>
              </w:rPr>
              <w:t>&gt; 46</w:t>
            </w:r>
          </w:p>
        </w:tc>
      </w:tr>
      <w:tr w14:paraId="1DDC5180" w14:textId="77777777" w:rsidTr="00096586">
        <w:tblPrEx>
          <w:tblW w:w="12387" w:type="dxa"/>
          <w:tblCellMar>
            <w:top w:w="15" w:type="dxa"/>
            <w:left w:w="70" w:type="dxa"/>
            <w:bottom w:w="15" w:type="dxa"/>
            <w:right w:w="70" w:type="dxa"/>
          </w:tblCellMar>
          <w:tblLook w:val="04A0"/>
        </w:tblPrEx>
        <w:trPr>
          <w:trHeight w:val="1618"/>
        </w:trPr>
        <w:tc>
          <w:tcPr>
            <w:tcW w:w="1013" w:type="dxa"/>
            <w:tcBorders>
              <w:top w:val="single" w:sz="8" w:space="0" w:color="auto"/>
              <w:left w:val="single" w:sz="8" w:space="0" w:color="auto"/>
              <w:bottom w:val="single" w:sz="8" w:space="0" w:color="auto"/>
              <w:right w:val="single" w:sz="8" w:space="0" w:color="auto"/>
            </w:tcBorders>
            <w:vAlign w:val="center"/>
          </w:tcPr>
          <w:p w:rsidR="00EE3D20" w:rsidRPr="00EE3D20" w:rsidP="00096586" w14:paraId="7B3B50B5" w14:textId="2EF9FC54">
            <w:pPr>
              <w:spacing w:before="0" w:after="0"/>
              <w:jc w:val="center"/>
              <w:rPr>
                <w:rFonts w:eastAsia="Times New Roman" w:cstheme="minorHAnsi"/>
                <w:color w:val="000000"/>
                <w:sz w:val="20"/>
                <w:szCs w:val="20"/>
                <w:lang w:eastAsia="cs-CZ"/>
              </w:rPr>
            </w:pPr>
            <w:r w:rsidRPr="00EE3D20">
              <w:rPr>
                <w:rFonts w:eastAsia="Times New Roman" w:cstheme="minorHAnsi"/>
                <w:color w:val="000000"/>
                <w:sz w:val="20"/>
                <w:szCs w:val="20"/>
                <w:lang w:eastAsia="cs-CZ"/>
              </w:rPr>
              <w:t>2.8</w:t>
            </w:r>
          </w:p>
        </w:tc>
        <w:tc>
          <w:tcPr>
            <w:tcW w:w="2581" w:type="dxa"/>
            <w:tcBorders>
              <w:top w:val="single" w:sz="8" w:space="0" w:color="auto"/>
              <w:left w:val="single" w:sz="8" w:space="0" w:color="auto"/>
              <w:bottom w:val="single" w:sz="8" w:space="0" w:color="auto"/>
              <w:right w:val="single" w:sz="8" w:space="0" w:color="auto"/>
            </w:tcBorders>
            <w:vAlign w:val="center"/>
          </w:tcPr>
          <w:p w:rsidR="00EE3D20" w:rsidRPr="00EE3D20" w:rsidP="00EE3D20" w14:paraId="2D942086" w14:textId="111AF145">
            <w:pPr>
              <w:spacing w:before="0" w:after="0"/>
              <w:jc w:val="center"/>
              <w:rPr>
                <w:rFonts w:cstheme="minorHAnsi"/>
                <w:color w:val="000000"/>
                <w:sz w:val="20"/>
                <w:szCs w:val="20"/>
              </w:rPr>
            </w:pPr>
            <w:r w:rsidRPr="00EE3D20">
              <w:rPr>
                <w:rFonts w:cstheme="minorHAnsi"/>
                <w:color w:val="000000"/>
                <w:sz w:val="20"/>
                <w:szCs w:val="20"/>
              </w:rPr>
              <w:t>Navýšení počtu poskytovatelů zdravotních služeb zapojených do projektu Národní hodnocení spokojenosti pacientů v ambulantní péči</w:t>
            </w:r>
          </w:p>
        </w:tc>
        <w:tc>
          <w:tcPr>
            <w:tcW w:w="2501" w:type="dxa"/>
            <w:tcBorders>
              <w:top w:val="single" w:sz="8" w:space="0" w:color="auto"/>
              <w:left w:val="nil"/>
              <w:bottom w:val="single" w:sz="8" w:space="0" w:color="auto"/>
              <w:right w:val="single" w:sz="8" w:space="0" w:color="auto"/>
            </w:tcBorders>
            <w:vAlign w:val="center"/>
          </w:tcPr>
          <w:p w:rsidR="00EE3D20" w:rsidRPr="00EE3D20" w:rsidP="00EE3D20" w14:paraId="26B07665" w14:textId="51A6AE18">
            <w:pPr>
              <w:spacing w:before="0" w:after="0"/>
              <w:jc w:val="center"/>
              <w:rPr>
                <w:rFonts w:cstheme="minorHAnsi"/>
                <w:color w:val="000000"/>
                <w:sz w:val="20"/>
                <w:szCs w:val="20"/>
              </w:rPr>
            </w:pPr>
            <w:r w:rsidRPr="00EE3D20">
              <w:rPr>
                <w:rFonts w:cstheme="minorHAnsi"/>
                <w:color w:val="000000"/>
                <w:sz w:val="20"/>
                <w:szCs w:val="20"/>
              </w:rPr>
              <w:t>Navýšení počtu participantů povede k vyšší implementaci projektu v ČR</w:t>
            </w:r>
          </w:p>
        </w:tc>
        <w:tc>
          <w:tcPr>
            <w:tcW w:w="1022" w:type="dxa"/>
            <w:tcBorders>
              <w:top w:val="single" w:sz="8" w:space="0" w:color="auto"/>
              <w:left w:val="nil"/>
              <w:bottom w:val="single" w:sz="8" w:space="0" w:color="auto"/>
              <w:right w:val="single" w:sz="8" w:space="0" w:color="auto"/>
            </w:tcBorders>
            <w:vAlign w:val="center"/>
          </w:tcPr>
          <w:p w:rsidR="00EE3D20" w:rsidRPr="00EE3D20" w:rsidP="00EE3D20" w14:paraId="5ABABFA1" w14:textId="76335A6B">
            <w:pPr>
              <w:spacing w:before="0" w:after="0"/>
              <w:jc w:val="center"/>
              <w:rPr>
                <w:rFonts w:cstheme="minorHAnsi"/>
                <w:sz w:val="20"/>
                <w:szCs w:val="20"/>
              </w:rPr>
            </w:pPr>
            <w:r w:rsidRPr="00EE3D20">
              <w:rPr>
                <w:rFonts w:cstheme="minorHAnsi"/>
                <w:color w:val="000000"/>
                <w:sz w:val="20"/>
                <w:szCs w:val="20"/>
              </w:rPr>
              <w:t>MZD-SZ/OZP, ÚZIS</w:t>
            </w:r>
          </w:p>
        </w:tc>
        <w:tc>
          <w:tcPr>
            <w:tcW w:w="1484" w:type="dxa"/>
            <w:tcBorders>
              <w:top w:val="single" w:sz="8" w:space="0" w:color="auto"/>
              <w:left w:val="nil"/>
              <w:bottom w:val="single" w:sz="8" w:space="0" w:color="auto"/>
              <w:right w:val="single" w:sz="8" w:space="0" w:color="auto"/>
            </w:tcBorders>
            <w:vAlign w:val="center"/>
          </w:tcPr>
          <w:p w:rsidR="00EE3D20" w:rsidRPr="00EE3D20" w:rsidP="00EE3D20" w14:paraId="49567381" w14:textId="2B20B89A">
            <w:pPr>
              <w:spacing w:before="0" w:after="0"/>
              <w:jc w:val="center"/>
              <w:rPr>
                <w:rFonts w:cstheme="minorHAnsi"/>
                <w:sz w:val="20"/>
                <w:szCs w:val="20"/>
              </w:rPr>
            </w:pPr>
            <w:r w:rsidRPr="00EE3D20">
              <w:rPr>
                <w:rFonts w:cstheme="minorHAnsi"/>
                <w:color w:val="000000"/>
                <w:sz w:val="20"/>
                <w:szCs w:val="20"/>
              </w:rPr>
              <w:t>Počet</w:t>
            </w:r>
          </w:p>
        </w:tc>
        <w:tc>
          <w:tcPr>
            <w:tcW w:w="1176" w:type="dxa"/>
            <w:tcBorders>
              <w:top w:val="single" w:sz="8" w:space="0" w:color="auto"/>
              <w:left w:val="nil"/>
              <w:bottom w:val="single" w:sz="8" w:space="0" w:color="auto"/>
              <w:right w:val="single" w:sz="8" w:space="0" w:color="auto"/>
            </w:tcBorders>
            <w:vAlign w:val="center"/>
          </w:tcPr>
          <w:p w:rsidR="00EE3D20" w:rsidRPr="00EE3D20" w:rsidP="00EE3D20" w14:paraId="149A0AE9" w14:textId="2156BDFE">
            <w:pPr>
              <w:spacing w:before="0" w:after="0"/>
              <w:jc w:val="center"/>
              <w:rPr>
                <w:rFonts w:cstheme="minorHAnsi"/>
                <w:sz w:val="20"/>
                <w:szCs w:val="20"/>
              </w:rPr>
            </w:pPr>
            <w:r w:rsidRPr="00EE3D20">
              <w:rPr>
                <w:rFonts w:cstheme="minorHAnsi"/>
                <w:color w:val="000000"/>
                <w:sz w:val="20"/>
                <w:szCs w:val="20"/>
              </w:rPr>
              <w:t>Průběžně</w:t>
            </w:r>
          </w:p>
        </w:tc>
        <w:tc>
          <w:tcPr>
            <w:tcW w:w="1276" w:type="dxa"/>
            <w:tcBorders>
              <w:top w:val="single" w:sz="8" w:space="0" w:color="auto"/>
              <w:left w:val="nil"/>
              <w:bottom w:val="single" w:sz="8" w:space="0" w:color="auto"/>
              <w:right w:val="single" w:sz="8" w:space="0" w:color="auto"/>
            </w:tcBorders>
            <w:shd w:val="clear" w:color="auto" w:fill="auto"/>
            <w:vAlign w:val="center"/>
          </w:tcPr>
          <w:p w:rsidR="00EE3D20" w:rsidRPr="00EE3D20" w:rsidP="00EE3D20" w14:paraId="74A14776" w14:textId="17C38F25">
            <w:pPr>
              <w:spacing w:before="0" w:after="0"/>
              <w:jc w:val="center"/>
              <w:rPr>
                <w:rFonts w:cstheme="minorHAnsi"/>
                <w:sz w:val="20"/>
                <w:szCs w:val="20"/>
              </w:rPr>
            </w:pPr>
            <w:r w:rsidRPr="00EE3D20">
              <w:rPr>
                <w:rFonts w:cstheme="minorHAnsi"/>
                <w:color w:val="000000"/>
                <w:sz w:val="20"/>
                <w:szCs w:val="20"/>
              </w:rPr>
              <w:t>5</w:t>
            </w:r>
          </w:p>
        </w:tc>
        <w:tc>
          <w:tcPr>
            <w:tcW w:w="1334" w:type="dxa"/>
            <w:tcBorders>
              <w:top w:val="single" w:sz="8" w:space="0" w:color="auto"/>
              <w:left w:val="nil"/>
              <w:bottom w:val="single" w:sz="8" w:space="0" w:color="auto"/>
              <w:right w:val="single" w:sz="8" w:space="0" w:color="auto"/>
            </w:tcBorders>
            <w:vAlign w:val="center"/>
          </w:tcPr>
          <w:p w:rsidR="00EE3D20" w:rsidRPr="00EE3D20" w:rsidP="00EE3D20" w14:paraId="4691DDA1" w14:textId="77777777">
            <w:pPr>
              <w:spacing w:before="0"/>
              <w:jc w:val="center"/>
              <w:rPr>
                <w:rFonts w:cstheme="minorHAnsi"/>
                <w:color w:val="000000"/>
                <w:sz w:val="20"/>
                <w:szCs w:val="20"/>
              </w:rPr>
            </w:pPr>
            <w:r w:rsidRPr="00EE3D20">
              <w:rPr>
                <w:rFonts w:cstheme="minorHAnsi"/>
                <w:color w:val="000000"/>
                <w:sz w:val="20"/>
                <w:szCs w:val="20"/>
              </w:rPr>
              <w:t>&gt; 14</w:t>
            </w:r>
          </w:p>
          <w:p w:rsidR="00EE3D20" w:rsidRPr="00EE3D20" w:rsidP="00EE3D20" w14:paraId="6A3F6A42" w14:textId="77777777">
            <w:pPr>
              <w:spacing w:before="0" w:after="0"/>
              <w:jc w:val="center"/>
              <w:rPr>
                <w:rFonts w:cstheme="minorHAnsi"/>
                <w:color w:val="000000"/>
                <w:sz w:val="20"/>
                <w:szCs w:val="20"/>
              </w:rPr>
            </w:pPr>
          </w:p>
        </w:tc>
      </w:tr>
    </w:tbl>
    <w:p w:rsidR="008C748A" w:rsidRPr="009B72F7" w:rsidP="008C748A" w14:paraId="66B23292" w14:textId="77777777">
      <w:pPr>
        <w:rPr>
          <w:rFonts w:cs="Arial"/>
          <w:sz w:val="20"/>
          <w:szCs w:val="20"/>
        </w:rPr>
      </w:pPr>
      <w:r>
        <w:rPr>
          <w:rFonts w:cs="Arial"/>
          <w:sz w:val="20"/>
          <w:szCs w:val="20"/>
        </w:rPr>
        <w:t>Tabulka č. 11 Seznam indikátorů sledovaných na úrovni specifických cílů Zdraví 2035</w:t>
      </w:r>
    </w:p>
    <w:p w:rsidR="0081262E" w:rsidRPr="00A955AF" w:rsidP="001B2F50" w14:paraId="788BAED3" w14:textId="77777777">
      <w:pPr>
        <w:rPr>
          <w:rFonts w:ascii="Arial" w:hAnsi="Arial" w:cs="Arial"/>
          <w:sz w:val="20"/>
          <w:szCs w:val="20"/>
        </w:rPr>
      </w:pPr>
    </w:p>
    <w:p w:rsidR="00C27B57" w:rsidRPr="00A955AF" w:rsidP="00566505" w14:paraId="21BED874" w14:textId="373D7358">
      <w:pPr>
        <w:pStyle w:val="Bntext"/>
        <w:ind w:firstLine="0"/>
        <w:rPr>
          <w:rFonts w:cs="Arial"/>
          <w:sz w:val="24"/>
          <w:lang w:val="cs-CZ"/>
        </w:rPr>
      </w:pPr>
      <w:r w:rsidRPr="00A955AF">
        <w:rPr>
          <w:rFonts w:asciiTheme="minorHAnsi" w:hAnsiTheme="minorHAnsi" w:cs="Arial"/>
          <w:sz w:val="24"/>
          <w:lang w:val="cs-CZ"/>
        </w:rPr>
        <w:t xml:space="preserve">Podrobnější indikativní ukazatele ke sledování naplňování </w:t>
      </w:r>
      <w:r w:rsidRPr="00A955AF" w:rsidR="0081262E">
        <w:rPr>
          <w:rFonts w:asciiTheme="minorHAnsi" w:hAnsiTheme="minorHAnsi" w:cs="Arial"/>
          <w:sz w:val="24"/>
          <w:lang w:val="cs-CZ"/>
        </w:rPr>
        <w:t xml:space="preserve">specifických </w:t>
      </w:r>
      <w:r w:rsidRPr="00A955AF">
        <w:rPr>
          <w:rFonts w:asciiTheme="minorHAnsi" w:hAnsiTheme="minorHAnsi" w:cs="Arial"/>
          <w:sz w:val="24"/>
          <w:lang w:val="cs-CZ"/>
        </w:rPr>
        <w:t xml:space="preserve">cílů budou sledovány </w:t>
      </w:r>
      <w:r w:rsidRPr="00A955AF" w:rsidR="00096CA1">
        <w:rPr>
          <w:rFonts w:asciiTheme="minorHAnsi" w:hAnsiTheme="minorHAnsi" w:cs="Arial"/>
          <w:sz w:val="24"/>
          <w:lang w:val="cs-CZ"/>
        </w:rPr>
        <w:t>a </w:t>
      </w:r>
      <w:r w:rsidRPr="00A955AF">
        <w:rPr>
          <w:rFonts w:asciiTheme="minorHAnsi" w:hAnsiTheme="minorHAnsi" w:cs="Arial"/>
          <w:sz w:val="24"/>
          <w:lang w:val="cs-CZ"/>
        </w:rPr>
        <w:t>vyhodnocovány v rámci implementace díl</w:t>
      </w:r>
      <w:r w:rsidRPr="00A955AF" w:rsidR="00260702">
        <w:rPr>
          <w:rFonts w:asciiTheme="minorHAnsi" w:hAnsiTheme="minorHAnsi" w:cs="Arial"/>
          <w:sz w:val="24"/>
          <w:lang w:val="cs-CZ"/>
        </w:rPr>
        <w:t>čích cílů. U některých opatření</w:t>
      </w:r>
      <w:r w:rsidRPr="00A955AF">
        <w:rPr>
          <w:rFonts w:asciiTheme="minorHAnsi" w:hAnsiTheme="minorHAnsi" w:cs="Arial"/>
          <w:sz w:val="24"/>
          <w:lang w:val="cs-CZ"/>
        </w:rPr>
        <w:t xml:space="preserve"> není možno stanovit přesnou číselnou hodnotu úspěchu. Ale i kroky vedoucí k realizaci takových „neměřitelných“ opatření budou průběžně monitorovány a vyhodnocovány</w:t>
      </w:r>
      <w:r w:rsidRPr="00A955AF" w:rsidR="00471D51">
        <w:rPr>
          <w:rFonts w:asciiTheme="minorHAnsi" w:hAnsiTheme="minorHAnsi" w:cs="Arial"/>
          <w:sz w:val="24"/>
          <w:lang w:val="cs-CZ"/>
        </w:rPr>
        <w:t xml:space="preserve">. </w:t>
      </w:r>
    </w:p>
    <w:p w:rsidR="008C748A" w14:paraId="59C28823" w14:textId="08C7E004">
      <w:pPr>
        <w:spacing w:before="0" w:line="264" w:lineRule="auto"/>
        <w:jc w:val="left"/>
        <w:rPr>
          <w:rFonts w:ascii="Arial" w:hAnsi="Arial" w:cs="Arial"/>
          <w:sz w:val="20"/>
          <w:szCs w:val="20"/>
        </w:rPr>
        <w:sectPr w:rsidSect="003C7F59">
          <w:pgSz w:w="16838" w:h="11906" w:orient="landscape"/>
          <w:pgMar w:top="1417" w:right="1701" w:bottom="2127" w:left="1560" w:header="708" w:footer="97" w:gutter="0"/>
          <w:cols w:space="708"/>
          <w:titlePg/>
          <w:docGrid w:linePitch="360"/>
        </w:sectPr>
      </w:pPr>
      <w:r w:rsidRPr="00D71888">
        <w:rPr>
          <w:rFonts w:eastAsia="Times New Roman" w:cs="Arial"/>
          <w:sz w:val="24"/>
          <w:lang w:eastAsia="cs-CZ"/>
        </w:rPr>
        <w:t>Všechny indikátory Strategického rámce Zdraví 2035 a jeho implementačních plánů jsou rozpracovány v příloze Indikátorová sada.</w:t>
      </w:r>
    </w:p>
    <w:p w:rsidR="00A75D1C" w14:paraId="00ADB090" w14:textId="77777777">
      <w:pPr>
        <w:spacing w:before="0" w:line="264" w:lineRule="auto"/>
        <w:jc w:val="left"/>
        <w:rPr>
          <w:rFonts w:ascii="Arial" w:hAnsi="Arial" w:cs="Arial"/>
          <w:sz w:val="20"/>
          <w:szCs w:val="20"/>
        </w:rPr>
        <w:sectPr w:rsidSect="008C748A">
          <w:type w:val="continuous"/>
          <w:pgSz w:w="16838" w:h="11906" w:orient="landscape"/>
          <w:pgMar w:top="1417" w:right="1701" w:bottom="1417" w:left="1560" w:header="708" w:footer="97" w:gutter="0"/>
          <w:cols w:space="708"/>
          <w:titlePg/>
          <w:docGrid w:linePitch="360"/>
        </w:sectPr>
      </w:pPr>
    </w:p>
    <w:p w:rsidR="00C27B57" w:rsidRPr="00163C98" w:rsidP="006C359E" w14:paraId="39294145" w14:textId="77777777">
      <w:pPr>
        <w:pStyle w:val="Heading1"/>
        <w:numPr>
          <w:ilvl w:val="0"/>
          <w:numId w:val="45"/>
        </w:numPr>
        <w:rPr>
          <w:color w:val="1F497D" w:themeColor="text2"/>
        </w:rPr>
      </w:pPr>
      <w:bookmarkStart w:id="652" w:name="_Toc7705153"/>
      <w:bookmarkStart w:id="653" w:name="_Toc7705624"/>
      <w:bookmarkStart w:id="654" w:name="_Toc256000069"/>
      <w:r w:rsidRPr="00163C98">
        <w:rPr>
          <w:color w:val="1F497D" w:themeColor="text2"/>
        </w:rPr>
        <w:t>Závěr</w:t>
      </w:r>
      <w:bookmarkEnd w:id="654"/>
      <w:bookmarkEnd w:id="652"/>
      <w:bookmarkEnd w:id="653"/>
    </w:p>
    <w:p w:rsidR="00C27B57" w:rsidRPr="00A955AF" w:rsidP="00C27B57" w14:paraId="7EB9CCA1" w14:textId="1F86A0FA">
      <w:pPr>
        <w:pStyle w:val="Bntext"/>
        <w:ind w:firstLine="0"/>
        <w:rPr>
          <w:rFonts w:asciiTheme="minorHAnsi" w:hAnsiTheme="minorHAnsi" w:cs="Arial"/>
          <w:sz w:val="24"/>
          <w:lang w:val="cs-CZ"/>
        </w:rPr>
      </w:pPr>
      <w:r w:rsidRPr="00A955AF">
        <w:rPr>
          <w:rFonts w:asciiTheme="minorHAnsi" w:hAnsiTheme="minorHAnsi" w:cs="Arial"/>
          <w:sz w:val="24"/>
          <w:lang w:val="cs-CZ"/>
        </w:rPr>
        <w:t xml:space="preserve">Zdravotní stav obyvatel má </w:t>
      </w:r>
      <w:r w:rsidRPr="00A955AF">
        <w:rPr>
          <w:rFonts w:asciiTheme="minorHAnsi" w:hAnsiTheme="minorHAnsi" w:cs="Arial"/>
          <w:sz w:val="24"/>
          <w:lang w:val="cs-CZ"/>
        </w:rPr>
        <w:t>významný ekonomický dopad na národní hospodářství. Tento</w:t>
      </w:r>
      <w:r w:rsidRPr="00A955AF" w:rsidR="00260702">
        <w:rPr>
          <w:rFonts w:asciiTheme="minorHAnsi" w:hAnsiTheme="minorHAnsi" w:cs="Arial"/>
          <w:sz w:val="24"/>
          <w:lang w:val="cs-CZ"/>
        </w:rPr>
        <w:t> </w:t>
      </w:r>
      <w:r w:rsidRPr="00A955AF">
        <w:rPr>
          <w:rFonts w:asciiTheme="minorHAnsi" w:hAnsiTheme="minorHAnsi" w:cs="Arial"/>
          <w:sz w:val="24"/>
          <w:lang w:val="cs-CZ"/>
        </w:rPr>
        <w:t xml:space="preserve">fakt dosud není dostatečně zohledněn jak v úvahách politiků, tak i ekonomů ani není v širokém povědomí veřejnosti. Bez nadsázky se dá říci, že nemoci tunelují národní hospodářství </w:t>
      </w:r>
      <w:r w:rsidRPr="00A955AF" w:rsidR="00096CA1">
        <w:rPr>
          <w:rFonts w:asciiTheme="minorHAnsi" w:hAnsiTheme="minorHAnsi" w:cs="Arial"/>
          <w:sz w:val="24"/>
          <w:lang w:val="cs-CZ"/>
        </w:rPr>
        <w:t>a že </w:t>
      </w:r>
      <w:r w:rsidRPr="00A955AF">
        <w:rPr>
          <w:rFonts w:asciiTheme="minorHAnsi" w:hAnsiTheme="minorHAnsi" w:cs="Arial"/>
          <w:sz w:val="24"/>
          <w:lang w:val="cs-CZ"/>
        </w:rPr>
        <w:t>„investice do zdraví“ má bezprostřední vliv na další hospodářská odvětví a</w:t>
      </w:r>
      <w:r w:rsidRPr="00A955AF" w:rsidR="00260702">
        <w:rPr>
          <w:rFonts w:asciiTheme="minorHAnsi" w:hAnsiTheme="minorHAnsi" w:cs="Arial"/>
          <w:sz w:val="24"/>
          <w:lang w:val="cs-CZ"/>
        </w:rPr>
        <w:t> </w:t>
      </w:r>
      <w:r w:rsidRPr="00A955AF">
        <w:rPr>
          <w:rFonts w:asciiTheme="minorHAnsi" w:hAnsiTheme="minorHAnsi" w:cs="Arial"/>
          <w:sz w:val="24"/>
          <w:lang w:val="cs-CZ"/>
        </w:rPr>
        <w:t xml:space="preserve">prosperitu společnosti. </w:t>
      </w:r>
    </w:p>
    <w:p w:rsidR="00C27B57" w:rsidRPr="00A955AF" w:rsidP="00C27B57" w14:paraId="38EC3127" w14:textId="37A3198F">
      <w:pPr>
        <w:pStyle w:val="Bntext"/>
        <w:ind w:firstLine="0"/>
        <w:rPr>
          <w:rFonts w:asciiTheme="minorHAnsi" w:hAnsiTheme="minorHAnsi" w:cs="Arial"/>
          <w:sz w:val="24"/>
          <w:lang w:val="cs-CZ"/>
        </w:rPr>
      </w:pPr>
      <w:r w:rsidRPr="00A955AF">
        <w:rPr>
          <w:rFonts w:asciiTheme="minorHAnsi" w:hAnsiTheme="minorHAnsi" w:cs="Arial"/>
          <w:sz w:val="24"/>
          <w:lang w:val="cs-CZ"/>
        </w:rPr>
        <w:t>Z makroekonomického pohledu povedou intervence ve zvolených oblastech k dosažení základních předpokladů rozvoje – tj. zajištění zdravé pracovní síly. Zároveň z pohledu sociálních aspektů povedou intervence ke snižování sociálních rozdílů a k větší soudržnosti společnosti. Z pohledu územní soudržnosti pak představují zdravotní služby jednu ze</w:t>
      </w:r>
      <w:r w:rsidRPr="00A955AF" w:rsidR="00260702">
        <w:rPr>
          <w:rFonts w:asciiTheme="minorHAnsi" w:hAnsiTheme="minorHAnsi" w:cs="Arial"/>
          <w:sz w:val="24"/>
          <w:lang w:val="cs-CZ"/>
        </w:rPr>
        <w:t> </w:t>
      </w:r>
      <w:r w:rsidRPr="00A955AF">
        <w:rPr>
          <w:rFonts w:asciiTheme="minorHAnsi" w:hAnsiTheme="minorHAnsi" w:cs="Arial"/>
          <w:sz w:val="24"/>
          <w:lang w:val="cs-CZ"/>
        </w:rPr>
        <w:t>základních veřejných služeb v území, soudržnost je nutnou podmínkou regionálního rozvoje</w:t>
      </w:r>
      <w:r w:rsidRPr="00A955AF" w:rsidR="0097328E">
        <w:rPr>
          <w:rFonts w:asciiTheme="minorHAnsi" w:hAnsiTheme="minorHAnsi" w:cs="Arial"/>
          <w:sz w:val="24"/>
          <w:lang w:val="cs-CZ"/>
        </w:rPr>
        <w:t>,</w:t>
      </w:r>
      <w:r w:rsidRPr="00A955AF">
        <w:rPr>
          <w:rFonts w:asciiTheme="minorHAnsi" w:hAnsiTheme="minorHAnsi" w:cs="Arial"/>
          <w:sz w:val="24"/>
          <w:lang w:val="cs-CZ"/>
        </w:rPr>
        <w:t xml:space="preserve"> a to zejména v periferních oblastech. </w:t>
      </w:r>
    </w:p>
    <w:p w:rsidR="00C27B57" w:rsidRPr="00A955AF" w:rsidP="00C27B57" w14:paraId="582677F6" w14:textId="06688E5E">
      <w:pPr>
        <w:pStyle w:val="Bntext"/>
        <w:ind w:firstLine="0"/>
        <w:rPr>
          <w:rFonts w:asciiTheme="minorHAnsi" w:hAnsiTheme="minorHAnsi" w:cs="Arial"/>
          <w:sz w:val="24"/>
          <w:lang w:val="cs-CZ"/>
        </w:rPr>
      </w:pPr>
      <w:r w:rsidRPr="00A955AF">
        <w:rPr>
          <w:rFonts w:asciiTheme="minorHAnsi" w:hAnsiTheme="minorHAnsi" w:cs="Arial"/>
          <w:sz w:val="24"/>
          <w:lang w:val="cs-CZ"/>
        </w:rPr>
        <w:t>Nízký socioekonomický status obyvatel může být překážkou pro přístup ke kvalitní zdravotní péč</w:t>
      </w:r>
      <w:r w:rsidRPr="00A955AF" w:rsidR="00D50792">
        <w:rPr>
          <w:rFonts w:asciiTheme="minorHAnsi" w:hAnsiTheme="minorHAnsi" w:cs="Arial"/>
          <w:sz w:val="24"/>
          <w:lang w:val="cs-CZ"/>
        </w:rPr>
        <w:t>i</w:t>
      </w:r>
      <w:r w:rsidRPr="00A955AF">
        <w:rPr>
          <w:rFonts w:asciiTheme="minorHAnsi" w:hAnsiTheme="minorHAnsi" w:cs="Arial"/>
          <w:sz w:val="24"/>
          <w:lang w:val="cs-CZ"/>
        </w:rPr>
        <w:t xml:space="preserve">. </w:t>
      </w:r>
      <w:r w:rsidR="000072DD">
        <w:rPr>
          <w:rFonts w:asciiTheme="minorHAnsi" w:hAnsiTheme="minorHAnsi" w:cs="Arial"/>
          <w:sz w:val="24"/>
          <w:lang w:val="cs-CZ"/>
        </w:rPr>
        <w:t>Navzdory</w:t>
      </w:r>
      <w:r w:rsidRPr="00A955AF" w:rsidR="000072DD">
        <w:rPr>
          <w:rFonts w:asciiTheme="minorHAnsi" w:hAnsiTheme="minorHAnsi" w:cs="Arial"/>
          <w:sz w:val="24"/>
          <w:lang w:val="cs-CZ"/>
        </w:rPr>
        <w:t xml:space="preserve"> </w:t>
      </w:r>
      <w:r w:rsidRPr="00A955AF">
        <w:rPr>
          <w:rFonts w:asciiTheme="minorHAnsi" w:hAnsiTheme="minorHAnsi" w:cs="Arial"/>
          <w:sz w:val="24"/>
          <w:lang w:val="cs-CZ"/>
        </w:rPr>
        <w:t>univerzální</w:t>
      </w:r>
      <w:r w:rsidR="000072DD">
        <w:rPr>
          <w:rFonts w:asciiTheme="minorHAnsi" w:hAnsiTheme="minorHAnsi" w:cs="Arial"/>
          <w:sz w:val="24"/>
          <w:lang w:val="cs-CZ"/>
        </w:rPr>
        <w:t>mu</w:t>
      </w:r>
      <w:r w:rsidRPr="00A955AF">
        <w:rPr>
          <w:rFonts w:asciiTheme="minorHAnsi" w:hAnsiTheme="minorHAnsi" w:cs="Arial"/>
          <w:sz w:val="24"/>
          <w:lang w:val="cs-CZ"/>
        </w:rPr>
        <w:t xml:space="preserve"> přístup</w:t>
      </w:r>
      <w:r w:rsidR="000072DD">
        <w:rPr>
          <w:rFonts w:asciiTheme="minorHAnsi" w:hAnsiTheme="minorHAnsi" w:cs="Arial"/>
          <w:sz w:val="24"/>
          <w:lang w:val="cs-CZ"/>
        </w:rPr>
        <w:t>u</w:t>
      </w:r>
      <w:r w:rsidRPr="00A955AF">
        <w:rPr>
          <w:rFonts w:asciiTheme="minorHAnsi" w:hAnsiTheme="minorHAnsi" w:cs="Arial"/>
          <w:sz w:val="24"/>
          <w:lang w:val="cs-CZ"/>
        </w:rPr>
        <w:t xml:space="preserve"> ke zdravotní </w:t>
      </w:r>
      <w:r w:rsidRPr="00A955AF" w:rsidR="00D50792">
        <w:rPr>
          <w:rFonts w:asciiTheme="minorHAnsi" w:hAnsiTheme="minorHAnsi" w:cs="Arial"/>
          <w:sz w:val="24"/>
          <w:lang w:val="cs-CZ"/>
        </w:rPr>
        <w:t>péči</w:t>
      </w:r>
      <w:r w:rsidRPr="00A955AF">
        <w:rPr>
          <w:rFonts w:asciiTheme="minorHAnsi" w:hAnsiTheme="minorHAnsi" w:cs="Arial"/>
          <w:sz w:val="24"/>
          <w:lang w:val="cs-CZ"/>
        </w:rPr>
        <w:t>, který je garantován v rámci České republiky, lidé z nejvíce znevýhodněných sociálních skupin mohou mít horší přístup ke</w:t>
      </w:r>
      <w:r w:rsidR="002A1389">
        <w:rPr>
          <w:rFonts w:asciiTheme="minorHAnsi" w:hAnsiTheme="minorHAnsi" w:cs="Arial"/>
          <w:sz w:val="24"/>
          <w:lang w:val="cs-CZ"/>
        </w:rPr>
        <w:t> </w:t>
      </w:r>
      <w:r w:rsidRPr="00A955AF">
        <w:rPr>
          <w:rFonts w:asciiTheme="minorHAnsi" w:hAnsiTheme="minorHAnsi" w:cs="Arial"/>
          <w:sz w:val="24"/>
          <w:lang w:val="cs-CZ"/>
        </w:rPr>
        <w:t xml:space="preserve">zdravotním službám. </w:t>
      </w:r>
    </w:p>
    <w:p w:rsidR="00A01C45" w:rsidRPr="00A955AF" w:rsidP="00A01C45" w14:paraId="0DB1852A" w14:textId="195B15E8">
      <w:pPr>
        <w:pStyle w:val="Bntext"/>
        <w:ind w:firstLine="0"/>
        <w:rPr>
          <w:rFonts w:asciiTheme="minorHAnsi" w:hAnsiTheme="minorHAnsi" w:cs="Arial"/>
          <w:sz w:val="24"/>
          <w:lang w:val="cs-CZ"/>
        </w:rPr>
      </w:pPr>
      <w:r w:rsidRPr="00163C98">
        <w:rPr>
          <w:rFonts w:asciiTheme="minorHAnsi" w:hAnsiTheme="minorHAnsi" w:cs="Arial"/>
          <w:sz w:val="24"/>
          <w:lang w:val="cs-CZ"/>
        </w:rPr>
        <w:t>Zdravotnictví musí reagovat na megatrendy, jako je demografické stárnutí, zvyšující se rychlost technologické změny</w:t>
      </w:r>
      <w:r w:rsidRPr="00A955AF">
        <w:rPr>
          <w:rFonts w:asciiTheme="minorHAnsi" w:hAnsiTheme="minorHAnsi" w:cs="Arial"/>
          <w:sz w:val="24"/>
          <w:lang w:val="cs-CZ"/>
        </w:rPr>
        <w:t>, rostoucí nerovnosti ve společnosti, rostoucí mobilitu, posun civilizace ke znalostní ekonomice, zvyšující se dostupnost technologií a kompetence pro budoucnost</w:t>
      </w:r>
      <w:r w:rsidR="00163C98">
        <w:rPr>
          <w:rFonts w:asciiTheme="minorHAnsi" w:hAnsiTheme="minorHAnsi" w:cs="Arial"/>
          <w:sz w:val="24"/>
          <w:lang w:val="cs-CZ"/>
        </w:rPr>
        <w:t xml:space="preserve">. Stejně tak se ukázala nezbytnost zdravotnických systému flexibilně a efektivně reagovat na nové hrozby pro veřejné zdraví, jako </w:t>
      </w:r>
      <w:r w:rsidR="00091E4B">
        <w:rPr>
          <w:rFonts w:asciiTheme="minorHAnsi" w:hAnsiTheme="minorHAnsi" w:cs="Arial"/>
          <w:sz w:val="24"/>
          <w:lang w:val="cs-CZ"/>
        </w:rPr>
        <w:t>byla</w:t>
      </w:r>
      <w:r w:rsidR="00163C98">
        <w:rPr>
          <w:rFonts w:asciiTheme="minorHAnsi" w:hAnsiTheme="minorHAnsi" w:cs="Arial"/>
          <w:sz w:val="24"/>
          <w:lang w:val="cs-CZ"/>
        </w:rPr>
        <w:t xml:space="preserve"> pandemie nemoci C</w:t>
      </w:r>
      <w:r w:rsidR="007B4D90">
        <w:rPr>
          <w:rFonts w:asciiTheme="minorHAnsi" w:hAnsiTheme="minorHAnsi" w:cs="Arial"/>
          <w:sz w:val="24"/>
          <w:lang w:val="cs-CZ"/>
        </w:rPr>
        <w:t>ovid-</w:t>
      </w:r>
      <w:r w:rsidR="00163C98">
        <w:rPr>
          <w:rFonts w:asciiTheme="minorHAnsi" w:hAnsiTheme="minorHAnsi" w:cs="Arial"/>
          <w:sz w:val="24"/>
          <w:lang w:val="cs-CZ"/>
        </w:rPr>
        <w:t>19.</w:t>
      </w:r>
    </w:p>
    <w:p w:rsidR="00C27B57" w:rsidRPr="00A955AF" w:rsidP="00C27B57" w14:paraId="4675DDB9" w14:textId="717CD364">
      <w:pPr>
        <w:pStyle w:val="Bntext"/>
        <w:ind w:firstLine="0"/>
        <w:rPr>
          <w:rFonts w:asciiTheme="minorHAnsi" w:hAnsiTheme="minorHAnsi" w:cs="Arial"/>
          <w:sz w:val="24"/>
          <w:lang w:val="cs-CZ"/>
        </w:rPr>
      </w:pPr>
      <w:r w:rsidRPr="00A955AF">
        <w:rPr>
          <w:rFonts w:asciiTheme="minorHAnsi" w:hAnsiTheme="minorHAnsi" w:cs="Arial"/>
          <w:sz w:val="24"/>
          <w:lang w:val="cs-CZ"/>
        </w:rPr>
        <w:t>Pochopení faktorů, které veřejný zdravotní systém jak</w:t>
      </w:r>
      <w:r w:rsidR="008365B5">
        <w:rPr>
          <w:rFonts w:asciiTheme="minorHAnsi" w:hAnsiTheme="minorHAnsi" w:cs="Arial"/>
          <w:sz w:val="24"/>
          <w:lang w:val="cs-CZ"/>
        </w:rPr>
        <w:t>koli</w:t>
      </w:r>
      <w:r w:rsidRPr="00A955AF">
        <w:rPr>
          <w:rFonts w:asciiTheme="minorHAnsi" w:hAnsiTheme="minorHAnsi" w:cs="Arial"/>
          <w:sz w:val="24"/>
          <w:lang w:val="cs-CZ"/>
        </w:rPr>
        <w:t xml:space="preserve"> ovlivňují</w:t>
      </w:r>
      <w:r w:rsidRPr="00A955AF" w:rsidR="0004018D">
        <w:rPr>
          <w:rFonts w:asciiTheme="minorHAnsi" w:hAnsiTheme="minorHAnsi" w:cs="Arial"/>
          <w:sz w:val="24"/>
          <w:lang w:val="cs-CZ"/>
        </w:rPr>
        <w:t>,</w:t>
      </w:r>
      <w:r w:rsidRPr="00A955AF">
        <w:rPr>
          <w:rFonts w:asciiTheme="minorHAnsi" w:hAnsiTheme="minorHAnsi" w:cs="Arial"/>
          <w:sz w:val="24"/>
          <w:lang w:val="cs-CZ"/>
        </w:rPr>
        <w:t xml:space="preserve"> je důležité pro</w:t>
      </w:r>
      <w:r w:rsidRPr="00A955AF" w:rsidR="00260702">
        <w:rPr>
          <w:rFonts w:asciiTheme="minorHAnsi" w:hAnsiTheme="minorHAnsi" w:cs="Arial"/>
          <w:sz w:val="24"/>
          <w:lang w:val="cs-CZ"/>
        </w:rPr>
        <w:t> </w:t>
      </w:r>
      <w:r w:rsidRPr="00A955AF">
        <w:rPr>
          <w:rFonts w:asciiTheme="minorHAnsi" w:hAnsiTheme="minorHAnsi" w:cs="Arial"/>
          <w:sz w:val="24"/>
          <w:lang w:val="cs-CZ"/>
        </w:rPr>
        <w:t xml:space="preserve">vypracování cílených politicky řízených řešení. </w:t>
      </w:r>
      <w:r w:rsidRPr="00A955AF" w:rsidR="000A56E5">
        <w:rPr>
          <w:rFonts w:asciiTheme="minorHAnsi" w:hAnsiTheme="minorHAnsi" w:cs="Arial"/>
          <w:sz w:val="24"/>
          <w:lang w:val="cs-CZ"/>
        </w:rPr>
        <w:t>Strategický rámec Zdraví 203</w:t>
      </w:r>
      <w:r w:rsidR="00091E4B">
        <w:rPr>
          <w:rFonts w:asciiTheme="minorHAnsi" w:hAnsiTheme="minorHAnsi" w:cs="Arial"/>
          <w:sz w:val="24"/>
          <w:lang w:val="cs-CZ"/>
        </w:rPr>
        <w:t>5</w:t>
      </w:r>
      <w:r w:rsidRPr="00A955AF" w:rsidR="000A56E5">
        <w:rPr>
          <w:rFonts w:asciiTheme="minorHAnsi" w:hAnsiTheme="minorHAnsi" w:cs="Arial"/>
          <w:sz w:val="24"/>
          <w:lang w:val="cs-CZ"/>
        </w:rPr>
        <w:t>,</w:t>
      </w:r>
      <w:r w:rsidRPr="00A955AF">
        <w:rPr>
          <w:rFonts w:asciiTheme="minorHAnsi" w:hAnsiTheme="minorHAnsi" w:cs="Arial"/>
          <w:sz w:val="24"/>
          <w:lang w:val="cs-CZ"/>
        </w:rPr>
        <w:t xml:space="preserve"> který </w:t>
      </w:r>
      <w:r w:rsidR="00091E4B">
        <w:rPr>
          <w:rFonts w:asciiTheme="minorHAnsi" w:hAnsiTheme="minorHAnsi" w:cs="Arial"/>
          <w:sz w:val="24"/>
          <w:lang w:val="cs-CZ"/>
        </w:rPr>
        <w:t>MZD</w:t>
      </w:r>
      <w:r w:rsidRPr="00A955AF">
        <w:rPr>
          <w:rFonts w:asciiTheme="minorHAnsi" w:hAnsiTheme="minorHAnsi" w:cs="Arial"/>
          <w:sz w:val="24"/>
          <w:lang w:val="cs-CZ"/>
        </w:rPr>
        <w:t xml:space="preserve"> připravilo, vytváří jasně strukturovaný přehled problematiky českého zdravotnictví v celé jeho šíři, zároveň si klade za cíl přispět k lepší koordinaci jednotlivých kroků, k jejich lepšímu plánování časovému i věcnému i jejich vzájemné provázanosti. </w:t>
      </w:r>
    </w:p>
    <w:p w:rsidR="00C27B57" w:rsidRPr="00A955AF" w:rsidP="00C27B57" w14:paraId="32C7D395" w14:textId="5FA446FA">
      <w:pPr>
        <w:pStyle w:val="Bntext"/>
        <w:ind w:firstLine="0"/>
        <w:rPr>
          <w:rFonts w:ascii="Arial" w:hAnsi="Arial" w:cs="Arial"/>
          <w:sz w:val="20"/>
          <w:szCs w:val="20"/>
          <w:lang w:val="cs-CZ"/>
        </w:rPr>
      </w:pPr>
      <w:r w:rsidRPr="00A955AF">
        <w:rPr>
          <w:rFonts w:asciiTheme="minorHAnsi" w:hAnsiTheme="minorHAnsi" w:cs="Arial"/>
          <w:sz w:val="24"/>
          <w:lang w:val="cs-CZ"/>
        </w:rPr>
        <w:t>Základem úspěšného rozvoje resortu zdravotnictví je vize formulovaná ve Strategickém rámci</w:t>
      </w:r>
      <w:r w:rsidRPr="00A955AF" w:rsidR="00F471F3">
        <w:rPr>
          <w:rFonts w:asciiTheme="minorHAnsi" w:hAnsiTheme="minorHAnsi" w:cs="Arial"/>
          <w:sz w:val="24"/>
          <w:lang w:val="cs-CZ"/>
        </w:rPr>
        <w:t xml:space="preserve"> Zdraví 203</w:t>
      </w:r>
      <w:r w:rsidR="00091E4B">
        <w:rPr>
          <w:rFonts w:asciiTheme="minorHAnsi" w:hAnsiTheme="minorHAnsi" w:cs="Arial"/>
          <w:sz w:val="24"/>
          <w:lang w:val="cs-CZ"/>
        </w:rPr>
        <w:t>5</w:t>
      </w:r>
      <w:r w:rsidRPr="00A955AF" w:rsidR="00F471F3">
        <w:rPr>
          <w:rFonts w:asciiTheme="minorHAnsi" w:hAnsiTheme="minorHAnsi" w:cs="Arial"/>
          <w:sz w:val="24"/>
          <w:lang w:val="cs-CZ"/>
        </w:rPr>
        <w:t xml:space="preserve">. </w:t>
      </w:r>
      <w:r w:rsidRPr="00A955AF">
        <w:rPr>
          <w:rFonts w:asciiTheme="minorHAnsi" w:hAnsiTheme="minorHAnsi" w:cs="Arial"/>
          <w:sz w:val="24"/>
          <w:lang w:val="cs-CZ"/>
        </w:rPr>
        <w:t xml:space="preserve">Vzhledem k tomu, že se jedná o dlouhodobý dokument, mohou se v čase měnit podmínky, </w:t>
      </w:r>
      <w:r w:rsidRPr="00A955AF" w:rsidR="00D50792">
        <w:rPr>
          <w:rFonts w:asciiTheme="minorHAnsi" w:hAnsiTheme="minorHAnsi" w:cs="Arial"/>
          <w:sz w:val="24"/>
          <w:lang w:val="cs-CZ"/>
        </w:rPr>
        <w:t xml:space="preserve">za </w:t>
      </w:r>
      <w:r w:rsidRPr="00A955AF">
        <w:rPr>
          <w:rFonts w:asciiTheme="minorHAnsi" w:hAnsiTheme="minorHAnsi" w:cs="Arial"/>
          <w:sz w:val="24"/>
          <w:lang w:val="cs-CZ"/>
        </w:rPr>
        <w:t>kterých bude Strategický rámec</w:t>
      </w:r>
      <w:r w:rsidRPr="00A955AF" w:rsidR="00F471F3">
        <w:rPr>
          <w:rFonts w:asciiTheme="minorHAnsi" w:hAnsiTheme="minorHAnsi" w:cs="Arial"/>
          <w:sz w:val="24"/>
          <w:lang w:val="cs-CZ"/>
        </w:rPr>
        <w:t xml:space="preserve"> Zdraví 203</w:t>
      </w:r>
      <w:r w:rsidR="00091E4B">
        <w:rPr>
          <w:rFonts w:asciiTheme="minorHAnsi" w:hAnsiTheme="minorHAnsi" w:cs="Arial"/>
          <w:sz w:val="24"/>
          <w:lang w:val="cs-CZ"/>
        </w:rPr>
        <w:t>5</w:t>
      </w:r>
      <w:r w:rsidRPr="00A955AF" w:rsidR="00F471F3">
        <w:rPr>
          <w:rFonts w:asciiTheme="minorHAnsi" w:hAnsiTheme="minorHAnsi" w:cs="Arial"/>
          <w:sz w:val="24"/>
          <w:lang w:val="cs-CZ"/>
        </w:rPr>
        <w:t xml:space="preserve"> </w:t>
      </w:r>
      <w:r w:rsidRPr="00A955AF">
        <w:rPr>
          <w:rFonts w:asciiTheme="minorHAnsi" w:hAnsiTheme="minorHAnsi" w:cs="Arial"/>
          <w:sz w:val="24"/>
          <w:lang w:val="cs-CZ"/>
        </w:rPr>
        <w:t xml:space="preserve">realizován. Na změnu okolí </w:t>
      </w:r>
      <w:r w:rsidRPr="00A955AF" w:rsidR="00096CA1">
        <w:rPr>
          <w:rFonts w:asciiTheme="minorHAnsi" w:hAnsiTheme="minorHAnsi" w:cs="Arial"/>
          <w:sz w:val="24"/>
          <w:lang w:val="cs-CZ"/>
        </w:rPr>
        <w:t>a </w:t>
      </w:r>
      <w:r w:rsidRPr="00A955AF">
        <w:rPr>
          <w:rFonts w:asciiTheme="minorHAnsi" w:hAnsiTheme="minorHAnsi" w:cs="Arial"/>
          <w:sz w:val="24"/>
          <w:lang w:val="cs-CZ"/>
        </w:rPr>
        <w:t xml:space="preserve">podmínek </w:t>
      </w:r>
      <w:r w:rsidR="00091E4B">
        <w:rPr>
          <w:rFonts w:asciiTheme="minorHAnsi" w:hAnsiTheme="minorHAnsi" w:cs="Arial"/>
          <w:sz w:val="24"/>
          <w:lang w:val="cs-CZ"/>
        </w:rPr>
        <w:t>j</w:t>
      </w:r>
      <w:r w:rsidRPr="00A955AF">
        <w:rPr>
          <w:rFonts w:asciiTheme="minorHAnsi" w:hAnsiTheme="minorHAnsi" w:cs="Arial"/>
          <w:sz w:val="24"/>
          <w:lang w:val="cs-CZ"/>
        </w:rPr>
        <w:t>e vždy reagováno</w:t>
      </w:r>
      <w:r w:rsidR="00091E4B">
        <w:rPr>
          <w:rFonts w:asciiTheme="minorHAnsi" w:hAnsiTheme="minorHAnsi" w:cs="Arial"/>
          <w:sz w:val="24"/>
          <w:lang w:val="cs-CZ"/>
        </w:rPr>
        <w:t xml:space="preserve">, jak </w:t>
      </w:r>
      <w:r w:rsidR="00492942">
        <w:rPr>
          <w:rFonts w:asciiTheme="minorHAnsi" w:hAnsiTheme="minorHAnsi" w:cs="Arial"/>
          <w:sz w:val="24"/>
          <w:lang w:val="cs-CZ"/>
        </w:rPr>
        <w:t>ukazuje</w:t>
      </w:r>
      <w:r w:rsidR="00091E4B">
        <w:rPr>
          <w:rFonts w:asciiTheme="minorHAnsi" w:hAnsiTheme="minorHAnsi" w:cs="Arial"/>
          <w:sz w:val="24"/>
          <w:lang w:val="cs-CZ"/>
        </w:rPr>
        <w:t xml:space="preserve"> nyní již druhá aktualizace dokumentu</w:t>
      </w:r>
      <w:r w:rsidRPr="00A955AF" w:rsidR="000A56E5">
        <w:rPr>
          <w:rFonts w:ascii="Arial" w:hAnsi="Arial" w:cs="Arial"/>
          <w:sz w:val="20"/>
          <w:szCs w:val="20"/>
          <w:lang w:val="cs-CZ"/>
        </w:rPr>
        <w:t>.</w:t>
      </w:r>
    </w:p>
    <w:p w:rsidR="00C27B57" w:rsidRPr="00A955AF" w:rsidP="00C27B57" w14:paraId="370CB8A5" w14:textId="41C90177">
      <w:pPr>
        <w:pStyle w:val="Bntext"/>
        <w:ind w:firstLine="0"/>
        <w:rPr>
          <w:rFonts w:asciiTheme="minorHAnsi" w:hAnsiTheme="minorHAnsi" w:cs="Arial"/>
          <w:sz w:val="24"/>
          <w:lang w:val="cs-CZ"/>
        </w:rPr>
      </w:pPr>
      <w:r w:rsidRPr="00A955AF">
        <w:rPr>
          <w:rFonts w:asciiTheme="minorHAnsi" w:hAnsiTheme="minorHAnsi" w:cs="Arial"/>
          <w:sz w:val="24"/>
          <w:lang w:val="cs-CZ"/>
        </w:rPr>
        <w:t>Strategický rámec</w:t>
      </w:r>
      <w:r w:rsidRPr="00A955AF" w:rsidR="00F471F3">
        <w:rPr>
          <w:rFonts w:asciiTheme="minorHAnsi" w:hAnsiTheme="minorHAnsi" w:cs="Arial"/>
          <w:sz w:val="24"/>
          <w:lang w:val="cs-CZ"/>
        </w:rPr>
        <w:t xml:space="preserve"> Zdraví 203</w:t>
      </w:r>
      <w:r w:rsidR="00091E4B">
        <w:rPr>
          <w:rFonts w:asciiTheme="minorHAnsi" w:hAnsiTheme="minorHAnsi" w:cs="Arial"/>
          <w:sz w:val="24"/>
          <w:lang w:val="cs-CZ"/>
        </w:rPr>
        <w:t>5</w:t>
      </w:r>
      <w:r w:rsidRPr="00A955AF" w:rsidR="00F471F3">
        <w:rPr>
          <w:rFonts w:asciiTheme="minorHAnsi" w:hAnsiTheme="minorHAnsi" w:cs="Arial"/>
          <w:sz w:val="24"/>
          <w:lang w:val="cs-CZ"/>
        </w:rPr>
        <w:t xml:space="preserve"> </w:t>
      </w:r>
      <w:r w:rsidR="00091E4B">
        <w:rPr>
          <w:rFonts w:asciiTheme="minorHAnsi" w:hAnsiTheme="minorHAnsi" w:cs="Arial"/>
          <w:sz w:val="24"/>
          <w:lang w:val="cs-CZ"/>
        </w:rPr>
        <w:t>je</w:t>
      </w:r>
      <w:r w:rsidRPr="00A955AF">
        <w:rPr>
          <w:rFonts w:asciiTheme="minorHAnsi" w:hAnsiTheme="minorHAnsi" w:cs="Arial"/>
          <w:sz w:val="24"/>
          <w:lang w:val="cs-CZ"/>
        </w:rPr>
        <w:t xml:space="preserve"> realizován a naplňován za podmínek respektování požadavků na nediskriminaci, rovné příležitosti a další zásady naplňující právo ČR i EU s cílem vytvářet účinnou veřejnou správu. </w:t>
      </w:r>
    </w:p>
    <w:p w:rsidR="009C0DF5" w:rsidP="009C0DF5" w14:paraId="7E1470A6" w14:textId="25A06F50">
      <w:pPr>
        <w:pStyle w:val="Bntext"/>
        <w:ind w:firstLine="0"/>
        <w:rPr>
          <w:rFonts w:asciiTheme="minorHAnsi" w:hAnsiTheme="minorHAnsi" w:cs="Arial"/>
          <w:sz w:val="24"/>
          <w:lang w:val="cs-CZ"/>
        </w:rPr>
      </w:pPr>
      <w:r w:rsidRPr="00A955AF">
        <w:rPr>
          <w:rFonts w:asciiTheme="minorHAnsi" w:hAnsiTheme="minorHAnsi" w:cs="Arial"/>
          <w:sz w:val="24"/>
          <w:lang w:val="cs-CZ"/>
        </w:rPr>
        <w:t xml:space="preserve">Na závěr je možné </w:t>
      </w:r>
      <w:r w:rsidRPr="00A955AF" w:rsidR="00B45737">
        <w:rPr>
          <w:rFonts w:asciiTheme="minorHAnsi" w:hAnsiTheme="minorHAnsi" w:cs="Arial"/>
          <w:sz w:val="24"/>
          <w:lang w:val="cs-CZ"/>
        </w:rPr>
        <w:t>uvést</w:t>
      </w:r>
      <w:r w:rsidRPr="00A955AF">
        <w:rPr>
          <w:rFonts w:asciiTheme="minorHAnsi" w:hAnsiTheme="minorHAnsi" w:cs="Arial"/>
          <w:sz w:val="24"/>
          <w:lang w:val="cs-CZ"/>
        </w:rPr>
        <w:t xml:space="preserve"> motto: Zdraví je celospolečenskou hodnotou, která se promítá do</w:t>
      </w:r>
      <w:r w:rsidRPr="00A955AF" w:rsidR="00260702">
        <w:rPr>
          <w:rFonts w:asciiTheme="minorHAnsi" w:hAnsiTheme="minorHAnsi" w:cs="Arial"/>
          <w:sz w:val="24"/>
          <w:lang w:val="cs-CZ"/>
        </w:rPr>
        <w:t> </w:t>
      </w:r>
      <w:r w:rsidRPr="00A955AF">
        <w:rPr>
          <w:rFonts w:asciiTheme="minorHAnsi" w:hAnsiTheme="minorHAnsi" w:cs="Arial"/>
          <w:sz w:val="24"/>
          <w:lang w:val="cs-CZ"/>
        </w:rPr>
        <w:t xml:space="preserve">veškerého konání, do všech politik. Každý občan </w:t>
      </w:r>
      <w:r w:rsidRPr="00A955AF" w:rsidR="00BE1A1D">
        <w:rPr>
          <w:rFonts w:asciiTheme="minorHAnsi" w:hAnsiTheme="minorHAnsi" w:cs="Arial"/>
          <w:sz w:val="24"/>
          <w:lang w:val="cs-CZ"/>
        </w:rPr>
        <w:t>ČR</w:t>
      </w:r>
      <w:r w:rsidRPr="00A955AF">
        <w:rPr>
          <w:rFonts w:asciiTheme="minorHAnsi" w:hAnsiTheme="minorHAnsi" w:cs="Arial"/>
          <w:sz w:val="24"/>
          <w:lang w:val="cs-CZ"/>
        </w:rPr>
        <w:t xml:space="preserve"> si je vědom toho, že</w:t>
      </w:r>
      <w:r w:rsidRPr="00A955AF" w:rsidR="00260702">
        <w:rPr>
          <w:rFonts w:asciiTheme="minorHAnsi" w:hAnsiTheme="minorHAnsi" w:cs="Arial"/>
          <w:sz w:val="24"/>
          <w:lang w:val="cs-CZ"/>
        </w:rPr>
        <w:t> </w:t>
      </w:r>
      <w:r w:rsidRPr="00A955AF">
        <w:rPr>
          <w:rFonts w:asciiTheme="minorHAnsi" w:hAnsiTheme="minorHAnsi" w:cs="Arial"/>
          <w:sz w:val="24"/>
          <w:lang w:val="cs-CZ"/>
        </w:rPr>
        <w:t>zdraví nevzniká v nemocnicích a ordinacích lékařů. Vzniká doma, ve školách a</w:t>
      </w:r>
      <w:r w:rsidRPr="00A955AF" w:rsidR="00260702">
        <w:rPr>
          <w:rFonts w:asciiTheme="minorHAnsi" w:hAnsiTheme="minorHAnsi" w:cs="Arial"/>
          <w:sz w:val="24"/>
          <w:lang w:val="cs-CZ"/>
        </w:rPr>
        <w:t> </w:t>
      </w:r>
      <w:r w:rsidRPr="00A955AF">
        <w:rPr>
          <w:rFonts w:asciiTheme="minorHAnsi" w:hAnsiTheme="minorHAnsi" w:cs="Arial"/>
          <w:sz w:val="24"/>
          <w:lang w:val="cs-CZ"/>
        </w:rPr>
        <w:t>na</w:t>
      </w:r>
      <w:r w:rsidRPr="00A955AF" w:rsidR="00260702">
        <w:rPr>
          <w:rFonts w:asciiTheme="minorHAnsi" w:hAnsiTheme="minorHAnsi" w:cs="Arial"/>
          <w:sz w:val="24"/>
          <w:lang w:val="cs-CZ"/>
        </w:rPr>
        <w:t> </w:t>
      </w:r>
      <w:r w:rsidRPr="00A955AF">
        <w:rPr>
          <w:rFonts w:asciiTheme="minorHAnsi" w:hAnsiTheme="minorHAnsi" w:cs="Arial"/>
          <w:sz w:val="24"/>
          <w:lang w:val="cs-CZ"/>
        </w:rPr>
        <w:t>pracovištích. Všude tam, kde</w:t>
      </w:r>
      <w:r w:rsidRPr="00A955AF" w:rsidR="00096CA1">
        <w:rPr>
          <w:rFonts w:asciiTheme="minorHAnsi" w:hAnsiTheme="minorHAnsi" w:cs="Arial"/>
          <w:sz w:val="24"/>
          <w:lang w:val="cs-CZ"/>
        </w:rPr>
        <w:t> </w:t>
      </w:r>
      <w:r w:rsidRPr="00A955AF">
        <w:rPr>
          <w:rFonts w:asciiTheme="minorHAnsi" w:hAnsiTheme="minorHAnsi" w:cs="Arial"/>
          <w:sz w:val="24"/>
          <w:lang w:val="cs-CZ"/>
        </w:rPr>
        <w:t>se lidé rodí, kde vyrůstají, vzdělávají se, pracují, sportují, odpočívají a stárnou.</w:t>
      </w:r>
    </w:p>
    <w:p w:rsidR="008C748A" w:rsidRPr="00A955AF" w:rsidP="008C748A" w14:paraId="5CDF39A6" w14:textId="77777777">
      <w:pPr>
        <w:rPr>
          <w:rFonts w:cs="Arial"/>
          <w:b/>
          <w:sz w:val="24"/>
        </w:rPr>
      </w:pPr>
      <w:r w:rsidRPr="00A955AF">
        <w:rPr>
          <w:rFonts w:cs="Arial"/>
          <w:b/>
          <w:sz w:val="24"/>
        </w:rPr>
        <w:t>Klíčové předpoklady úspěšné realizace Strategického rámce Zdraví 203</w:t>
      </w:r>
      <w:r>
        <w:rPr>
          <w:rFonts w:cs="Arial"/>
          <w:b/>
          <w:sz w:val="24"/>
        </w:rPr>
        <w:t>5</w:t>
      </w:r>
    </w:p>
    <w:p w:rsidR="008C748A" w:rsidRPr="00A955AF" w:rsidP="008C748A" w14:paraId="7AB36C85"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Dostatek kvalifikovaných a motivovaných pracovníků, kteří se podílejí na implementaci Strategického rámce Zdraví 203</w:t>
      </w:r>
      <w:r>
        <w:rPr>
          <w:rFonts w:cs="Arial"/>
          <w:sz w:val="24"/>
          <w:szCs w:val="24"/>
        </w:rPr>
        <w:t>5</w:t>
      </w:r>
      <w:r w:rsidRPr="00A955AF">
        <w:rPr>
          <w:rFonts w:cs="Arial"/>
          <w:sz w:val="24"/>
          <w:szCs w:val="24"/>
        </w:rPr>
        <w:t>.</w:t>
      </w:r>
    </w:p>
    <w:p w:rsidR="008C748A" w:rsidRPr="00A955AF" w:rsidP="008C748A" w14:paraId="505714A4"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Zapojení všech dotčených subjektů do rozpracování jednotlivých dílčích cílů a realizace opatření a aktivit Strategického rámce Zdraví 203</w:t>
      </w:r>
      <w:r>
        <w:rPr>
          <w:rFonts w:cs="Arial"/>
          <w:sz w:val="24"/>
          <w:szCs w:val="24"/>
        </w:rPr>
        <w:t>5</w:t>
      </w:r>
      <w:r w:rsidRPr="00A955AF">
        <w:rPr>
          <w:rFonts w:cs="Arial"/>
          <w:sz w:val="24"/>
          <w:szCs w:val="24"/>
        </w:rPr>
        <w:t>.</w:t>
      </w:r>
    </w:p>
    <w:p w:rsidR="008C748A" w:rsidRPr="00A955AF" w:rsidP="008C748A" w14:paraId="37BFA7D4"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Efektivní spolupráce s ostatními dotčenými resorty.</w:t>
      </w:r>
    </w:p>
    <w:p w:rsidR="008C748A" w:rsidRPr="00A955AF" w:rsidP="008C748A" w14:paraId="4E963819"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Politická stabilita umožňující plynulé legislativní procesy.</w:t>
      </w:r>
    </w:p>
    <w:p w:rsidR="008C748A" w:rsidRPr="00A955AF" w:rsidP="008C748A" w14:paraId="73F2E6E1"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Časový soulad mezi realizací jednotlivých opatření, kdy časový horizont realizace jednoho opatření nebude znemožňovat realizaci opatření jiného.</w:t>
      </w:r>
    </w:p>
    <w:p w:rsidR="008C748A" w:rsidRPr="00A955AF" w:rsidP="008C748A" w14:paraId="489030BC"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Správná koordinace nasazení jednotlivých nástrojů. Cíle a opatření k jejich realizaci spolu mohou úzce souviset a nesprávné pořadí jejich zavádění by mohlo mít negativní dopad na jejich přínos a mohlo by si vyžádat dodatečné finanční náklady.</w:t>
      </w:r>
    </w:p>
    <w:p w:rsidR="008C748A" w:rsidRPr="00A955AF" w:rsidP="008C748A" w14:paraId="5EAA84D2"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Dostatek finančních prostředků.</w:t>
      </w:r>
    </w:p>
    <w:p w:rsidR="008C748A" w:rsidRPr="00A955AF" w:rsidP="008C748A" w14:paraId="4EB6550A" w14:textId="77777777">
      <w:pPr>
        <w:pStyle w:val="ListParagraph"/>
        <w:numPr>
          <w:ilvl w:val="0"/>
          <w:numId w:val="41"/>
        </w:numPr>
        <w:autoSpaceDE/>
        <w:autoSpaceDN/>
        <w:adjustRightInd/>
        <w:spacing w:before="0" w:after="0" w:line="276" w:lineRule="auto"/>
        <w:ind w:left="1077" w:hanging="357"/>
        <w:contextualSpacing/>
        <w:rPr>
          <w:rFonts w:cs="Arial"/>
          <w:sz w:val="24"/>
          <w:szCs w:val="24"/>
        </w:rPr>
      </w:pPr>
      <w:r w:rsidRPr="00A955AF">
        <w:rPr>
          <w:rFonts w:cs="Arial"/>
          <w:sz w:val="24"/>
          <w:szCs w:val="24"/>
        </w:rPr>
        <w:t>Personální stabilita MZ</w:t>
      </w:r>
      <w:r>
        <w:rPr>
          <w:rFonts w:cs="Arial"/>
          <w:sz w:val="24"/>
          <w:szCs w:val="24"/>
        </w:rPr>
        <w:t>D</w:t>
      </w:r>
      <w:r w:rsidRPr="00A955AF">
        <w:rPr>
          <w:rFonts w:cs="Arial"/>
          <w:sz w:val="24"/>
          <w:szCs w:val="24"/>
        </w:rPr>
        <w:t xml:space="preserve"> zajišťující také stabilitu a kontinuitu programových priorit.</w:t>
      </w:r>
    </w:p>
    <w:p w:rsidR="008C748A" w:rsidRPr="008C748A" w:rsidP="008C748A" w14:paraId="43E937ED" w14:textId="77777777">
      <w:pPr>
        <w:pStyle w:val="ListParagraph"/>
        <w:numPr>
          <w:ilvl w:val="0"/>
          <w:numId w:val="41"/>
        </w:numPr>
        <w:spacing w:after="0" w:line="276" w:lineRule="auto"/>
        <w:ind w:left="1077" w:hanging="357"/>
        <w:rPr>
          <w:rFonts w:cs="Arial"/>
          <w:sz w:val="24"/>
          <w:szCs w:val="24"/>
        </w:rPr>
      </w:pPr>
      <w:r w:rsidRPr="00A955AF">
        <w:rPr>
          <w:rFonts w:cs="Arial"/>
          <w:sz w:val="24"/>
          <w:szCs w:val="24"/>
        </w:rPr>
        <w:t>Klíčovým předpokladům odpovídají také klíčová rizika, která mohou ohrozit úspěšnou realizaci Strategického rámce Zdraví 203</w:t>
      </w:r>
      <w:r>
        <w:rPr>
          <w:rFonts w:cs="Arial"/>
          <w:sz w:val="24"/>
          <w:szCs w:val="24"/>
        </w:rPr>
        <w:t>5</w:t>
      </w:r>
      <w:r w:rsidRPr="00A955AF">
        <w:rPr>
          <w:rFonts w:cs="Arial"/>
          <w:sz w:val="24"/>
          <w:szCs w:val="24"/>
        </w:rPr>
        <w:t>. Podrobněji budou předpoklady a rizika rozpracovány v jednotlivých implementačních plánech.</w:t>
      </w:r>
    </w:p>
    <w:p w:rsidR="008C748A" w:rsidRPr="00A955AF" w:rsidP="009C0DF5" w14:paraId="171A0930" w14:textId="77777777">
      <w:pPr>
        <w:pStyle w:val="Bntext"/>
        <w:ind w:firstLine="0"/>
        <w:rPr>
          <w:rFonts w:asciiTheme="minorHAnsi" w:hAnsiTheme="minorHAnsi" w:cs="Arial"/>
          <w:sz w:val="24"/>
          <w:lang w:val="cs-CZ"/>
        </w:rPr>
      </w:pPr>
    </w:p>
    <w:p w:rsidR="008C748A" w14:paraId="36E6017D" w14:textId="69BC17D0">
      <w:pPr>
        <w:spacing w:before="0" w:line="264" w:lineRule="auto"/>
        <w:jc w:val="left"/>
        <w:rPr>
          <w:rFonts w:eastAsia="Times New Roman" w:cs="Arial"/>
          <w:sz w:val="24"/>
          <w:lang w:eastAsia="cs-CZ"/>
        </w:rPr>
      </w:pPr>
      <w:r>
        <w:rPr>
          <w:rFonts w:eastAsia="Times New Roman" w:cs="Arial"/>
          <w:sz w:val="24"/>
          <w:lang w:eastAsia="cs-CZ"/>
        </w:rPr>
        <w:br w:type="page"/>
      </w:r>
    </w:p>
    <w:p w:rsidR="00A17CDF" w:rsidRPr="00163C98" w:rsidP="006C359E" w14:paraId="713280EB" w14:textId="4DE01072">
      <w:pPr>
        <w:pStyle w:val="Heading1"/>
        <w:numPr>
          <w:ilvl w:val="0"/>
          <w:numId w:val="45"/>
        </w:numPr>
        <w:rPr>
          <w:color w:val="1F497D" w:themeColor="text2"/>
        </w:rPr>
      </w:pPr>
      <w:bookmarkStart w:id="655" w:name="_Toc256000070"/>
      <w:r w:rsidRPr="00163C98">
        <w:rPr>
          <w:color w:val="1F497D" w:themeColor="text2"/>
        </w:rPr>
        <w:t>Seznam zkratek</w:t>
      </w:r>
      <w:bookmarkEnd w:id="655"/>
    </w:p>
    <w:tbl>
      <w:tblPr>
        <w:tblW w:w="11557" w:type="dxa"/>
        <w:tblInd w:w="55" w:type="dxa"/>
        <w:tblCellMar>
          <w:left w:w="70" w:type="dxa"/>
          <w:right w:w="70" w:type="dxa"/>
        </w:tblCellMar>
        <w:tblLook w:val="04A0"/>
      </w:tblPr>
      <w:tblGrid>
        <w:gridCol w:w="1840"/>
        <w:gridCol w:w="9717"/>
      </w:tblGrid>
      <w:tr w14:paraId="007DBDBB"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988B7E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00-F99</w:t>
            </w:r>
          </w:p>
        </w:tc>
        <w:tc>
          <w:tcPr>
            <w:tcW w:w="9717" w:type="dxa"/>
            <w:tcBorders>
              <w:top w:val="nil"/>
              <w:left w:val="nil"/>
              <w:bottom w:val="nil"/>
              <w:right w:val="nil"/>
            </w:tcBorders>
            <w:noWrap/>
            <w:vAlign w:val="bottom"/>
            <w:hideMark/>
          </w:tcPr>
          <w:p w:rsidR="00A17CDF" w:rsidRPr="00A955AF" w:rsidP="006C5B65" w14:paraId="4D02D3A2" w14:textId="085DA148">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Poruchy duševní a poruchy chování </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 xml:space="preserve"> diagnózy</w:t>
            </w:r>
          </w:p>
        </w:tc>
      </w:tr>
      <w:tr w14:paraId="48E1CAA1"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72E4542C"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ČLS JEP</w:t>
            </w:r>
          </w:p>
        </w:tc>
        <w:tc>
          <w:tcPr>
            <w:tcW w:w="9717" w:type="dxa"/>
            <w:tcBorders>
              <w:top w:val="nil"/>
              <w:left w:val="nil"/>
              <w:bottom w:val="nil"/>
              <w:right w:val="nil"/>
            </w:tcBorders>
            <w:noWrap/>
            <w:vAlign w:val="bottom"/>
            <w:hideMark/>
          </w:tcPr>
          <w:p w:rsidR="00A17CDF" w:rsidRPr="00A955AF" w:rsidP="006C5B65" w14:paraId="3C7E0064"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Česká lékařská společnost Jana Evangelisty Purkyně</w:t>
            </w:r>
          </w:p>
        </w:tc>
      </w:tr>
      <w:tr w14:paraId="6AF3B111"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F73A0C" w:rsidRPr="00A955AF" w:rsidP="006C5B65" w14:paraId="3D546E87" w14:textId="7624C985">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ČLK</w:t>
            </w:r>
          </w:p>
        </w:tc>
        <w:tc>
          <w:tcPr>
            <w:tcW w:w="9717" w:type="dxa"/>
            <w:tcBorders>
              <w:top w:val="nil"/>
              <w:left w:val="nil"/>
              <w:bottom w:val="nil"/>
              <w:right w:val="nil"/>
            </w:tcBorders>
            <w:noWrap/>
            <w:vAlign w:val="bottom"/>
          </w:tcPr>
          <w:p w:rsidR="00F73A0C" w:rsidRPr="00A955AF" w:rsidP="006C5B65" w14:paraId="6B20F8BF" w14:textId="6D4731A0">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Česká lékařská komora</w:t>
            </w:r>
          </w:p>
        </w:tc>
      </w:tr>
      <w:tr w14:paraId="39DFFF85"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F73A0C" w:rsidRPr="00A955AF" w:rsidP="006C5B65" w14:paraId="21BE576E" w14:textId="705E1379">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ČLnK</w:t>
            </w:r>
          </w:p>
        </w:tc>
        <w:tc>
          <w:tcPr>
            <w:tcW w:w="9717" w:type="dxa"/>
            <w:tcBorders>
              <w:top w:val="nil"/>
              <w:left w:val="nil"/>
              <w:bottom w:val="nil"/>
              <w:right w:val="nil"/>
            </w:tcBorders>
            <w:noWrap/>
            <w:vAlign w:val="bottom"/>
          </w:tcPr>
          <w:p w:rsidR="00F73A0C" w:rsidRPr="00A955AF" w:rsidP="006C5B65" w14:paraId="1E2CDB26" w14:textId="00C9BF61">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Česká lékárenská komora</w:t>
            </w:r>
          </w:p>
        </w:tc>
      </w:tr>
      <w:tr w14:paraId="3F70C337"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9275536"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ČSÚ</w:t>
            </w:r>
          </w:p>
        </w:tc>
        <w:tc>
          <w:tcPr>
            <w:tcW w:w="9717" w:type="dxa"/>
            <w:tcBorders>
              <w:top w:val="nil"/>
              <w:left w:val="nil"/>
              <w:bottom w:val="nil"/>
              <w:right w:val="nil"/>
            </w:tcBorders>
            <w:noWrap/>
            <w:vAlign w:val="bottom"/>
            <w:hideMark/>
          </w:tcPr>
          <w:p w:rsidR="00A17CDF" w:rsidRPr="00A955AF" w:rsidP="006C5B65" w14:paraId="14FCC07A"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Český statistický úřad</w:t>
            </w:r>
          </w:p>
        </w:tc>
      </w:tr>
      <w:tr w14:paraId="45BF4AA9" w14:textId="77777777" w:rsidTr="00624D72">
        <w:tblPrEx>
          <w:tblW w:w="11557" w:type="dxa"/>
          <w:tblInd w:w="55" w:type="dxa"/>
          <w:tblCellMar>
            <w:left w:w="70" w:type="dxa"/>
            <w:right w:w="70" w:type="dxa"/>
          </w:tblCellMar>
          <w:tblLook w:val="04A0"/>
        </w:tblPrEx>
        <w:trPr>
          <w:trHeight w:val="289"/>
        </w:trPr>
        <w:tc>
          <w:tcPr>
            <w:tcW w:w="1840" w:type="dxa"/>
            <w:tcBorders>
              <w:top w:val="nil"/>
              <w:left w:val="nil"/>
              <w:bottom w:val="nil"/>
              <w:right w:val="nil"/>
            </w:tcBorders>
            <w:noWrap/>
            <w:vAlign w:val="bottom"/>
            <w:hideMark/>
          </w:tcPr>
          <w:p w:rsidR="00A17CDF" w:rsidRPr="00A955AF" w:rsidP="006C5B65" w14:paraId="63FDE5FA"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DCCI</w:t>
            </w:r>
          </w:p>
        </w:tc>
        <w:tc>
          <w:tcPr>
            <w:tcW w:w="9717" w:type="dxa"/>
            <w:tcBorders>
              <w:top w:val="nil"/>
              <w:left w:val="nil"/>
              <w:bottom w:val="nil"/>
              <w:right w:val="nil"/>
            </w:tcBorders>
            <w:noWrap/>
            <w:vAlign w:val="bottom"/>
            <w:hideMark/>
          </w:tcPr>
          <w:p w:rsidR="00A17CDF" w:rsidRPr="00A955AF" w:rsidP="006C5B65" w14:paraId="1E6C8F39" w14:textId="0B010C8B">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Deyova modifikace indexu komorbidit </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 xml:space="preserve"> Charlson Comorbidity Index</w:t>
            </w:r>
          </w:p>
        </w:tc>
      </w:tr>
      <w:tr w14:paraId="306D6E76" w14:textId="77777777" w:rsidTr="00624D72">
        <w:tblPrEx>
          <w:tblW w:w="11557" w:type="dxa"/>
          <w:tblInd w:w="55" w:type="dxa"/>
          <w:tblCellMar>
            <w:left w:w="70" w:type="dxa"/>
            <w:right w:w="70" w:type="dxa"/>
          </w:tblCellMar>
          <w:tblLook w:val="04A0"/>
        </w:tblPrEx>
        <w:trPr>
          <w:trHeight w:val="289"/>
        </w:trPr>
        <w:tc>
          <w:tcPr>
            <w:tcW w:w="1840" w:type="dxa"/>
            <w:tcBorders>
              <w:top w:val="nil"/>
              <w:left w:val="nil"/>
              <w:bottom w:val="nil"/>
              <w:right w:val="nil"/>
            </w:tcBorders>
            <w:noWrap/>
            <w:vAlign w:val="bottom"/>
            <w:hideMark/>
          </w:tcPr>
          <w:p w:rsidR="00A17CDF" w:rsidRPr="00A955AF" w:rsidP="006C5B65" w14:paraId="569FFDC6"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DM</w:t>
            </w:r>
          </w:p>
        </w:tc>
        <w:tc>
          <w:tcPr>
            <w:tcW w:w="9717" w:type="dxa"/>
            <w:tcBorders>
              <w:top w:val="nil"/>
              <w:left w:val="nil"/>
              <w:bottom w:val="nil"/>
              <w:right w:val="nil"/>
            </w:tcBorders>
            <w:noWrap/>
            <w:vAlign w:val="bottom"/>
            <w:hideMark/>
          </w:tcPr>
          <w:p w:rsidR="00A17CDF" w:rsidRPr="00A955AF" w:rsidP="006C5B65" w14:paraId="52D7809A" w14:textId="424AEB9D">
            <w:pPr>
              <w:spacing w:before="0" w:after="0"/>
              <w:jc w:val="left"/>
              <w:rPr>
                <w:rFonts w:ascii="Calibri" w:eastAsia="Times New Roman" w:hAnsi="Calibri" w:cs="Times New Roman"/>
                <w:color w:val="000000"/>
                <w:szCs w:val="22"/>
                <w:lang w:eastAsia="cs-CZ"/>
              </w:rPr>
            </w:pPr>
            <w:r w:rsidRPr="008F588E">
              <w:rPr>
                <w:rFonts w:ascii="Calibri" w:eastAsia="Times New Roman" w:hAnsi="Calibri" w:cs="Times New Roman"/>
                <w:i/>
                <w:iCs/>
                <w:color w:val="000000"/>
                <w:szCs w:val="22"/>
                <w:lang w:eastAsia="cs-CZ"/>
              </w:rPr>
              <w:t>Diabetes mellitus</w:t>
            </w:r>
            <w:r w:rsidRPr="00A955AF">
              <w:rPr>
                <w:rFonts w:ascii="Calibri" w:eastAsia="Times New Roman" w:hAnsi="Calibri" w:cs="Times New Roman"/>
                <w:color w:val="000000"/>
                <w:szCs w:val="22"/>
                <w:lang w:eastAsia="cs-CZ"/>
              </w:rPr>
              <w:t xml:space="preserve"> </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 xml:space="preserve"> cukrovka</w:t>
            </w:r>
          </w:p>
        </w:tc>
      </w:tr>
      <w:tr w14:paraId="4C6F3A80"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71336886"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DRG</w:t>
            </w:r>
          </w:p>
        </w:tc>
        <w:tc>
          <w:tcPr>
            <w:tcW w:w="9717" w:type="dxa"/>
            <w:tcBorders>
              <w:top w:val="nil"/>
              <w:left w:val="nil"/>
              <w:bottom w:val="nil"/>
              <w:right w:val="nil"/>
            </w:tcBorders>
            <w:noWrap/>
            <w:vAlign w:val="bottom"/>
            <w:hideMark/>
          </w:tcPr>
          <w:p w:rsidR="00A17CDF" w:rsidRPr="00A955AF" w:rsidP="006C5B65" w14:paraId="5C3DDDB4" w14:textId="4F3DCBF0">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Diagnosis-related group </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 xml:space="preserve"> klasifikační systém DRG</w:t>
            </w:r>
          </w:p>
        </w:tc>
      </w:tr>
      <w:tr w14:paraId="5F7672AB"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622420DB"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EFRR</w:t>
            </w:r>
          </w:p>
        </w:tc>
        <w:tc>
          <w:tcPr>
            <w:tcW w:w="9717" w:type="dxa"/>
            <w:tcBorders>
              <w:top w:val="nil"/>
              <w:left w:val="nil"/>
              <w:bottom w:val="nil"/>
              <w:right w:val="nil"/>
            </w:tcBorders>
            <w:noWrap/>
            <w:vAlign w:val="bottom"/>
            <w:hideMark/>
          </w:tcPr>
          <w:p w:rsidR="00A17CDF" w:rsidRPr="00A955AF" w:rsidP="006C5B65" w14:paraId="1F0D6207" w14:textId="2F8B2FEB">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Evropský fond regionálního rozvoje</w:t>
            </w:r>
            <w:r w:rsidR="0077505D">
              <w:rPr>
                <w:rFonts w:ascii="Calibri" w:eastAsia="Times New Roman" w:hAnsi="Calibri" w:cs="Times New Roman"/>
                <w:color w:val="000000"/>
                <w:szCs w:val="22"/>
                <w:lang w:eastAsia="cs-CZ"/>
              </w:rPr>
              <w:t xml:space="preserve"> </w:t>
            </w:r>
            <w:r w:rsidR="00674161">
              <w:rPr>
                <w:rFonts w:ascii="Calibri" w:eastAsia="Times New Roman" w:hAnsi="Calibri" w:cs="Times New Roman"/>
                <w:color w:val="000000"/>
                <w:szCs w:val="22"/>
                <w:lang w:eastAsia="cs-CZ"/>
              </w:rPr>
              <w:t>(</w:t>
            </w:r>
            <w:r w:rsidRPr="00674161" w:rsidR="00674161">
              <w:rPr>
                <w:rFonts w:ascii="Calibri" w:eastAsia="Times New Roman" w:hAnsi="Calibri" w:cs="Times New Roman"/>
                <w:color w:val="000000"/>
                <w:szCs w:val="22"/>
                <w:lang w:eastAsia="cs-CZ"/>
              </w:rPr>
              <w:t>ERDF</w:t>
            </w:r>
            <w:r w:rsidR="00674161">
              <w:rPr>
                <w:rFonts w:ascii="Calibri" w:eastAsia="Times New Roman" w:hAnsi="Calibri" w:cs="Times New Roman"/>
                <w:color w:val="000000"/>
                <w:szCs w:val="22"/>
                <w:lang w:eastAsia="cs-CZ"/>
              </w:rPr>
              <w:t>-</w:t>
            </w:r>
            <w:r w:rsidRPr="00674161" w:rsidR="00674161">
              <w:rPr>
                <w:rFonts w:ascii="Calibri" w:eastAsia="Times New Roman" w:hAnsi="Calibri" w:cs="Times New Roman"/>
                <w:color w:val="000000"/>
                <w:szCs w:val="22"/>
                <w:lang w:eastAsia="cs-CZ"/>
              </w:rPr>
              <w:t>European Regional Development Fund</w:t>
            </w:r>
            <w:r w:rsidR="00674161">
              <w:rPr>
                <w:rFonts w:ascii="Calibri" w:eastAsia="Times New Roman" w:hAnsi="Calibri" w:cs="Times New Roman"/>
                <w:color w:val="000000"/>
                <w:szCs w:val="22"/>
                <w:lang w:eastAsia="cs-CZ"/>
              </w:rPr>
              <w:t>)</w:t>
            </w:r>
          </w:p>
        </w:tc>
      </w:tr>
      <w:tr w14:paraId="5502F868"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5E19F8F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eHealth</w:t>
            </w:r>
          </w:p>
        </w:tc>
        <w:tc>
          <w:tcPr>
            <w:tcW w:w="9717" w:type="dxa"/>
            <w:tcBorders>
              <w:top w:val="nil"/>
              <w:left w:val="nil"/>
              <w:bottom w:val="nil"/>
              <w:right w:val="nil"/>
            </w:tcBorders>
            <w:noWrap/>
            <w:vAlign w:val="bottom"/>
            <w:hideMark/>
          </w:tcPr>
          <w:p w:rsidR="00A17CDF" w:rsidRPr="008F588E" w:rsidP="006C5B65" w14:paraId="257001D4" w14:textId="10C5913B">
            <w:pPr>
              <w:spacing w:before="0" w:after="0"/>
              <w:jc w:val="left"/>
              <w:rPr>
                <w:rFonts w:ascii="Calibri" w:eastAsia="Times New Roman" w:hAnsi="Calibri" w:cs="Times New Roman"/>
                <w:color w:val="000000"/>
                <w:szCs w:val="22"/>
                <w:highlight w:val="yellow"/>
                <w:lang w:eastAsia="cs-CZ"/>
              </w:rPr>
            </w:pPr>
            <w:r w:rsidRPr="002A1389">
              <w:rPr>
                <w:rFonts w:ascii="Calibri" w:eastAsia="Times New Roman" w:hAnsi="Calibri" w:cs="Times New Roman"/>
                <w:color w:val="000000"/>
                <w:szCs w:val="22"/>
                <w:lang w:eastAsia="cs-CZ"/>
              </w:rPr>
              <w:t>Využití informačních a komunikačních technolog</w:t>
            </w:r>
            <w:r w:rsidRPr="002A1389" w:rsidR="00A955AF">
              <w:rPr>
                <w:rFonts w:ascii="Calibri" w:eastAsia="Times New Roman" w:hAnsi="Calibri" w:cs="Times New Roman"/>
                <w:color w:val="000000"/>
                <w:szCs w:val="22"/>
                <w:lang w:eastAsia="cs-CZ"/>
              </w:rPr>
              <w:t>i</w:t>
            </w:r>
            <w:r w:rsidRPr="002A1389">
              <w:rPr>
                <w:rFonts w:ascii="Calibri" w:eastAsia="Times New Roman" w:hAnsi="Calibri" w:cs="Times New Roman"/>
                <w:color w:val="000000"/>
                <w:szCs w:val="22"/>
                <w:lang w:eastAsia="cs-CZ"/>
              </w:rPr>
              <w:t xml:space="preserve">í ve </w:t>
            </w:r>
            <w:r w:rsidRPr="002A1389" w:rsidR="00A955AF">
              <w:rPr>
                <w:rFonts w:ascii="Calibri" w:eastAsia="Times New Roman" w:hAnsi="Calibri" w:cs="Times New Roman"/>
                <w:color w:val="000000"/>
                <w:szCs w:val="22"/>
                <w:lang w:eastAsia="cs-CZ"/>
              </w:rPr>
              <w:t>zdravotnictví</w:t>
            </w:r>
          </w:p>
        </w:tc>
      </w:tr>
      <w:tr w14:paraId="15C9D5A1" w14:textId="77777777" w:rsidTr="00624D72">
        <w:tblPrEx>
          <w:tblW w:w="11557" w:type="dxa"/>
          <w:tblInd w:w="55" w:type="dxa"/>
          <w:tblCellMar>
            <w:left w:w="70" w:type="dxa"/>
            <w:right w:w="70" w:type="dxa"/>
          </w:tblCellMar>
          <w:tblLook w:val="04A0"/>
        </w:tblPrEx>
        <w:trPr>
          <w:trHeight w:val="289"/>
        </w:trPr>
        <w:tc>
          <w:tcPr>
            <w:tcW w:w="1840" w:type="dxa"/>
            <w:tcBorders>
              <w:top w:val="nil"/>
              <w:left w:val="nil"/>
              <w:bottom w:val="nil"/>
              <w:right w:val="nil"/>
            </w:tcBorders>
            <w:noWrap/>
            <w:vAlign w:val="bottom"/>
            <w:hideMark/>
          </w:tcPr>
          <w:p w:rsidR="00A17CDF" w:rsidRPr="00A955AF" w:rsidP="006C5B65" w14:paraId="6E00982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EHES</w:t>
            </w:r>
          </w:p>
        </w:tc>
        <w:tc>
          <w:tcPr>
            <w:tcW w:w="9717" w:type="dxa"/>
            <w:tcBorders>
              <w:top w:val="nil"/>
              <w:left w:val="nil"/>
              <w:bottom w:val="nil"/>
              <w:right w:val="nil"/>
            </w:tcBorders>
            <w:noWrap/>
            <w:vAlign w:val="bottom"/>
            <w:hideMark/>
          </w:tcPr>
          <w:p w:rsidR="00A17CDF" w:rsidRPr="00A955AF" w:rsidP="006C5B65" w14:paraId="27DAF3DB"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European Health Examination Survey</w:t>
            </w:r>
          </w:p>
        </w:tc>
      </w:tr>
      <w:tr w14:paraId="281859CF" w14:textId="77777777" w:rsidTr="00624D72">
        <w:tblPrEx>
          <w:tblW w:w="11557" w:type="dxa"/>
          <w:tblInd w:w="55" w:type="dxa"/>
          <w:tblCellMar>
            <w:left w:w="70" w:type="dxa"/>
            <w:right w:w="70" w:type="dxa"/>
          </w:tblCellMar>
          <w:tblLook w:val="04A0"/>
        </w:tblPrEx>
        <w:trPr>
          <w:trHeight w:val="289"/>
        </w:trPr>
        <w:tc>
          <w:tcPr>
            <w:tcW w:w="1840" w:type="dxa"/>
            <w:tcBorders>
              <w:top w:val="nil"/>
              <w:left w:val="nil"/>
              <w:bottom w:val="nil"/>
              <w:right w:val="nil"/>
            </w:tcBorders>
            <w:noWrap/>
            <w:vAlign w:val="bottom"/>
            <w:hideMark/>
          </w:tcPr>
          <w:p w:rsidR="00A17CDF" w:rsidRPr="00A955AF" w:rsidP="006C5B65" w14:paraId="7B153662"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EHIS</w:t>
            </w:r>
          </w:p>
        </w:tc>
        <w:tc>
          <w:tcPr>
            <w:tcW w:w="9717" w:type="dxa"/>
            <w:tcBorders>
              <w:top w:val="nil"/>
              <w:left w:val="nil"/>
              <w:bottom w:val="nil"/>
              <w:right w:val="nil"/>
            </w:tcBorders>
            <w:noWrap/>
            <w:vAlign w:val="bottom"/>
            <w:hideMark/>
          </w:tcPr>
          <w:p w:rsidR="00A17CDF" w:rsidRPr="00A955AF" w:rsidP="006C5B65" w14:paraId="77D456F1"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European Health Interview Survey</w:t>
            </w:r>
          </w:p>
        </w:tc>
      </w:tr>
      <w:tr w14:paraId="20564CCD"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70B84EDF"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ESF</w:t>
            </w:r>
          </w:p>
        </w:tc>
        <w:tc>
          <w:tcPr>
            <w:tcW w:w="9717" w:type="dxa"/>
            <w:tcBorders>
              <w:top w:val="nil"/>
              <w:left w:val="nil"/>
              <w:bottom w:val="nil"/>
              <w:right w:val="nil"/>
            </w:tcBorders>
            <w:noWrap/>
            <w:vAlign w:val="bottom"/>
            <w:hideMark/>
          </w:tcPr>
          <w:p w:rsidR="00A17CDF" w:rsidRPr="00A955AF" w:rsidP="006C5B65" w14:paraId="69B6AEA1"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Evropský sociální fond</w:t>
            </w:r>
          </w:p>
        </w:tc>
      </w:tr>
      <w:tr w14:paraId="7820DA4A"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29CD270C"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ESF+</w:t>
            </w:r>
          </w:p>
        </w:tc>
        <w:tc>
          <w:tcPr>
            <w:tcW w:w="9717" w:type="dxa"/>
            <w:tcBorders>
              <w:top w:val="nil"/>
              <w:left w:val="nil"/>
              <w:bottom w:val="nil"/>
              <w:right w:val="nil"/>
            </w:tcBorders>
            <w:noWrap/>
            <w:vAlign w:val="bottom"/>
            <w:hideMark/>
          </w:tcPr>
          <w:p w:rsidR="00A17CDF" w:rsidRPr="00A955AF" w:rsidP="006C5B65" w14:paraId="3E5FB148" w14:textId="76B2CECF">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Evropský sociální fond </w:t>
            </w:r>
            <w:r w:rsidR="008F588E">
              <w:rPr>
                <w:rFonts w:ascii="Calibri" w:eastAsia="Times New Roman" w:hAnsi="Calibri" w:cs="Times New Roman"/>
                <w:color w:val="000000"/>
                <w:szCs w:val="22"/>
                <w:lang w:eastAsia="cs-CZ"/>
              </w:rPr>
              <w:t>v pr</w:t>
            </w:r>
            <w:r w:rsidR="00674161">
              <w:rPr>
                <w:rFonts w:ascii="Calibri" w:eastAsia="Times New Roman" w:hAnsi="Calibri" w:cs="Times New Roman"/>
                <w:color w:val="000000"/>
                <w:szCs w:val="22"/>
                <w:lang w:eastAsia="cs-CZ"/>
              </w:rPr>
              <w:t>o</w:t>
            </w:r>
            <w:r w:rsidR="008F588E">
              <w:rPr>
                <w:rFonts w:ascii="Calibri" w:eastAsia="Times New Roman" w:hAnsi="Calibri" w:cs="Times New Roman"/>
                <w:color w:val="000000"/>
                <w:szCs w:val="22"/>
                <w:lang w:eastAsia="cs-CZ"/>
              </w:rPr>
              <w:t>gramovém období</w:t>
            </w:r>
            <w:r w:rsidRPr="00A955AF">
              <w:rPr>
                <w:rFonts w:ascii="Calibri" w:eastAsia="Times New Roman" w:hAnsi="Calibri" w:cs="Times New Roman"/>
                <w:color w:val="000000"/>
                <w:szCs w:val="22"/>
                <w:lang w:eastAsia="cs-CZ"/>
              </w:rPr>
              <w:t xml:space="preserve"> 2021</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2027</w:t>
            </w:r>
          </w:p>
        </w:tc>
      </w:tr>
      <w:tr w14:paraId="6C6629B7"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17728F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EU</w:t>
            </w:r>
          </w:p>
        </w:tc>
        <w:tc>
          <w:tcPr>
            <w:tcW w:w="9717" w:type="dxa"/>
            <w:tcBorders>
              <w:top w:val="nil"/>
              <w:left w:val="nil"/>
              <w:bottom w:val="nil"/>
              <w:right w:val="nil"/>
            </w:tcBorders>
            <w:noWrap/>
            <w:vAlign w:val="bottom"/>
            <w:hideMark/>
          </w:tcPr>
          <w:p w:rsidR="00A17CDF" w:rsidRPr="00A955AF" w:rsidP="006C5B65" w14:paraId="236B74A2"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Evropská unie</w:t>
            </w:r>
          </w:p>
        </w:tc>
      </w:tr>
      <w:tr w14:paraId="206ED1CE"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265B3A8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EU28</w:t>
            </w:r>
          </w:p>
        </w:tc>
        <w:tc>
          <w:tcPr>
            <w:tcW w:w="9717" w:type="dxa"/>
            <w:tcBorders>
              <w:top w:val="nil"/>
              <w:left w:val="nil"/>
              <w:bottom w:val="nil"/>
              <w:right w:val="nil"/>
            </w:tcBorders>
            <w:noWrap/>
            <w:vAlign w:val="bottom"/>
            <w:hideMark/>
          </w:tcPr>
          <w:p w:rsidR="00A17CDF" w:rsidRPr="00A955AF" w:rsidP="006C5B65" w14:paraId="14E1405C" w14:textId="6C251B9E">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28 členských států EU (včetně</w:t>
            </w:r>
            <w:r w:rsidR="008F588E">
              <w:rPr>
                <w:rFonts w:ascii="Calibri" w:eastAsia="Times New Roman" w:hAnsi="Calibri" w:cs="Times New Roman"/>
                <w:color w:val="000000"/>
                <w:szCs w:val="22"/>
                <w:lang w:eastAsia="cs-CZ"/>
              </w:rPr>
              <w:t xml:space="preserve"> Velké</w:t>
            </w:r>
            <w:r w:rsidRPr="00A955AF">
              <w:rPr>
                <w:rFonts w:ascii="Calibri" w:eastAsia="Times New Roman" w:hAnsi="Calibri" w:cs="Times New Roman"/>
                <w:color w:val="000000"/>
                <w:szCs w:val="22"/>
                <w:lang w:eastAsia="cs-CZ"/>
              </w:rPr>
              <w:t xml:space="preserve"> Británie)</w:t>
            </w:r>
          </w:p>
        </w:tc>
      </w:tr>
      <w:tr w14:paraId="0DA804AB"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56739125"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Eurostat</w:t>
            </w:r>
          </w:p>
        </w:tc>
        <w:tc>
          <w:tcPr>
            <w:tcW w:w="9717" w:type="dxa"/>
            <w:tcBorders>
              <w:top w:val="nil"/>
              <w:left w:val="nil"/>
              <w:bottom w:val="nil"/>
              <w:right w:val="nil"/>
            </w:tcBorders>
            <w:noWrap/>
            <w:vAlign w:val="bottom"/>
            <w:hideMark/>
          </w:tcPr>
          <w:p w:rsidR="00A17CDF" w:rsidRPr="00A955AF" w:rsidP="006C5B65" w14:paraId="2A9412F5"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Statistický úřad EU</w:t>
            </w:r>
          </w:p>
        </w:tc>
      </w:tr>
      <w:tr w14:paraId="5F39C5CD"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1C7C86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FS</w:t>
            </w:r>
          </w:p>
        </w:tc>
        <w:tc>
          <w:tcPr>
            <w:tcW w:w="9717" w:type="dxa"/>
            <w:tcBorders>
              <w:top w:val="nil"/>
              <w:left w:val="nil"/>
              <w:bottom w:val="nil"/>
              <w:right w:val="nil"/>
            </w:tcBorders>
            <w:noWrap/>
            <w:vAlign w:val="bottom"/>
            <w:hideMark/>
          </w:tcPr>
          <w:p w:rsidR="00A17CDF" w:rsidRPr="00A955AF" w:rsidP="006C5B65" w14:paraId="6860A8D4"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Fond soudržnosti</w:t>
            </w:r>
          </w:p>
        </w:tc>
      </w:tr>
      <w:tr w14:paraId="17B7F60E"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466632D2"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HDP</w:t>
            </w:r>
          </w:p>
        </w:tc>
        <w:tc>
          <w:tcPr>
            <w:tcW w:w="9717" w:type="dxa"/>
            <w:tcBorders>
              <w:top w:val="nil"/>
              <w:left w:val="nil"/>
              <w:bottom w:val="nil"/>
              <w:right w:val="nil"/>
            </w:tcBorders>
            <w:noWrap/>
            <w:vAlign w:val="bottom"/>
            <w:hideMark/>
          </w:tcPr>
          <w:p w:rsidR="00A17CDF" w:rsidRPr="00A955AF" w:rsidP="006C5B65" w14:paraId="59B88AF6"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Hrubý domácí produkt</w:t>
            </w:r>
          </w:p>
        </w:tc>
      </w:tr>
      <w:tr w14:paraId="66E97FB3"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7674624"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HTA</w:t>
            </w:r>
          </w:p>
        </w:tc>
        <w:tc>
          <w:tcPr>
            <w:tcW w:w="9717" w:type="dxa"/>
            <w:tcBorders>
              <w:top w:val="nil"/>
              <w:left w:val="nil"/>
              <w:bottom w:val="nil"/>
              <w:right w:val="nil"/>
            </w:tcBorders>
            <w:noWrap/>
            <w:vAlign w:val="bottom"/>
            <w:hideMark/>
          </w:tcPr>
          <w:p w:rsidR="00A17CDF" w:rsidRPr="00A955AF" w:rsidP="006C5B65" w14:paraId="1FFA7865" w14:textId="66A15F2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Health Technology Assessment </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 xml:space="preserve"> hodnocení zdravotnických technologií</w:t>
            </w:r>
          </w:p>
        </w:tc>
      </w:tr>
      <w:tr w14:paraId="0C0049E4"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26D4DB0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CHOPN</w:t>
            </w:r>
          </w:p>
        </w:tc>
        <w:tc>
          <w:tcPr>
            <w:tcW w:w="9717" w:type="dxa"/>
            <w:tcBorders>
              <w:top w:val="nil"/>
              <w:left w:val="nil"/>
              <w:bottom w:val="nil"/>
              <w:right w:val="nil"/>
            </w:tcBorders>
            <w:noWrap/>
            <w:vAlign w:val="bottom"/>
            <w:hideMark/>
          </w:tcPr>
          <w:p w:rsidR="00A17CDF" w:rsidRPr="00A955AF" w:rsidP="006C5B65" w14:paraId="4EE3960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Chronická obstrukční plicní nemoc</w:t>
            </w:r>
          </w:p>
        </w:tc>
      </w:tr>
      <w:tr w14:paraId="63705E97"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21F6927"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ICT</w:t>
            </w:r>
          </w:p>
        </w:tc>
        <w:tc>
          <w:tcPr>
            <w:tcW w:w="9717" w:type="dxa"/>
            <w:tcBorders>
              <w:top w:val="nil"/>
              <w:left w:val="nil"/>
              <w:bottom w:val="nil"/>
              <w:right w:val="nil"/>
            </w:tcBorders>
            <w:noWrap/>
            <w:vAlign w:val="bottom"/>
            <w:hideMark/>
          </w:tcPr>
          <w:p w:rsidR="00A17CDF" w:rsidRPr="00A955AF" w:rsidP="00F62339" w14:paraId="0A11AEED" w14:textId="57CC449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Information and communications technology </w:t>
            </w:r>
            <w:r w:rsidR="000072DD">
              <w:rPr>
                <w:rFonts w:ascii="Calibri" w:eastAsia="Times New Roman" w:hAnsi="Calibri" w:cs="Calibri"/>
                <w:color w:val="000000"/>
                <w:szCs w:val="22"/>
                <w:lang w:eastAsia="cs-CZ"/>
              </w:rPr>
              <w:t>‒</w:t>
            </w:r>
            <w:r w:rsidRPr="00A955AF">
              <w:rPr>
                <w:rFonts w:ascii="Calibri" w:eastAsia="Times New Roman" w:hAnsi="Calibri" w:cs="Times New Roman"/>
                <w:color w:val="000000"/>
                <w:szCs w:val="22"/>
                <w:lang w:eastAsia="cs-CZ"/>
              </w:rPr>
              <w:t xml:space="preserve"> informační a </w:t>
            </w:r>
            <w:r w:rsidRPr="00A955AF" w:rsidR="00F62339">
              <w:rPr>
                <w:rFonts w:ascii="Calibri" w:eastAsia="Times New Roman" w:hAnsi="Calibri" w:cs="Times New Roman"/>
                <w:color w:val="000000"/>
                <w:szCs w:val="22"/>
                <w:lang w:eastAsia="cs-CZ"/>
              </w:rPr>
              <w:t>k</w:t>
            </w:r>
            <w:r w:rsidRPr="00A955AF">
              <w:rPr>
                <w:rFonts w:ascii="Calibri" w:eastAsia="Times New Roman" w:hAnsi="Calibri" w:cs="Times New Roman"/>
                <w:color w:val="000000"/>
                <w:szCs w:val="22"/>
                <w:lang w:eastAsia="cs-CZ"/>
              </w:rPr>
              <w:t>omunikační technologie</w:t>
            </w:r>
          </w:p>
        </w:tc>
      </w:tr>
      <w:tr w14:paraId="6E2BAA29"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68E9A2EE"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IPVZ</w:t>
            </w:r>
          </w:p>
        </w:tc>
        <w:tc>
          <w:tcPr>
            <w:tcW w:w="9717" w:type="dxa"/>
            <w:tcBorders>
              <w:top w:val="nil"/>
              <w:left w:val="nil"/>
              <w:bottom w:val="nil"/>
              <w:right w:val="nil"/>
            </w:tcBorders>
            <w:noWrap/>
            <w:vAlign w:val="bottom"/>
            <w:hideMark/>
          </w:tcPr>
          <w:p w:rsidR="00A17CDF" w:rsidRPr="00A955AF" w:rsidP="006C5B65" w14:paraId="661C7E71" w14:textId="5270447F">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Institut </w:t>
            </w:r>
            <w:r w:rsidRPr="00A955AF" w:rsidR="00A955AF">
              <w:rPr>
                <w:rFonts w:ascii="Calibri" w:eastAsia="Times New Roman" w:hAnsi="Calibri" w:cs="Times New Roman"/>
                <w:color w:val="000000"/>
                <w:szCs w:val="22"/>
                <w:lang w:eastAsia="cs-CZ"/>
              </w:rPr>
              <w:t>postgraduálního</w:t>
            </w:r>
            <w:r w:rsidRPr="00A955AF">
              <w:rPr>
                <w:rFonts w:ascii="Calibri" w:eastAsia="Times New Roman" w:hAnsi="Calibri" w:cs="Times New Roman"/>
                <w:color w:val="000000"/>
                <w:szCs w:val="22"/>
                <w:lang w:eastAsia="cs-CZ"/>
              </w:rPr>
              <w:t xml:space="preserve"> vzdělávání ve zdravotnictví ČR</w:t>
            </w:r>
          </w:p>
        </w:tc>
      </w:tr>
      <w:tr w14:paraId="2B1CEF9A"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C2BE36E"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L1-L3</w:t>
            </w:r>
          </w:p>
        </w:tc>
        <w:tc>
          <w:tcPr>
            <w:tcW w:w="9717" w:type="dxa"/>
            <w:tcBorders>
              <w:top w:val="nil"/>
              <w:left w:val="nil"/>
              <w:bottom w:val="nil"/>
              <w:right w:val="nil"/>
            </w:tcBorders>
            <w:noWrap/>
            <w:vAlign w:val="bottom"/>
            <w:hideMark/>
          </w:tcPr>
          <w:p w:rsidR="00A17CDF" w:rsidRPr="00A955AF" w:rsidP="006C5B65" w14:paraId="5AC0A23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Kategorie pracovníků Lékaři</w:t>
            </w:r>
          </w:p>
        </w:tc>
      </w:tr>
      <w:tr w14:paraId="4D642379"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020C0F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LPS</w:t>
            </w:r>
          </w:p>
        </w:tc>
        <w:tc>
          <w:tcPr>
            <w:tcW w:w="9717" w:type="dxa"/>
            <w:tcBorders>
              <w:top w:val="nil"/>
              <w:left w:val="nil"/>
              <w:bottom w:val="nil"/>
              <w:right w:val="nil"/>
            </w:tcBorders>
            <w:noWrap/>
            <w:vAlign w:val="bottom"/>
            <w:hideMark/>
          </w:tcPr>
          <w:p w:rsidR="00A17CDF" w:rsidRPr="00A955AF" w:rsidP="0097328E" w14:paraId="5396706F" w14:textId="6BA6479D">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Lékařská </w:t>
            </w:r>
            <w:r w:rsidRPr="00A955AF" w:rsidR="003436BE">
              <w:rPr>
                <w:rFonts w:ascii="Calibri" w:eastAsia="Times New Roman" w:hAnsi="Calibri" w:cs="Times New Roman"/>
                <w:color w:val="000000"/>
                <w:szCs w:val="22"/>
                <w:lang w:eastAsia="cs-CZ"/>
              </w:rPr>
              <w:t>po</w:t>
            </w:r>
            <w:r w:rsidRPr="00A955AF" w:rsidR="0097328E">
              <w:rPr>
                <w:rFonts w:ascii="Calibri" w:eastAsia="Times New Roman" w:hAnsi="Calibri" w:cs="Times New Roman"/>
                <w:color w:val="000000"/>
                <w:szCs w:val="22"/>
                <w:lang w:eastAsia="cs-CZ"/>
              </w:rPr>
              <w:t>hotovostní</w:t>
            </w:r>
            <w:r w:rsidRPr="00A955AF" w:rsidR="003436BE">
              <w:rPr>
                <w:rFonts w:ascii="Calibri" w:eastAsia="Times New Roman" w:hAnsi="Calibri" w:cs="Times New Roman"/>
                <w:color w:val="000000"/>
                <w:szCs w:val="22"/>
                <w:lang w:eastAsia="cs-CZ"/>
              </w:rPr>
              <w:t xml:space="preserve"> </w:t>
            </w:r>
            <w:r w:rsidRPr="00A955AF">
              <w:rPr>
                <w:rFonts w:ascii="Calibri" w:eastAsia="Times New Roman" w:hAnsi="Calibri" w:cs="Times New Roman"/>
                <w:color w:val="000000"/>
                <w:szCs w:val="22"/>
                <w:lang w:eastAsia="cs-CZ"/>
              </w:rPr>
              <w:t>služba</w:t>
            </w:r>
          </w:p>
        </w:tc>
      </w:tr>
      <w:tr w14:paraId="7BAC90E5"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5B1A7EF"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MD</w:t>
            </w:r>
          </w:p>
        </w:tc>
        <w:tc>
          <w:tcPr>
            <w:tcW w:w="9717" w:type="dxa"/>
            <w:tcBorders>
              <w:top w:val="nil"/>
              <w:left w:val="nil"/>
              <w:bottom w:val="nil"/>
              <w:right w:val="nil"/>
            </w:tcBorders>
            <w:noWrap/>
            <w:vAlign w:val="bottom"/>
            <w:hideMark/>
          </w:tcPr>
          <w:p w:rsidR="00A17CDF" w:rsidRPr="00A955AF" w:rsidP="006C5B65" w14:paraId="5B84408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dopravy ČR</w:t>
            </w:r>
          </w:p>
        </w:tc>
      </w:tr>
      <w:tr w14:paraId="42EB464D" w14:textId="77777777" w:rsidTr="00624D72">
        <w:tblPrEx>
          <w:tblW w:w="11557" w:type="dxa"/>
          <w:tblInd w:w="55" w:type="dxa"/>
          <w:tblCellMar>
            <w:left w:w="70" w:type="dxa"/>
            <w:right w:w="70" w:type="dxa"/>
          </w:tblCellMar>
          <w:tblLook w:val="04A0"/>
        </w:tblPrEx>
        <w:trPr>
          <w:trHeight w:val="289"/>
        </w:trPr>
        <w:tc>
          <w:tcPr>
            <w:tcW w:w="1840" w:type="dxa"/>
            <w:tcBorders>
              <w:top w:val="nil"/>
              <w:left w:val="nil"/>
              <w:bottom w:val="nil"/>
              <w:right w:val="nil"/>
            </w:tcBorders>
            <w:noWrap/>
            <w:vAlign w:val="bottom"/>
            <w:hideMark/>
          </w:tcPr>
          <w:p w:rsidR="00A17CDF" w:rsidRPr="00A955AF" w:rsidP="006C5B65" w14:paraId="263FAC2F"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MDGs</w:t>
            </w:r>
          </w:p>
        </w:tc>
        <w:tc>
          <w:tcPr>
            <w:tcW w:w="9717" w:type="dxa"/>
            <w:tcBorders>
              <w:top w:val="nil"/>
              <w:left w:val="nil"/>
              <w:bottom w:val="nil"/>
              <w:right w:val="nil"/>
            </w:tcBorders>
            <w:noWrap/>
            <w:vAlign w:val="bottom"/>
            <w:hideMark/>
          </w:tcPr>
          <w:p w:rsidR="00A17CDF" w:rsidRPr="00A955AF" w:rsidP="006C5B65" w14:paraId="73BD5ED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Millennium Development Goals</w:t>
            </w:r>
          </w:p>
        </w:tc>
      </w:tr>
      <w:tr w14:paraId="7523D92F" w14:textId="77777777" w:rsidTr="00624D72">
        <w:tblPrEx>
          <w:tblW w:w="11557" w:type="dxa"/>
          <w:tblInd w:w="55" w:type="dxa"/>
          <w:tblCellMar>
            <w:left w:w="70" w:type="dxa"/>
            <w:right w:w="70" w:type="dxa"/>
          </w:tblCellMar>
          <w:tblLook w:val="04A0"/>
        </w:tblPrEx>
        <w:trPr>
          <w:trHeight w:val="289"/>
        </w:trPr>
        <w:tc>
          <w:tcPr>
            <w:tcW w:w="1840" w:type="dxa"/>
            <w:tcBorders>
              <w:top w:val="nil"/>
              <w:left w:val="nil"/>
              <w:bottom w:val="nil"/>
              <w:right w:val="nil"/>
            </w:tcBorders>
            <w:noWrap/>
            <w:vAlign w:val="bottom"/>
            <w:hideMark/>
          </w:tcPr>
          <w:p w:rsidR="00A17CDF" w:rsidRPr="00A955AF" w:rsidP="006C5B65" w14:paraId="56F4D1D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mHealth</w:t>
            </w:r>
          </w:p>
        </w:tc>
        <w:tc>
          <w:tcPr>
            <w:tcW w:w="9717" w:type="dxa"/>
            <w:tcBorders>
              <w:top w:val="nil"/>
              <w:left w:val="nil"/>
              <w:bottom w:val="nil"/>
              <w:right w:val="nil"/>
            </w:tcBorders>
            <w:noWrap/>
            <w:vAlign w:val="bottom"/>
            <w:hideMark/>
          </w:tcPr>
          <w:p w:rsidR="00A17CDF" w:rsidRPr="00A955AF" w:rsidP="006C5B65" w14:paraId="0921EA3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Mobile Health</w:t>
            </w:r>
          </w:p>
        </w:tc>
      </w:tr>
      <w:tr w14:paraId="1376F2A5"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7B4FD4A9"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MMR</w:t>
            </w:r>
          </w:p>
        </w:tc>
        <w:tc>
          <w:tcPr>
            <w:tcW w:w="9717" w:type="dxa"/>
            <w:tcBorders>
              <w:top w:val="nil"/>
              <w:left w:val="nil"/>
              <w:bottom w:val="nil"/>
              <w:right w:val="nil"/>
            </w:tcBorders>
            <w:noWrap/>
            <w:vAlign w:val="bottom"/>
            <w:hideMark/>
          </w:tcPr>
          <w:p w:rsidR="00A17CDF" w:rsidRPr="00A955AF" w:rsidP="006C5B65" w14:paraId="409E4983"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pro místní rozvoj ČR</w:t>
            </w:r>
          </w:p>
        </w:tc>
      </w:tr>
      <w:tr w14:paraId="53A68870"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5547656E"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MPO</w:t>
            </w:r>
          </w:p>
        </w:tc>
        <w:tc>
          <w:tcPr>
            <w:tcW w:w="9717" w:type="dxa"/>
            <w:tcBorders>
              <w:top w:val="nil"/>
              <w:left w:val="nil"/>
              <w:bottom w:val="nil"/>
              <w:right w:val="nil"/>
            </w:tcBorders>
            <w:noWrap/>
            <w:vAlign w:val="bottom"/>
            <w:hideMark/>
          </w:tcPr>
          <w:p w:rsidR="00A17CDF" w:rsidRPr="00A955AF" w:rsidP="006C5B65" w14:paraId="2F0AFD5C"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průmyslu a obchodu ČR</w:t>
            </w:r>
          </w:p>
        </w:tc>
      </w:tr>
      <w:tr w14:paraId="2D075692"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6CD1E9C"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MSp</w:t>
            </w:r>
          </w:p>
        </w:tc>
        <w:tc>
          <w:tcPr>
            <w:tcW w:w="9717" w:type="dxa"/>
            <w:tcBorders>
              <w:top w:val="nil"/>
              <w:left w:val="nil"/>
              <w:bottom w:val="nil"/>
              <w:right w:val="nil"/>
            </w:tcBorders>
            <w:noWrap/>
            <w:vAlign w:val="bottom"/>
            <w:hideMark/>
          </w:tcPr>
          <w:p w:rsidR="00A17CDF" w:rsidRPr="00A955AF" w:rsidP="00F62339" w14:paraId="761C0C0D" w14:textId="77777777">
            <w:pPr>
              <w:tabs>
                <w:tab w:val="left" w:pos="7739"/>
              </w:tabs>
              <w:spacing w:before="0" w:after="0"/>
              <w:ind w:right="1833"/>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spravedlnosti ČR</w:t>
            </w:r>
          </w:p>
        </w:tc>
      </w:tr>
      <w:tr w14:paraId="55004CCD"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D90DEA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MŠMT</w:t>
            </w:r>
          </w:p>
        </w:tc>
        <w:tc>
          <w:tcPr>
            <w:tcW w:w="9717" w:type="dxa"/>
            <w:tcBorders>
              <w:top w:val="nil"/>
              <w:left w:val="nil"/>
              <w:bottom w:val="nil"/>
              <w:right w:val="nil"/>
            </w:tcBorders>
            <w:noWrap/>
            <w:vAlign w:val="bottom"/>
            <w:hideMark/>
          </w:tcPr>
          <w:p w:rsidR="00A17CDF" w:rsidRPr="00A955AF" w:rsidP="006C5B65" w14:paraId="09BA8EAE" w14:textId="19F5F0CB">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školství</w:t>
            </w:r>
            <w:r w:rsidR="00674161">
              <w:rPr>
                <w:rFonts w:ascii="Calibri" w:eastAsia="Times New Roman" w:hAnsi="Calibri" w:cs="Times New Roman"/>
                <w:color w:val="000000"/>
                <w:szCs w:val="22"/>
                <w:lang w:eastAsia="cs-CZ"/>
              </w:rPr>
              <w:t>,</w:t>
            </w:r>
            <w:r w:rsidRPr="00A955AF">
              <w:rPr>
                <w:rFonts w:ascii="Calibri" w:eastAsia="Times New Roman" w:hAnsi="Calibri" w:cs="Times New Roman"/>
                <w:color w:val="000000"/>
                <w:szCs w:val="22"/>
                <w:lang w:eastAsia="cs-CZ"/>
              </w:rPr>
              <w:t xml:space="preserve"> mládeže</w:t>
            </w:r>
            <w:r w:rsidR="00674161">
              <w:rPr>
                <w:rFonts w:ascii="Calibri" w:eastAsia="Times New Roman" w:hAnsi="Calibri" w:cs="Times New Roman"/>
                <w:color w:val="000000"/>
                <w:szCs w:val="22"/>
                <w:lang w:eastAsia="cs-CZ"/>
              </w:rPr>
              <w:t xml:space="preserve"> </w:t>
            </w:r>
            <w:r w:rsidRPr="00674161" w:rsidR="00674161">
              <w:rPr>
                <w:rFonts w:ascii="Calibri" w:eastAsia="Times New Roman" w:hAnsi="Calibri" w:cs="Times New Roman"/>
                <w:color w:val="000000"/>
                <w:szCs w:val="22"/>
                <w:lang w:eastAsia="cs-CZ"/>
              </w:rPr>
              <w:t>a tělovýchovy</w:t>
            </w:r>
            <w:r w:rsidRPr="00A955AF">
              <w:rPr>
                <w:rFonts w:ascii="Calibri" w:eastAsia="Times New Roman" w:hAnsi="Calibri" w:cs="Times New Roman"/>
                <w:color w:val="000000"/>
                <w:szCs w:val="22"/>
                <w:lang w:eastAsia="cs-CZ"/>
              </w:rPr>
              <w:t xml:space="preserve"> ČR</w:t>
            </w:r>
          </w:p>
        </w:tc>
      </w:tr>
      <w:tr w14:paraId="3176200D"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78F390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MV</w:t>
            </w:r>
          </w:p>
        </w:tc>
        <w:tc>
          <w:tcPr>
            <w:tcW w:w="9717" w:type="dxa"/>
            <w:tcBorders>
              <w:top w:val="nil"/>
              <w:left w:val="nil"/>
              <w:bottom w:val="nil"/>
              <w:right w:val="nil"/>
            </w:tcBorders>
            <w:noWrap/>
            <w:vAlign w:val="bottom"/>
            <w:hideMark/>
          </w:tcPr>
          <w:p w:rsidR="00A17CDF" w:rsidRPr="00A955AF" w:rsidP="006C5B65" w14:paraId="1C8B923E"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vnitra ČR</w:t>
            </w:r>
          </w:p>
        </w:tc>
      </w:tr>
      <w:tr w14:paraId="3E6BF4B0"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BB87029" w14:textId="1139B51C">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MZ</w:t>
            </w:r>
            <w:r w:rsidR="00492942">
              <w:rPr>
                <w:rFonts w:ascii="Calibri" w:eastAsia="Times New Roman" w:hAnsi="Calibri" w:cs="Times New Roman"/>
                <w:color w:val="000000"/>
                <w:szCs w:val="22"/>
                <w:lang w:eastAsia="cs-CZ"/>
              </w:rPr>
              <w:t>D</w:t>
            </w:r>
          </w:p>
        </w:tc>
        <w:tc>
          <w:tcPr>
            <w:tcW w:w="9717" w:type="dxa"/>
            <w:tcBorders>
              <w:top w:val="nil"/>
              <w:left w:val="nil"/>
              <w:bottom w:val="nil"/>
              <w:right w:val="nil"/>
            </w:tcBorders>
            <w:noWrap/>
            <w:vAlign w:val="bottom"/>
            <w:hideMark/>
          </w:tcPr>
          <w:p w:rsidR="00A17CDF" w:rsidRPr="00A955AF" w:rsidP="006C5B65" w14:paraId="0DB39BC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zdravotnictví ČR</w:t>
            </w:r>
          </w:p>
        </w:tc>
      </w:tr>
      <w:tr w14:paraId="63DEC1D3"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4E96E425" w14:textId="6615DEB2">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w:t>
            </w:r>
            <w:r w:rsidR="00674161">
              <w:rPr>
                <w:rFonts w:ascii="Calibri" w:eastAsia="Times New Roman" w:hAnsi="Calibri" w:cs="Times New Roman"/>
                <w:color w:val="000000"/>
                <w:szCs w:val="22"/>
                <w:lang w:eastAsia="cs-CZ"/>
              </w:rPr>
              <w:t>Z</w:t>
            </w:r>
            <w:r w:rsidRPr="00A955AF">
              <w:rPr>
                <w:rFonts w:ascii="Calibri" w:eastAsia="Times New Roman" w:hAnsi="Calibri" w:cs="Times New Roman"/>
                <w:color w:val="000000"/>
                <w:szCs w:val="22"/>
                <w:lang w:eastAsia="cs-CZ"/>
              </w:rPr>
              <w:t>e</w:t>
            </w:r>
          </w:p>
        </w:tc>
        <w:tc>
          <w:tcPr>
            <w:tcW w:w="9717" w:type="dxa"/>
            <w:tcBorders>
              <w:top w:val="nil"/>
              <w:left w:val="nil"/>
              <w:bottom w:val="nil"/>
              <w:right w:val="nil"/>
            </w:tcBorders>
            <w:noWrap/>
            <w:vAlign w:val="bottom"/>
            <w:hideMark/>
          </w:tcPr>
          <w:p w:rsidR="00A17CDF" w:rsidRPr="00A955AF" w:rsidP="006C5B65" w14:paraId="0DBB41FA"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zemědělství ČR</w:t>
            </w:r>
          </w:p>
        </w:tc>
      </w:tr>
      <w:tr w14:paraId="381BA149"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73BEA9B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MZV</w:t>
            </w:r>
          </w:p>
        </w:tc>
        <w:tc>
          <w:tcPr>
            <w:tcW w:w="9717" w:type="dxa"/>
            <w:tcBorders>
              <w:top w:val="nil"/>
              <w:left w:val="nil"/>
              <w:bottom w:val="nil"/>
              <w:right w:val="nil"/>
            </w:tcBorders>
            <w:noWrap/>
            <w:vAlign w:val="bottom"/>
            <w:hideMark/>
          </w:tcPr>
          <w:p w:rsidR="00A17CDF" w:rsidRPr="00A955AF" w:rsidP="006C5B65" w14:paraId="7481F186"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zahraničních věcí ČR</w:t>
            </w:r>
          </w:p>
        </w:tc>
      </w:tr>
      <w:tr w14:paraId="5E59DD48"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7072DE3"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MŽP</w:t>
            </w:r>
          </w:p>
        </w:tc>
        <w:tc>
          <w:tcPr>
            <w:tcW w:w="9717" w:type="dxa"/>
            <w:tcBorders>
              <w:top w:val="nil"/>
              <w:left w:val="nil"/>
              <w:bottom w:val="nil"/>
              <w:right w:val="nil"/>
            </w:tcBorders>
            <w:noWrap/>
            <w:vAlign w:val="bottom"/>
            <w:hideMark/>
          </w:tcPr>
          <w:p w:rsidR="00A17CDF" w:rsidRPr="00A955AF" w:rsidP="006C5B65" w14:paraId="09781211"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Ministerstvo životního prostředí ČR</w:t>
            </w:r>
          </w:p>
        </w:tc>
      </w:tr>
      <w:tr w14:paraId="3C37B8FD"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88AFB75"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NAPDZ</w:t>
            </w:r>
          </w:p>
        </w:tc>
        <w:tc>
          <w:tcPr>
            <w:tcW w:w="9717" w:type="dxa"/>
            <w:tcBorders>
              <w:top w:val="nil"/>
              <w:left w:val="nil"/>
              <w:bottom w:val="nil"/>
              <w:right w:val="nil"/>
            </w:tcBorders>
            <w:noWrap/>
            <w:vAlign w:val="bottom"/>
            <w:hideMark/>
          </w:tcPr>
          <w:p w:rsidR="00A17CDF" w:rsidRPr="00A955AF" w:rsidP="006C5B65" w14:paraId="46DD8B59"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Národní akční plán pro duševní zdraví</w:t>
            </w:r>
          </w:p>
        </w:tc>
      </w:tr>
      <w:tr w14:paraId="256F1206"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40C08BB7"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NCO NZO</w:t>
            </w:r>
          </w:p>
        </w:tc>
        <w:tc>
          <w:tcPr>
            <w:tcW w:w="9717" w:type="dxa"/>
            <w:tcBorders>
              <w:top w:val="nil"/>
              <w:left w:val="nil"/>
              <w:bottom w:val="nil"/>
              <w:right w:val="nil"/>
            </w:tcBorders>
            <w:noWrap/>
            <w:vAlign w:val="bottom"/>
            <w:hideMark/>
          </w:tcPr>
          <w:p w:rsidR="00A17CDF" w:rsidRPr="00A955AF" w:rsidP="006C5B65" w14:paraId="35BCC219"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 xml:space="preserve">Národní centrum ošetřovatelství a nelékařských zdravotnických oborů </w:t>
            </w:r>
          </w:p>
        </w:tc>
      </w:tr>
      <w:tr w14:paraId="3B165EEF"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4F646E" w:rsidRPr="00A955AF" w:rsidP="006C5B65" w14:paraId="322BF5D4" w14:textId="4575BC5B">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NNO</w:t>
            </w:r>
          </w:p>
        </w:tc>
        <w:tc>
          <w:tcPr>
            <w:tcW w:w="9717" w:type="dxa"/>
            <w:tcBorders>
              <w:top w:val="nil"/>
              <w:left w:val="nil"/>
              <w:bottom w:val="nil"/>
              <w:right w:val="nil"/>
            </w:tcBorders>
            <w:noWrap/>
            <w:vAlign w:val="bottom"/>
          </w:tcPr>
          <w:p w:rsidR="004F646E" w:rsidRPr="00A955AF" w:rsidP="006C5B65" w14:paraId="5B82918B" w14:textId="3BAA1F35">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Nestátní neziskové organizace</w:t>
            </w:r>
          </w:p>
        </w:tc>
      </w:tr>
      <w:tr w14:paraId="591137C6"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1133AF6" w14:textId="7D070437">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S</w:t>
            </w:r>
            <w:r w:rsidRPr="00A955AF">
              <w:rPr>
                <w:rFonts w:ascii="Calibri" w:eastAsia="Times New Roman" w:hAnsi="Calibri" w:cs="Times New Roman"/>
                <w:color w:val="000000"/>
                <w:szCs w:val="22"/>
                <w:lang w:eastAsia="cs-CZ"/>
              </w:rPr>
              <w:t>E</w:t>
            </w:r>
          </w:p>
        </w:tc>
        <w:tc>
          <w:tcPr>
            <w:tcW w:w="9717" w:type="dxa"/>
            <w:tcBorders>
              <w:top w:val="nil"/>
              <w:left w:val="nil"/>
              <w:bottom w:val="nil"/>
              <w:right w:val="nil"/>
            </w:tcBorders>
            <w:noWrap/>
            <w:vAlign w:val="bottom"/>
            <w:hideMark/>
          </w:tcPr>
          <w:p w:rsidR="00A17CDF" w:rsidRPr="00A955AF" w:rsidP="006C5B65" w14:paraId="49C9AD7C" w14:textId="22A9CA62">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Sekce ekonomik</w:t>
            </w:r>
            <w:r w:rsidR="00674161">
              <w:rPr>
                <w:rFonts w:ascii="Calibri" w:eastAsia="Times New Roman" w:hAnsi="Calibri" w:cs="Times New Roman"/>
                <w:color w:val="000000"/>
                <w:szCs w:val="22"/>
                <w:lang w:eastAsia="cs-CZ"/>
              </w:rPr>
              <w:t>y a zdravotního pojištění Ministerstva zdravotnictví</w:t>
            </w:r>
          </w:p>
        </w:tc>
      </w:tr>
      <w:tr w14:paraId="32AE9F71"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4959CF2"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NRZP</w:t>
            </w:r>
          </w:p>
        </w:tc>
        <w:tc>
          <w:tcPr>
            <w:tcW w:w="9717" w:type="dxa"/>
            <w:tcBorders>
              <w:top w:val="nil"/>
              <w:left w:val="nil"/>
              <w:bottom w:val="nil"/>
              <w:right w:val="nil"/>
            </w:tcBorders>
            <w:noWrap/>
            <w:vAlign w:val="bottom"/>
            <w:hideMark/>
          </w:tcPr>
          <w:p w:rsidR="00A17CDF" w:rsidRPr="00A955AF" w:rsidP="006C5B65" w14:paraId="7AB2A69C"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Národní registr zdravotnických pracovníků</w:t>
            </w:r>
          </w:p>
        </w:tc>
      </w:tr>
      <w:tr w14:paraId="35B38619"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702773C3"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NSEZ</w:t>
            </w:r>
          </w:p>
        </w:tc>
        <w:tc>
          <w:tcPr>
            <w:tcW w:w="9717" w:type="dxa"/>
            <w:tcBorders>
              <w:top w:val="nil"/>
              <w:left w:val="nil"/>
              <w:bottom w:val="nil"/>
              <w:right w:val="nil"/>
            </w:tcBorders>
            <w:noWrap/>
            <w:vAlign w:val="bottom"/>
            <w:hideMark/>
          </w:tcPr>
          <w:p w:rsidR="00A17CDF" w:rsidRPr="00A955AF" w:rsidP="006C5B65" w14:paraId="3490E525"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Národní strategie elektronického zdravotnictví</w:t>
            </w:r>
          </w:p>
        </w:tc>
      </w:tr>
      <w:tr w14:paraId="250BBF36"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432C35C3" w14:textId="0F40BC32">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S</w:t>
            </w:r>
            <w:r w:rsidRPr="00A955AF">
              <w:rPr>
                <w:rFonts w:ascii="Calibri" w:eastAsia="Times New Roman" w:hAnsi="Calibri" w:cs="Times New Roman"/>
                <w:color w:val="000000"/>
                <w:szCs w:val="22"/>
                <w:lang w:eastAsia="cs-CZ"/>
              </w:rPr>
              <w:t>Z</w:t>
            </w:r>
          </w:p>
        </w:tc>
        <w:tc>
          <w:tcPr>
            <w:tcW w:w="9717" w:type="dxa"/>
            <w:tcBorders>
              <w:top w:val="nil"/>
              <w:left w:val="nil"/>
              <w:bottom w:val="nil"/>
              <w:right w:val="nil"/>
            </w:tcBorders>
            <w:noWrap/>
            <w:vAlign w:val="bottom"/>
            <w:hideMark/>
          </w:tcPr>
          <w:p w:rsidR="00A17CDF" w:rsidRPr="00A955AF" w:rsidP="006C5B65" w14:paraId="12175B06" w14:textId="70F317DE">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Sekce zdravotní péč</w:t>
            </w:r>
            <w:r w:rsidR="00674161">
              <w:rPr>
                <w:rFonts w:ascii="Calibri" w:eastAsia="Times New Roman" w:hAnsi="Calibri" w:cs="Times New Roman"/>
                <w:color w:val="000000"/>
                <w:szCs w:val="22"/>
                <w:lang w:eastAsia="cs-CZ"/>
              </w:rPr>
              <w:t>e M</w:t>
            </w:r>
            <w:r w:rsidRPr="00A955AF" w:rsidR="00674161">
              <w:rPr>
                <w:rFonts w:ascii="Calibri" w:eastAsia="Times New Roman" w:hAnsi="Calibri" w:cs="Times New Roman"/>
                <w:color w:val="000000"/>
                <w:szCs w:val="22"/>
                <w:lang w:eastAsia="cs-CZ"/>
              </w:rPr>
              <w:t xml:space="preserve">inisterstva zdravotnictví </w:t>
            </w:r>
          </w:p>
        </w:tc>
      </w:tr>
      <w:tr w14:paraId="6E5D13E9"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4EB33FC7"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NZIS</w:t>
            </w:r>
          </w:p>
        </w:tc>
        <w:tc>
          <w:tcPr>
            <w:tcW w:w="9717" w:type="dxa"/>
            <w:tcBorders>
              <w:top w:val="nil"/>
              <w:left w:val="nil"/>
              <w:bottom w:val="nil"/>
              <w:right w:val="nil"/>
            </w:tcBorders>
            <w:noWrap/>
            <w:vAlign w:val="bottom"/>
            <w:hideMark/>
          </w:tcPr>
          <w:p w:rsidR="00A17CDF" w:rsidRPr="00A955AF" w:rsidP="006C5B65" w14:paraId="4DA281DF"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Národní zdravotnický informační systém</w:t>
            </w:r>
          </w:p>
        </w:tc>
      </w:tr>
      <w:tr w14:paraId="7A5F2D0A"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3D1D1E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OECD</w:t>
            </w:r>
          </w:p>
        </w:tc>
        <w:tc>
          <w:tcPr>
            <w:tcW w:w="9717" w:type="dxa"/>
            <w:tcBorders>
              <w:top w:val="nil"/>
              <w:left w:val="nil"/>
              <w:bottom w:val="nil"/>
              <w:right w:val="nil"/>
            </w:tcBorders>
            <w:noWrap/>
            <w:vAlign w:val="bottom"/>
            <w:hideMark/>
          </w:tcPr>
          <w:p w:rsidR="00A17CDF" w:rsidRPr="00A955AF" w:rsidP="006C5B65" w14:paraId="79ACEF24" w14:textId="77777777">
            <w:pPr>
              <w:spacing w:before="0" w:after="0"/>
              <w:jc w:val="left"/>
              <w:rPr>
                <w:rFonts w:ascii="Calibri" w:eastAsia="Times New Roman" w:hAnsi="Calibri" w:cs="Times New Roman"/>
                <w:color w:val="auto"/>
                <w:szCs w:val="22"/>
                <w:lang w:eastAsia="cs-CZ"/>
              </w:rPr>
            </w:pPr>
            <w:r w:rsidRPr="00A955AF">
              <w:rPr>
                <w:rFonts w:ascii="Calibri" w:eastAsia="Times New Roman" w:hAnsi="Calibri" w:cs="Times New Roman"/>
                <w:color w:val="auto"/>
                <w:szCs w:val="22"/>
                <w:lang w:eastAsia="cs-CZ"/>
              </w:rPr>
              <w:t>Organizace pro ekonomickou spolupráci a rozvoj</w:t>
            </w:r>
          </w:p>
        </w:tc>
      </w:tr>
      <w:tr w14:paraId="60EBE05A"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04FC74E"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OSN</w:t>
            </w:r>
          </w:p>
        </w:tc>
        <w:tc>
          <w:tcPr>
            <w:tcW w:w="9717" w:type="dxa"/>
            <w:tcBorders>
              <w:top w:val="nil"/>
              <w:left w:val="nil"/>
              <w:bottom w:val="nil"/>
              <w:right w:val="nil"/>
            </w:tcBorders>
            <w:noWrap/>
            <w:vAlign w:val="bottom"/>
            <w:hideMark/>
          </w:tcPr>
          <w:p w:rsidR="00A17CDF" w:rsidRPr="00A955AF" w:rsidP="006C5B65" w14:paraId="7F9DB9BF" w14:textId="77777777">
            <w:pPr>
              <w:spacing w:before="0" w:after="0"/>
              <w:jc w:val="left"/>
              <w:rPr>
                <w:rFonts w:ascii="Calibri" w:eastAsia="Times New Roman" w:hAnsi="Calibri" w:cs="Times New Roman"/>
                <w:color w:val="auto"/>
                <w:szCs w:val="22"/>
                <w:lang w:eastAsia="cs-CZ"/>
              </w:rPr>
            </w:pPr>
            <w:r w:rsidRPr="00A955AF">
              <w:rPr>
                <w:rFonts w:ascii="Calibri" w:eastAsia="Times New Roman" w:hAnsi="Calibri" w:cs="Times New Roman"/>
                <w:color w:val="auto"/>
                <w:szCs w:val="22"/>
                <w:lang w:eastAsia="cs-CZ"/>
              </w:rPr>
              <w:t>Organizace spojených národů</w:t>
            </w:r>
          </w:p>
        </w:tc>
      </w:tr>
      <w:tr w14:paraId="4B208A62"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540AC239"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PLDD</w:t>
            </w:r>
          </w:p>
        </w:tc>
        <w:tc>
          <w:tcPr>
            <w:tcW w:w="9717" w:type="dxa"/>
            <w:tcBorders>
              <w:top w:val="nil"/>
              <w:left w:val="nil"/>
              <w:bottom w:val="nil"/>
              <w:right w:val="nil"/>
            </w:tcBorders>
            <w:noWrap/>
            <w:vAlign w:val="bottom"/>
            <w:hideMark/>
          </w:tcPr>
          <w:p w:rsidR="00A17CDF" w:rsidRPr="00A955AF" w:rsidP="006C5B65" w14:paraId="3BC9E344"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Praktický lékař pro děti a dorost</w:t>
            </w:r>
          </w:p>
        </w:tc>
      </w:tr>
      <w:tr w14:paraId="01C2533F"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A69B3E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SDGs</w:t>
            </w:r>
          </w:p>
        </w:tc>
        <w:tc>
          <w:tcPr>
            <w:tcW w:w="9717" w:type="dxa"/>
            <w:tcBorders>
              <w:top w:val="nil"/>
              <w:left w:val="nil"/>
              <w:bottom w:val="nil"/>
              <w:right w:val="nil"/>
            </w:tcBorders>
            <w:noWrap/>
            <w:vAlign w:val="bottom"/>
            <w:hideMark/>
          </w:tcPr>
          <w:p w:rsidR="00A17CDF" w:rsidRPr="00A955AF" w:rsidP="006C5B65" w14:paraId="0427B11D"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Sustainable Development Goals, cíle udržitelného rozvoje OSN</w:t>
            </w:r>
          </w:p>
        </w:tc>
      </w:tr>
      <w:tr w14:paraId="3808480D"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70043B9"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SÚKL</w:t>
            </w:r>
          </w:p>
        </w:tc>
        <w:tc>
          <w:tcPr>
            <w:tcW w:w="9717" w:type="dxa"/>
            <w:tcBorders>
              <w:top w:val="nil"/>
              <w:left w:val="nil"/>
              <w:bottom w:val="nil"/>
              <w:right w:val="nil"/>
            </w:tcBorders>
            <w:noWrap/>
            <w:vAlign w:val="bottom"/>
            <w:hideMark/>
          </w:tcPr>
          <w:p w:rsidR="00A17CDF" w:rsidRPr="00A955AF" w:rsidP="006C5B65" w14:paraId="0032CDA8"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Státní ústav pro kontrolu léčiv ČR</w:t>
            </w:r>
          </w:p>
        </w:tc>
      </w:tr>
      <w:tr w14:paraId="541D7310"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30C0E009"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SZÚ</w:t>
            </w:r>
          </w:p>
        </w:tc>
        <w:tc>
          <w:tcPr>
            <w:tcW w:w="9717" w:type="dxa"/>
            <w:tcBorders>
              <w:top w:val="nil"/>
              <w:left w:val="nil"/>
              <w:bottom w:val="nil"/>
              <w:right w:val="nil"/>
            </w:tcBorders>
            <w:noWrap/>
            <w:vAlign w:val="bottom"/>
            <w:hideMark/>
          </w:tcPr>
          <w:p w:rsidR="00A17CDF" w:rsidRPr="00A955AF" w:rsidP="006C5B65" w14:paraId="725F7BCE"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Státní zdravotní ústav ČR</w:t>
            </w:r>
          </w:p>
        </w:tc>
      </w:tr>
      <w:tr w14:paraId="0B06304A"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4D2910" w:rsidRPr="00A955AF" w:rsidP="006C5B65" w14:paraId="339969E3" w14:textId="6D099150">
            <w:pPr>
              <w:spacing w:before="0" w:after="0"/>
              <w:jc w:val="left"/>
              <w:rPr>
                <w:rFonts w:ascii="Calibri" w:eastAsia="Times New Roman" w:hAnsi="Calibri" w:cs="Times New Roman"/>
                <w:color w:val="000000"/>
                <w:szCs w:val="22"/>
                <w:lang w:eastAsia="cs-CZ"/>
              </w:rPr>
            </w:pPr>
            <w:r>
              <w:rPr>
                <w:rFonts w:cs="Arial"/>
                <w:sz w:val="18"/>
                <w:szCs w:val="18"/>
                <w:lang w:eastAsia="cs-CZ"/>
              </w:rPr>
              <w:t>ÚSKVBL</w:t>
            </w:r>
          </w:p>
        </w:tc>
        <w:tc>
          <w:tcPr>
            <w:tcW w:w="9717" w:type="dxa"/>
            <w:tcBorders>
              <w:top w:val="nil"/>
              <w:left w:val="nil"/>
              <w:bottom w:val="nil"/>
              <w:right w:val="nil"/>
            </w:tcBorders>
            <w:noWrap/>
            <w:vAlign w:val="bottom"/>
          </w:tcPr>
          <w:p w:rsidR="004D2910" w:rsidRPr="00A955AF" w:rsidP="006C5B65" w14:paraId="1F7FF5D2" w14:textId="0AA24049">
            <w:pPr>
              <w:spacing w:before="0" w:after="0"/>
              <w:jc w:val="left"/>
              <w:rPr>
                <w:rFonts w:ascii="Calibri" w:eastAsia="Times New Roman" w:hAnsi="Calibri" w:cs="Times New Roman"/>
                <w:color w:val="000000"/>
                <w:szCs w:val="22"/>
                <w:lang w:eastAsia="cs-CZ"/>
              </w:rPr>
            </w:pPr>
            <w:r w:rsidRPr="004D2910">
              <w:rPr>
                <w:rFonts w:ascii="Calibri" w:eastAsia="Times New Roman" w:hAnsi="Calibri" w:cs="Times New Roman"/>
                <w:color w:val="000000"/>
                <w:szCs w:val="22"/>
                <w:lang w:eastAsia="cs-CZ"/>
              </w:rPr>
              <w:t>Ústav pro státní kontrolu veterinárních biopreparátů a léčiv</w:t>
            </w:r>
          </w:p>
        </w:tc>
      </w:tr>
      <w:tr w14:paraId="66EC72B0"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08D415F1"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ÚV</w:t>
            </w:r>
          </w:p>
        </w:tc>
        <w:tc>
          <w:tcPr>
            <w:tcW w:w="9717" w:type="dxa"/>
            <w:tcBorders>
              <w:top w:val="nil"/>
              <w:left w:val="nil"/>
              <w:bottom w:val="nil"/>
              <w:right w:val="nil"/>
            </w:tcBorders>
            <w:noWrap/>
            <w:vAlign w:val="bottom"/>
            <w:hideMark/>
          </w:tcPr>
          <w:p w:rsidR="00A17CDF" w:rsidRPr="00A955AF" w:rsidP="006C5B65" w14:paraId="4B5A6BF5"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Úřad vlády ČR</w:t>
            </w:r>
          </w:p>
        </w:tc>
      </w:tr>
      <w:tr w14:paraId="5C881286"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17F8BE3B"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ÚZIS</w:t>
            </w:r>
          </w:p>
        </w:tc>
        <w:tc>
          <w:tcPr>
            <w:tcW w:w="9717" w:type="dxa"/>
            <w:tcBorders>
              <w:top w:val="nil"/>
              <w:left w:val="nil"/>
              <w:bottom w:val="nil"/>
              <w:right w:val="nil"/>
            </w:tcBorders>
            <w:noWrap/>
            <w:vAlign w:val="bottom"/>
            <w:hideMark/>
          </w:tcPr>
          <w:p w:rsidR="00A17CDF" w:rsidRPr="00A955AF" w:rsidP="006C5B65" w14:paraId="3CA68D5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Ústav zdravotnických informací a statistiky ČR</w:t>
            </w:r>
          </w:p>
        </w:tc>
      </w:tr>
      <w:tr w14:paraId="5415FA35"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6B3B7E10"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VPL</w:t>
            </w:r>
          </w:p>
        </w:tc>
        <w:tc>
          <w:tcPr>
            <w:tcW w:w="9717" w:type="dxa"/>
            <w:tcBorders>
              <w:top w:val="nil"/>
              <w:left w:val="nil"/>
              <w:bottom w:val="nil"/>
              <w:right w:val="nil"/>
            </w:tcBorders>
            <w:noWrap/>
            <w:vAlign w:val="bottom"/>
            <w:hideMark/>
          </w:tcPr>
          <w:p w:rsidR="00A17CDF" w:rsidRPr="00A955AF" w:rsidP="006C5B65" w14:paraId="64600E6B" w14:textId="3800AEB4">
            <w:pPr>
              <w:spacing w:before="0" w:after="0"/>
              <w:jc w:val="left"/>
              <w:rPr>
                <w:rFonts w:ascii="Calibri" w:eastAsia="Times New Roman" w:hAnsi="Calibri" w:cs="Times New Roman"/>
                <w:color w:val="000000"/>
                <w:szCs w:val="22"/>
                <w:lang w:eastAsia="cs-CZ"/>
              </w:rPr>
            </w:pPr>
            <w:r>
              <w:rPr>
                <w:rFonts w:ascii="Calibri" w:eastAsia="Times New Roman" w:hAnsi="Calibri" w:cs="Times New Roman"/>
                <w:color w:val="000000"/>
                <w:szCs w:val="22"/>
                <w:lang w:eastAsia="cs-CZ"/>
              </w:rPr>
              <w:t>V</w:t>
            </w:r>
            <w:r w:rsidRPr="00A955AF">
              <w:rPr>
                <w:rFonts w:ascii="Calibri" w:eastAsia="Times New Roman" w:hAnsi="Calibri" w:cs="Times New Roman"/>
                <w:color w:val="000000"/>
                <w:szCs w:val="22"/>
                <w:lang w:eastAsia="cs-CZ"/>
              </w:rPr>
              <w:t xml:space="preserve">šeobecný </w:t>
            </w:r>
            <w:r w:rsidRPr="00A955AF">
              <w:rPr>
                <w:rFonts w:ascii="Calibri" w:eastAsia="Times New Roman" w:hAnsi="Calibri" w:cs="Times New Roman"/>
                <w:color w:val="000000"/>
                <w:szCs w:val="22"/>
                <w:lang w:eastAsia="cs-CZ"/>
              </w:rPr>
              <w:t>praktický lékař</w:t>
            </w:r>
          </w:p>
        </w:tc>
      </w:tr>
      <w:tr w14:paraId="6CE18B35"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6A2CAD33"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WHO</w:t>
            </w:r>
          </w:p>
        </w:tc>
        <w:tc>
          <w:tcPr>
            <w:tcW w:w="9717" w:type="dxa"/>
            <w:tcBorders>
              <w:top w:val="nil"/>
              <w:left w:val="nil"/>
              <w:bottom w:val="nil"/>
              <w:right w:val="nil"/>
            </w:tcBorders>
            <w:noWrap/>
            <w:vAlign w:val="bottom"/>
            <w:hideMark/>
          </w:tcPr>
          <w:p w:rsidR="00A17CDF" w:rsidRPr="00A955AF" w:rsidP="006C5B65" w14:paraId="4EFD7796"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World Health Organization, Světová zdravotnická organizace</w:t>
            </w:r>
          </w:p>
        </w:tc>
      </w:tr>
      <w:tr w14:paraId="183C14FB" w14:textId="77777777" w:rsidTr="00624D72">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hideMark/>
          </w:tcPr>
          <w:p w:rsidR="00A17CDF" w:rsidRPr="00A955AF" w:rsidP="006C5B65" w14:paraId="23A668AA"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ZN</w:t>
            </w:r>
          </w:p>
        </w:tc>
        <w:tc>
          <w:tcPr>
            <w:tcW w:w="9717" w:type="dxa"/>
            <w:tcBorders>
              <w:top w:val="nil"/>
              <w:left w:val="nil"/>
              <w:bottom w:val="nil"/>
              <w:right w:val="nil"/>
            </w:tcBorders>
            <w:noWrap/>
            <w:vAlign w:val="bottom"/>
            <w:hideMark/>
          </w:tcPr>
          <w:p w:rsidR="00A17CDF" w:rsidRPr="00A955AF" w:rsidP="006C5B65" w14:paraId="420A17B3" w14:textId="77777777">
            <w:pPr>
              <w:spacing w:before="0" w:after="0"/>
              <w:jc w:val="left"/>
              <w:rPr>
                <w:rFonts w:ascii="Calibri" w:eastAsia="Times New Roman" w:hAnsi="Calibri" w:cs="Times New Roman"/>
                <w:color w:val="000000"/>
                <w:szCs w:val="22"/>
                <w:lang w:eastAsia="cs-CZ"/>
              </w:rPr>
            </w:pPr>
            <w:r w:rsidRPr="00A955AF">
              <w:rPr>
                <w:rFonts w:ascii="Calibri" w:eastAsia="Times New Roman" w:hAnsi="Calibri" w:cs="Times New Roman"/>
                <w:color w:val="000000"/>
                <w:szCs w:val="22"/>
                <w:lang w:eastAsia="cs-CZ"/>
              </w:rPr>
              <w:t>Zhoubné nádory</w:t>
            </w:r>
          </w:p>
        </w:tc>
      </w:tr>
      <w:tr w14:paraId="5C549D88"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4F0005BD" w14:textId="4CC8BDCC">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NOPL ČR 2030</w:t>
            </w:r>
          </w:p>
        </w:tc>
        <w:tc>
          <w:tcPr>
            <w:tcW w:w="9717" w:type="dxa"/>
            <w:tcBorders>
              <w:top w:val="nil"/>
              <w:left w:val="nil"/>
              <w:bottom w:val="nil"/>
              <w:right w:val="nil"/>
            </w:tcBorders>
            <w:noWrap/>
          </w:tcPr>
          <w:p w:rsidR="005F5FC5" w:rsidRPr="00A955AF" w:rsidP="005F5FC5" w14:paraId="4EE9043E" w14:textId="02A51C79">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Národní onkologický plán České republiky 2030</w:t>
            </w:r>
          </w:p>
        </w:tc>
      </w:tr>
      <w:tr w14:paraId="32E42E82"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25CA6582" w14:textId="60C547AE">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AZV ČR</w:t>
            </w:r>
          </w:p>
        </w:tc>
        <w:tc>
          <w:tcPr>
            <w:tcW w:w="9717" w:type="dxa"/>
            <w:tcBorders>
              <w:top w:val="nil"/>
              <w:left w:val="nil"/>
              <w:bottom w:val="nil"/>
              <w:right w:val="nil"/>
            </w:tcBorders>
            <w:noWrap/>
          </w:tcPr>
          <w:p w:rsidR="005F5FC5" w:rsidRPr="00A955AF" w:rsidP="005F5FC5" w14:paraId="60A4F1FC" w14:textId="41161193">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 xml:space="preserve">Akademie zdravotnických věd České republiky </w:t>
            </w:r>
          </w:p>
        </w:tc>
      </w:tr>
      <w:tr w14:paraId="0652D8AE"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5639BA04" w14:textId="3CAD8F0E">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KOC</w:t>
            </w:r>
          </w:p>
        </w:tc>
        <w:tc>
          <w:tcPr>
            <w:tcW w:w="9717" w:type="dxa"/>
            <w:tcBorders>
              <w:top w:val="nil"/>
              <w:left w:val="nil"/>
              <w:bottom w:val="nil"/>
              <w:right w:val="nil"/>
            </w:tcBorders>
            <w:noWrap/>
          </w:tcPr>
          <w:p w:rsidR="005F5FC5" w:rsidRPr="00A955AF" w:rsidP="005F5FC5" w14:paraId="7FA2097C" w14:textId="6DCEE648">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Komplexní onkologická centra</w:t>
            </w:r>
          </w:p>
        </w:tc>
      </w:tr>
      <w:tr w14:paraId="07AC8428"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59CC6AFD" w14:textId="66DB3B4C">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MOÚ</w:t>
            </w:r>
          </w:p>
        </w:tc>
        <w:tc>
          <w:tcPr>
            <w:tcW w:w="9717" w:type="dxa"/>
            <w:tcBorders>
              <w:top w:val="nil"/>
              <w:left w:val="nil"/>
              <w:bottom w:val="nil"/>
              <w:right w:val="nil"/>
            </w:tcBorders>
            <w:noWrap/>
          </w:tcPr>
          <w:p w:rsidR="005F5FC5" w:rsidRPr="00A955AF" w:rsidP="005F5FC5" w14:paraId="1231483A" w14:textId="6099EEED">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 xml:space="preserve">Masarykův onkologický ústav </w:t>
            </w:r>
          </w:p>
        </w:tc>
      </w:tr>
      <w:tr w14:paraId="6ADEBB8F"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2357AC66" w14:textId="2553488E">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NPO</w:t>
            </w:r>
          </w:p>
        </w:tc>
        <w:tc>
          <w:tcPr>
            <w:tcW w:w="9717" w:type="dxa"/>
            <w:tcBorders>
              <w:top w:val="nil"/>
              <w:left w:val="nil"/>
              <w:bottom w:val="nil"/>
              <w:right w:val="nil"/>
            </w:tcBorders>
            <w:noWrap/>
          </w:tcPr>
          <w:p w:rsidR="005F5FC5" w:rsidRPr="00A955AF" w:rsidP="005F5FC5" w14:paraId="757D8185" w14:textId="2036AAAE">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Národní plán obnovy</w:t>
            </w:r>
          </w:p>
        </w:tc>
      </w:tr>
      <w:tr w14:paraId="2DC1BAF5"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2E800C26" w14:textId="271F3948">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HOC</w:t>
            </w:r>
          </w:p>
        </w:tc>
        <w:tc>
          <w:tcPr>
            <w:tcW w:w="9717" w:type="dxa"/>
            <w:tcBorders>
              <w:top w:val="nil"/>
              <w:left w:val="nil"/>
              <w:bottom w:val="nil"/>
              <w:right w:val="nil"/>
            </w:tcBorders>
            <w:noWrap/>
          </w:tcPr>
          <w:p w:rsidR="005F5FC5" w:rsidRPr="00A955AF" w:rsidP="005F5FC5" w14:paraId="015ED298" w14:textId="34BDADE7">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Hematoonkologická centra</w:t>
            </w:r>
          </w:p>
        </w:tc>
      </w:tr>
      <w:tr w14:paraId="00EAA554"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4D1B77E1" w14:textId="5F7E41C4">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ROS</w:t>
            </w:r>
          </w:p>
        </w:tc>
        <w:tc>
          <w:tcPr>
            <w:tcW w:w="9717" w:type="dxa"/>
            <w:tcBorders>
              <w:top w:val="nil"/>
              <w:left w:val="nil"/>
              <w:bottom w:val="nil"/>
              <w:right w:val="nil"/>
            </w:tcBorders>
            <w:noWrap/>
          </w:tcPr>
          <w:p w:rsidR="005F5FC5" w:rsidRPr="00A955AF" w:rsidP="005F5FC5" w14:paraId="31D2D964" w14:textId="75A26F0E">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 xml:space="preserve">Regionální onkologické skupiny </w:t>
            </w:r>
          </w:p>
        </w:tc>
      </w:tr>
      <w:tr w14:paraId="767A5DBD"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2478DC1C" w14:textId="6283F83B">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MSPP</w:t>
            </w:r>
          </w:p>
        </w:tc>
        <w:tc>
          <w:tcPr>
            <w:tcW w:w="9717" w:type="dxa"/>
            <w:tcBorders>
              <w:top w:val="nil"/>
              <w:left w:val="nil"/>
              <w:bottom w:val="nil"/>
              <w:right w:val="nil"/>
            </w:tcBorders>
            <w:noWrap/>
          </w:tcPr>
          <w:p w:rsidR="005F5FC5" w:rsidRPr="00A955AF" w:rsidP="005F5FC5" w14:paraId="4BA0E4E7" w14:textId="1DF84D1D">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 xml:space="preserve">Mobilní specializovaná paliativní péče </w:t>
            </w:r>
          </w:p>
        </w:tc>
      </w:tr>
      <w:tr w14:paraId="3776FEA0" w14:textId="77777777" w:rsidTr="0070747B">
        <w:tblPrEx>
          <w:tblW w:w="11557" w:type="dxa"/>
          <w:tblInd w:w="55" w:type="dxa"/>
          <w:tblCellMar>
            <w:left w:w="70" w:type="dxa"/>
            <w:right w:w="70" w:type="dxa"/>
          </w:tblCellMar>
          <w:tblLook w:val="04A0"/>
        </w:tblPrEx>
        <w:trPr>
          <w:trHeight w:val="300"/>
        </w:trPr>
        <w:tc>
          <w:tcPr>
            <w:tcW w:w="1840" w:type="dxa"/>
            <w:tcBorders>
              <w:top w:val="nil"/>
              <w:left w:val="nil"/>
              <w:bottom w:val="nil"/>
              <w:right w:val="nil"/>
            </w:tcBorders>
            <w:noWrap/>
            <w:vAlign w:val="bottom"/>
          </w:tcPr>
          <w:p w:rsidR="005F5FC5" w:rsidRPr="00A955AF" w:rsidP="005F5FC5" w14:paraId="6BFAFBDF" w14:textId="2B2D6859">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KTPP</w:t>
            </w:r>
          </w:p>
        </w:tc>
        <w:tc>
          <w:tcPr>
            <w:tcW w:w="9717" w:type="dxa"/>
            <w:tcBorders>
              <w:top w:val="nil"/>
              <w:left w:val="nil"/>
              <w:bottom w:val="nil"/>
              <w:right w:val="nil"/>
            </w:tcBorders>
            <w:noWrap/>
          </w:tcPr>
          <w:p w:rsidR="005F5FC5" w:rsidRPr="00A955AF" w:rsidP="005F5FC5" w14:paraId="169D9C04" w14:textId="4A79F21C">
            <w:pPr>
              <w:spacing w:before="0" w:after="0"/>
              <w:jc w:val="left"/>
              <w:rPr>
                <w:rFonts w:ascii="Calibri" w:eastAsia="Times New Roman" w:hAnsi="Calibri" w:cs="Times New Roman"/>
                <w:color w:val="000000"/>
                <w:szCs w:val="22"/>
                <w:lang w:eastAsia="cs-CZ"/>
              </w:rPr>
            </w:pPr>
            <w:r w:rsidRPr="006E4898">
              <w:rPr>
                <w:rFonts w:ascii="Arial" w:hAnsi="Arial" w:cs="Arial"/>
                <w:sz w:val="20"/>
                <w:szCs w:val="20"/>
              </w:rPr>
              <w:t>Konziliární tým paliativní péče</w:t>
            </w:r>
          </w:p>
        </w:tc>
      </w:tr>
    </w:tbl>
    <w:p w:rsidR="00067D70" w:rsidRPr="00A955AF" w:rsidP="009403A5" w14:paraId="458A030B" w14:textId="556633E4">
      <w:pPr>
        <w:pStyle w:val="Bntext"/>
        <w:tabs>
          <w:tab w:val="left" w:pos="7086"/>
        </w:tabs>
        <w:ind w:firstLine="0"/>
        <w:rPr>
          <w:rFonts w:ascii="Arial" w:hAnsi="Arial" w:cs="Arial"/>
          <w:sz w:val="20"/>
          <w:szCs w:val="20"/>
          <w:lang w:val="cs-CZ"/>
        </w:rPr>
      </w:pPr>
      <w:r w:rsidRPr="00A955AF">
        <w:rPr>
          <w:rFonts w:ascii="Arial" w:hAnsi="Arial" w:cs="Arial"/>
          <w:sz w:val="20"/>
          <w:szCs w:val="20"/>
          <w:lang w:val="cs-CZ"/>
        </w:rPr>
        <w:tab/>
      </w:r>
    </w:p>
    <w:p w:rsidR="006D0F73" w:rsidP="00163C98" w14:paraId="1D471234" w14:textId="2F399B59">
      <w:pPr>
        <w:spacing w:before="0" w:line="264" w:lineRule="auto"/>
        <w:jc w:val="left"/>
        <w:rPr>
          <w:rFonts w:ascii="Calibri" w:hAnsi="Calibri"/>
          <w:b/>
          <w:bCs/>
          <w:color w:val="4F81BD" w:themeColor="accent1"/>
          <w:sz w:val="28"/>
          <w:szCs w:val="22"/>
        </w:rPr>
      </w:pPr>
      <w:r>
        <w:rPr>
          <w:rFonts w:ascii="Calibri" w:hAnsi="Calibri"/>
          <w:b/>
          <w:bCs/>
          <w:color w:val="4F81BD" w:themeColor="accent1"/>
          <w:sz w:val="28"/>
          <w:szCs w:val="22"/>
        </w:rPr>
        <w:t>Seznam tabulek</w:t>
      </w:r>
    </w:p>
    <w:p w14:paraId="31885F61" w14:textId="39321AEF">
      <w:pPr>
        <w:pStyle w:val="TableofFigures"/>
        <w:tabs>
          <w:tab w:val="right" w:leader="dot" w:pos="9062"/>
        </w:tabs>
        <w:rPr>
          <w:rFonts w:asciiTheme="minorHAnsi" w:hAnsiTheme="minorHAnsi"/>
          <w:noProof/>
          <w:sz w:val="22"/>
        </w:rPr>
      </w:pPr>
      <w:r>
        <w:rPr>
          <w:szCs w:val="22"/>
        </w:rPr>
        <w:fldChar w:fldCharType="begin"/>
      </w:r>
      <w:r>
        <w:rPr>
          <w:szCs w:val="22"/>
        </w:rPr>
        <w:instrText xml:space="preserve"> TOC \h \z \c "Tabulka" </w:instrText>
      </w:r>
      <w:r>
        <w:rPr>
          <w:szCs w:val="22"/>
        </w:rPr>
        <w:fldChar w:fldCharType="separate"/>
      </w:r>
      <w:hyperlink w:anchor="_Toc256000071" w:history="1">
        <w:r>
          <w:rPr>
            <w:rStyle w:val="Hyperlink"/>
          </w:rPr>
          <w:t xml:space="preserve">Tabulka </w:t>
        </w:r>
        <w:r>
          <w:rPr>
            <w:rStyle w:val="Hyperlink"/>
          </w:rPr>
          <w:t>1</w:t>
        </w:r>
        <w:r>
          <w:rPr>
            <w:rStyle w:val="Hyperlink"/>
          </w:rPr>
          <w:t xml:space="preserve"> </w:t>
        </w:r>
        <w:r w:rsidRPr="007A1873">
          <w:rPr>
            <w:rStyle w:val="Hyperlink"/>
          </w:rPr>
          <w:t xml:space="preserve"> Návštěvy Pražské LPS dle krajů bydliště</w:t>
        </w:r>
        <w:r>
          <w:tab/>
        </w:r>
        <w:r>
          <w:fldChar w:fldCharType="begin"/>
        </w:r>
        <w:r>
          <w:instrText xml:space="preserve"> PAGEREF _Toc256000071 \h </w:instrText>
        </w:r>
        <w:r>
          <w:fldChar w:fldCharType="separate"/>
        </w:r>
        <w:r>
          <w:t>42</w:t>
        </w:r>
        <w:r>
          <w:fldChar w:fldCharType="end"/>
        </w:r>
      </w:hyperlink>
    </w:p>
    <w:p>
      <w:pPr>
        <w:pStyle w:val="TableofFigures"/>
        <w:tabs>
          <w:tab w:val="right" w:leader="dot" w:pos="9062"/>
        </w:tabs>
        <w:rPr>
          <w:rFonts w:asciiTheme="minorHAnsi" w:hAnsiTheme="minorHAnsi"/>
          <w:noProof/>
          <w:sz w:val="22"/>
        </w:rPr>
      </w:pPr>
      <w:hyperlink w:anchor="_Toc256000072" w:history="1">
        <w:r w:rsidRPr="0070747B">
          <w:rPr>
            <w:rStyle w:val="Hyperlink"/>
            <w:b/>
            <w:bCs/>
            <w:smallCaps/>
            <w:spacing w:val="6"/>
          </w:rPr>
          <w:t xml:space="preserve">Tabulka </w:t>
        </w:r>
        <w:r w:rsidRPr="0070747B">
          <w:rPr>
            <w:rStyle w:val="Hyperlink"/>
            <w:b/>
            <w:bCs/>
            <w:smallCaps/>
            <w:spacing w:val="6"/>
          </w:rPr>
          <w:t>2</w:t>
        </w:r>
        <w:r w:rsidRPr="0070747B">
          <w:rPr>
            <w:rStyle w:val="Hyperlink"/>
            <w:b/>
            <w:bCs/>
            <w:smallCaps/>
            <w:spacing w:val="6"/>
          </w:rPr>
          <w:t xml:space="preserve"> Harmonogram předkládání zpráv o průběhu realizace</w:t>
        </w:r>
        <w:r>
          <w:tab/>
        </w:r>
        <w:r>
          <w:fldChar w:fldCharType="begin"/>
        </w:r>
        <w:r>
          <w:instrText xml:space="preserve"> PAGEREF _Toc256000072 \h </w:instrText>
        </w:r>
        <w:r>
          <w:fldChar w:fldCharType="separate"/>
        </w:r>
        <w:r>
          <w:t>141</w:t>
        </w:r>
        <w:r>
          <w:fldChar w:fldCharType="end"/>
        </w:r>
      </w:hyperlink>
    </w:p>
    <w:p>
      <w:pPr>
        <w:pStyle w:val="TableofFigures"/>
        <w:tabs>
          <w:tab w:val="right" w:leader="dot" w:pos="9062"/>
        </w:tabs>
        <w:rPr>
          <w:rFonts w:asciiTheme="minorHAnsi" w:hAnsiTheme="minorHAnsi"/>
          <w:noProof/>
          <w:sz w:val="22"/>
        </w:rPr>
      </w:pPr>
      <w:hyperlink w:anchor="_Toc256000073" w:history="1">
        <w:r>
          <w:rPr>
            <w:rStyle w:val="Hyperlink"/>
          </w:rPr>
          <w:t xml:space="preserve">Tabulka </w:t>
        </w:r>
        <w:r>
          <w:rPr>
            <w:rStyle w:val="Hyperlink"/>
          </w:rPr>
          <w:t>3</w:t>
        </w:r>
        <w:r>
          <w:rPr>
            <w:rStyle w:val="Hyperlink"/>
          </w:rPr>
          <w:t xml:space="preserve"> </w:t>
        </w:r>
        <w:r w:rsidRPr="00444CA3">
          <w:rPr>
            <w:rStyle w:val="Hyperlink"/>
          </w:rPr>
          <w:t>Tabulka č. 10 Seznam indikátorů sledovaných na úrovni Strategického rámce ČR 2030</w:t>
        </w:r>
        <w:r>
          <w:tab/>
        </w:r>
        <w:r>
          <w:fldChar w:fldCharType="begin"/>
        </w:r>
        <w:r>
          <w:instrText xml:space="preserve"> PAGEREF _Toc256000073 \h </w:instrText>
        </w:r>
        <w:r>
          <w:fldChar w:fldCharType="separate"/>
        </w:r>
        <w:r>
          <w:t>143</w:t>
        </w:r>
        <w:r>
          <w:fldChar w:fldCharType="end"/>
        </w:r>
      </w:hyperlink>
    </w:p>
    <w:p>
      <w:pPr>
        <w:pStyle w:val="TableofFigures"/>
        <w:tabs>
          <w:tab w:val="right" w:leader="dot" w:pos="9062"/>
        </w:tabs>
        <w:rPr>
          <w:rFonts w:asciiTheme="minorHAnsi" w:hAnsiTheme="minorHAnsi"/>
          <w:noProof/>
          <w:sz w:val="22"/>
        </w:rPr>
      </w:pPr>
      <w:hyperlink w:anchor="_Toc256000074" w:history="1">
        <w:r>
          <w:rPr>
            <w:rStyle w:val="Hyperlink"/>
          </w:rPr>
          <w:t xml:space="preserve">Tabulka </w:t>
        </w:r>
        <w:r>
          <w:rPr>
            <w:rStyle w:val="Hyperlink"/>
          </w:rPr>
          <w:t>4</w:t>
        </w:r>
        <w:r>
          <w:rPr>
            <w:rStyle w:val="Hyperlink"/>
          </w:rPr>
          <w:t xml:space="preserve"> </w:t>
        </w:r>
        <w:r w:rsidRPr="00BC3ED9">
          <w:rPr>
            <w:rStyle w:val="Hyperlink"/>
          </w:rPr>
          <w:t>Tabulka č. 11 Seznam indikátorů sledovaných na úrovni specifických cílů Zdraví 2035</w:t>
        </w:r>
        <w:r>
          <w:tab/>
        </w:r>
        <w:r>
          <w:fldChar w:fldCharType="begin"/>
        </w:r>
        <w:r>
          <w:instrText xml:space="preserve"> PAGEREF _Toc256000074 \h </w:instrText>
        </w:r>
        <w:r>
          <w:fldChar w:fldCharType="separate"/>
        </w:r>
        <w:r>
          <w:t>144</w:t>
        </w:r>
        <w:r>
          <w:fldChar w:fldCharType="end"/>
        </w:r>
      </w:hyperlink>
    </w:p>
    <w:p w:rsidR="006D0F73" w:rsidP="00163C98">
      <w:pPr>
        <w:spacing w:before="0" w:line="264" w:lineRule="auto"/>
        <w:jc w:val="left"/>
        <w:rPr>
          <w:rFonts w:ascii="Calibri" w:hAnsi="Calibri"/>
          <w:b/>
          <w:bCs/>
          <w:color w:val="4F81BD" w:themeColor="accent1"/>
          <w:sz w:val="28"/>
          <w:szCs w:val="22"/>
        </w:rPr>
      </w:pPr>
      <w:r>
        <w:rPr>
          <w:szCs w:val="22"/>
        </w:rPr>
        <w:fldChar w:fldCharType="end"/>
      </w:r>
    </w:p>
    <w:p w:rsidR="006D0F73" w:rsidP="00163C98" w14:paraId="7E7391AC" w14:textId="11C8BB58">
      <w:pPr>
        <w:spacing w:before="0" w:line="264" w:lineRule="auto"/>
        <w:jc w:val="left"/>
        <w:rPr>
          <w:rFonts w:ascii="Calibri" w:hAnsi="Calibri"/>
          <w:b/>
          <w:bCs/>
          <w:color w:val="4F81BD" w:themeColor="accent1"/>
          <w:sz w:val="28"/>
          <w:szCs w:val="22"/>
        </w:rPr>
      </w:pPr>
      <w:r>
        <w:rPr>
          <w:rFonts w:ascii="Calibri" w:hAnsi="Calibri"/>
          <w:b/>
          <w:bCs/>
          <w:color w:val="4F81BD" w:themeColor="accent1"/>
          <w:sz w:val="28"/>
          <w:szCs w:val="22"/>
        </w:rPr>
        <w:t>Seznam grafů</w:t>
      </w:r>
    </w:p>
    <w:p w14:paraId="7793C016" w14:textId="7029083C">
      <w:pPr>
        <w:pStyle w:val="TableofFigures"/>
        <w:tabs>
          <w:tab w:val="right" w:leader="dot" w:pos="9062"/>
        </w:tabs>
        <w:rPr>
          <w:rFonts w:asciiTheme="minorHAnsi" w:hAnsiTheme="minorHAnsi"/>
          <w:noProof/>
          <w:sz w:val="22"/>
        </w:rPr>
      </w:pPr>
      <w:r>
        <w:rPr>
          <w:color w:val="auto"/>
        </w:rPr>
        <w:fldChar w:fldCharType="begin"/>
      </w:r>
      <w:r>
        <w:rPr>
          <w:color w:val="auto"/>
        </w:rPr>
        <w:instrText xml:space="preserve"> TOC \h \z \c "Graf" </w:instrText>
      </w:r>
      <w:r>
        <w:rPr>
          <w:color w:val="auto"/>
        </w:rPr>
        <w:fldChar w:fldCharType="separate"/>
      </w:r>
      <w:hyperlink w:anchor="_Toc256000075" w:history="1">
        <w:r w:rsidRPr="004433F0">
          <w:rPr>
            <w:rStyle w:val="Hyperlink"/>
          </w:rPr>
          <w:t xml:space="preserve">Graf </w:t>
        </w:r>
        <w:r w:rsidRPr="004433F0">
          <w:rPr>
            <w:rStyle w:val="Hyperlink"/>
          </w:rPr>
          <w:t>1</w:t>
        </w:r>
        <w:r w:rsidRPr="004433F0">
          <w:rPr>
            <w:rStyle w:val="Hyperlink"/>
          </w:rPr>
          <w:t xml:space="preserve">  Specifické cíle Strategického rámce Česká republika 2030</w:t>
        </w:r>
        <w:r>
          <w:tab/>
        </w:r>
        <w:r>
          <w:fldChar w:fldCharType="begin"/>
        </w:r>
        <w:r>
          <w:instrText xml:space="preserve"> PAGEREF _Toc256000075 \h </w:instrText>
        </w:r>
        <w:r>
          <w:fldChar w:fldCharType="separate"/>
        </w:r>
        <w:r>
          <w:t>7</w:t>
        </w:r>
        <w:r>
          <w:fldChar w:fldCharType="end"/>
        </w:r>
      </w:hyperlink>
    </w:p>
    <w:p>
      <w:pPr>
        <w:pStyle w:val="TableofFigures"/>
        <w:tabs>
          <w:tab w:val="right" w:leader="dot" w:pos="9062"/>
        </w:tabs>
        <w:rPr>
          <w:rFonts w:asciiTheme="minorHAnsi" w:hAnsiTheme="minorHAnsi"/>
          <w:noProof/>
          <w:sz w:val="22"/>
        </w:rPr>
      </w:pPr>
      <w:hyperlink w:anchor="_Toc256000076" w:history="1">
        <w:r w:rsidRPr="00BB7C6B">
          <w:rPr>
            <w:rStyle w:val="Hyperlink"/>
          </w:rPr>
          <w:t xml:space="preserve">Graf </w:t>
        </w:r>
        <w:r w:rsidRPr="008729A1">
          <w:rPr>
            <w:rStyle w:val="Hyperlink"/>
          </w:rPr>
          <w:t>2</w:t>
        </w:r>
        <w:r w:rsidRPr="008729A1">
          <w:rPr>
            <w:rStyle w:val="Hyperlink"/>
          </w:rPr>
          <w:t xml:space="preserve"> Obyvatelstvo ČR podle pohlaví a věku</w:t>
        </w:r>
        <w:r>
          <w:tab/>
        </w:r>
        <w:r>
          <w:fldChar w:fldCharType="begin"/>
        </w:r>
        <w:r>
          <w:instrText xml:space="preserve"> PAGEREF _Toc256000076 \h </w:instrText>
        </w:r>
        <w:r>
          <w:fldChar w:fldCharType="separate"/>
        </w:r>
        <w:r>
          <w:t>7</w:t>
        </w:r>
        <w:r>
          <w:fldChar w:fldCharType="end"/>
        </w:r>
      </w:hyperlink>
    </w:p>
    <w:p>
      <w:pPr>
        <w:pStyle w:val="TableofFigures"/>
        <w:tabs>
          <w:tab w:val="right" w:leader="dot" w:pos="9062"/>
        </w:tabs>
        <w:rPr>
          <w:rFonts w:asciiTheme="minorHAnsi" w:hAnsiTheme="minorHAnsi"/>
          <w:noProof/>
          <w:sz w:val="22"/>
        </w:rPr>
      </w:pPr>
      <w:hyperlink w:anchor="_Toc256000077" w:history="1">
        <w:r w:rsidRPr="008729A1">
          <w:rPr>
            <w:rStyle w:val="Hyperlink"/>
          </w:rPr>
          <w:t xml:space="preserve">Graf </w:t>
        </w:r>
        <w:r w:rsidRPr="008729A1">
          <w:rPr>
            <w:rStyle w:val="Hyperlink"/>
          </w:rPr>
          <w:t>3</w:t>
        </w:r>
        <w:r w:rsidRPr="008729A1">
          <w:rPr>
            <w:rStyle w:val="Hyperlink"/>
          </w:rPr>
          <w:t xml:space="preserve"> Délka života při narození – muži</w:t>
        </w:r>
        <w:r>
          <w:tab/>
        </w:r>
        <w:r>
          <w:fldChar w:fldCharType="begin"/>
        </w:r>
        <w:r>
          <w:instrText xml:space="preserve"> PAGEREF _Toc256000077 \h </w:instrText>
        </w:r>
        <w:r>
          <w:fldChar w:fldCharType="separate"/>
        </w:r>
        <w:r>
          <w:t>10</w:t>
        </w:r>
        <w:r>
          <w:fldChar w:fldCharType="end"/>
        </w:r>
      </w:hyperlink>
    </w:p>
    <w:p>
      <w:pPr>
        <w:pStyle w:val="TableofFigures"/>
        <w:tabs>
          <w:tab w:val="right" w:leader="dot" w:pos="9062"/>
        </w:tabs>
        <w:rPr>
          <w:rFonts w:asciiTheme="minorHAnsi" w:hAnsiTheme="minorHAnsi"/>
          <w:noProof/>
          <w:sz w:val="22"/>
        </w:rPr>
      </w:pPr>
      <w:hyperlink w:anchor="_Toc256000078" w:history="1">
        <w:r w:rsidRPr="008729A1">
          <w:rPr>
            <w:rStyle w:val="Hyperlink"/>
          </w:rPr>
          <w:t xml:space="preserve">Graf </w:t>
        </w:r>
        <w:r w:rsidRPr="008729A1">
          <w:rPr>
            <w:rStyle w:val="Hyperlink"/>
          </w:rPr>
          <w:t>4</w:t>
        </w:r>
        <w:r w:rsidRPr="008729A1">
          <w:rPr>
            <w:rStyle w:val="Hyperlink"/>
          </w:rPr>
          <w:t xml:space="preserve"> Délka života při narození – ženy</w:t>
        </w:r>
        <w:r>
          <w:tab/>
        </w:r>
        <w:r>
          <w:fldChar w:fldCharType="begin"/>
        </w:r>
        <w:r>
          <w:instrText xml:space="preserve"> PAGEREF _Toc256000078 \h </w:instrText>
        </w:r>
        <w:r>
          <w:fldChar w:fldCharType="separate"/>
        </w:r>
        <w:r>
          <w:t>11</w:t>
        </w:r>
        <w:r>
          <w:fldChar w:fldCharType="end"/>
        </w:r>
      </w:hyperlink>
    </w:p>
    <w:p>
      <w:pPr>
        <w:pStyle w:val="TableofFigures"/>
        <w:tabs>
          <w:tab w:val="right" w:leader="dot" w:pos="9062"/>
        </w:tabs>
        <w:rPr>
          <w:rFonts w:asciiTheme="minorHAnsi" w:hAnsiTheme="minorHAnsi"/>
          <w:noProof/>
          <w:sz w:val="22"/>
        </w:rPr>
      </w:pPr>
      <w:hyperlink w:anchor="_Toc256000079" w:history="1">
        <w:r w:rsidRPr="00BB7C6B">
          <w:rPr>
            <w:rStyle w:val="Hyperlink"/>
          </w:rPr>
          <w:t xml:space="preserve">Graf </w:t>
        </w:r>
        <w:r w:rsidRPr="008729A1">
          <w:rPr>
            <w:rStyle w:val="Hyperlink"/>
          </w:rPr>
          <w:t>5</w:t>
        </w:r>
        <w:r w:rsidRPr="008729A1">
          <w:rPr>
            <w:rStyle w:val="Hyperlink"/>
          </w:rPr>
          <w:t xml:space="preserve"> Překryv SDG´s a specifických cílů Strategického rámce ČR 2030</w:t>
        </w:r>
        <w:r>
          <w:tab/>
        </w:r>
        <w:r>
          <w:fldChar w:fldCharType="begin"/>
        </w:r>
        <w:r>
          <w:instrText xml:space="preserve"> PAGEREF _Toc256000079 \h </w:instrText>
        </w:r>
        <w:r>
          <w:fldChar w:fldCharType="separate"/>
        </w:r>
        <w:r>
          <w:t>16</w:t>
        </w:r>
        <w:r>
          <w:fldChar w:fldCharType="end"/>
        </w:r>
      </w:hyperlink>
    </w:p>
    <w:p>
      <w:pPr>
        <w:pStyle w:val="TableofFigures"/>
        <w:tabs>
          <w:tab w:val="right" w:leader="dot" w:pos="9062"/>
        </w:tabs>
        <w:rPr>
          <w:rFonts w:asciiTheme="minorHAnsi" w:hAnsiTheme="minorHAnsi"/>
          <w:noProof/>
          <w:sz w:val="22"/>
        </w:rPr>
      </w:pPr>
      <w:hyperlink w:anchor="_Toc256000080" w:history="1">
        <w:r w:rsidRPr="00BB7C6B">
          <w:rPr>
            <w:rStyle w:val="Hyperlink"/>
          </w:rPr>
          <w:t xml:space="preserve">Graf </w:t>
        </w:r>
        <w:r w:rsidRPr="008729A1">
          <w:rPr>
            <w:rStyle w:val="Hyperlink"/>
          </w:rPr>
          <w:t>6</w:t>
        </w:r>
        <w:r w:rsidRPr="008729A1">
          <w:rPr>
            <w:rStyle w:val="Hyperlink"/>
          </w:rPr>
          <w:t xml:space="preserve"> Priority Agendy EU pro účinné, dostupné a odolné systémy zdravotní péče</w:t>
        </w:r>
        <w:r>
          <w:tab/>
        </w:r>
        <w:r>
          <w:fldChar w:fldCharType="begin"/>
        </w:r>
        <w:r>
          <w:instrText xml:space="preserve"> PAGEREF _Toc256000080 \h </w:instrText>
        </w:r>
        <w:r>
          <w:fldChar w:fldCharType="separate"/>
        </w:r>
        <w:r>
          <w:t>18</w:t>
        </w:r>
        <w:r>
          <w:fldChar w:fldCharType="end"/>
        </w:r>
      </w:hyperlink>
    </w:p>
    <w:p>
      <w:pPr>
        <w:pStyle w:val="TableofFigures"/>
        <w:tabs>
          <w:tab w:val="right" w:leader="dot" w:pos="9062"/>
        </w:tabs>
        <w:rPr>
          <w:rFonts w:asciiTheme="minorHAnsi" w:hAnsiTheme="minorHAnsi"/>
          <w:noProof/>
          <w:sz w:val="22"/>
        </w:rPr>
      </w:pPr>
      <w:hyperlink w:anchor="_Toc256000081" w:history="1">
        <w:r w:rsidRPr="00BB7C6B">
          <w:rPr>
            <w:rStyle w:val="Hyperlink"/>
          </w:rPr>
          <w:t xml:space="preserve">Graf </w:t>
        </w:r>
        <w:r w:rsidRPr="008729A1">
          <w:rPr>
            <w:rStyle w:val="Hyperlink"/>
          </w:rPr>
          <w:t>7</w:t>
        </w:r>
        <w:r w:rsidRPr="008729A1">
          <w:rPr>
            <w:rStyle w:val="Hyperlink"/>
          </w:rPr>
          <w:t xml:space="preserve"> Podíl dětí narozených v daném roce a očkovaných alespoň jednou dávkou očkovací látky proti pneumokokové infekci v letech 2012–2023</w:t>
        </w:r>
        <w:r>
          <w:tab/>
        </w:r>
        <w:r>
          <w:fldChar w:fldCharType="begin"/>
        </w:r>
        <w:r>
          <w:instrText xml:space="preserve"> PAGEREF _Toc256000081 \h </w:instrText>
        </w:r>
        <w:r>
          <w:fldChar w:fldCharType="separate"/>
        </w:r>
        <w:r>
          <w:t>30</w:t>
        </w:r>
        <w:r>
          <w:fldChar w:fldCharType="end"/>
        </w:r>
      </w:hyperlink>
    </w:p>
    <w:p>
      <w:pPr>
        <w:pStyle w:val="TableofFigures"/>
        <w:tabs>
          <w:tab w:val="right" w:leader="dot" w:pos="9062"/>
        </w:tabs>
        <w:rPr>
          <w:rFonts w:asciiTheme="minorHAnsi" w:hAnsiTheme="minorHAnsi"/>
          <w:noProof/>
          <w:sz w:val="22"/>
        </w:rPr>
      </w:pPr>
      <w:hyperlink w:anchor="_Toc256000082" w:history="1">
        <w:r w:rsidRPr="008729A1">
          <w:rPr>
            <w:rStyle w:val="Hyperlink"/>
          </w:rPr>
          <w:t xml:space="preserve">Graf </w:t>
        </w:r>
        <w:r w:rsidRPr="008729A1">
          <w:rPr>
            <w:rStyle w:val="Hyperlink"/>
          </w:rPr>
          <w:t>8</w:t>
        </w:r>
        <w:r w:rsidRPr="008729A1">
          <w:rPr>
            <w:rStyle w:val="Hyperlink"/>
          </w:rPr>
          <w:t xml:space="preserve"> Porovnání BMI populace</w:t>
        </w:r>
        <w:r>
          <w:tab/>
        </w:r>
        <w:r>
          <w:fldChar w:fldCharType="begin"/>
        </w:r>
        <w:r>
          <w:instrText xml:space="preserve"> PAGEREF _Toc256000082 \h </w:instrText>
        </w:r>
        <w:r>
          <w:fldChar w:fldCharType="separate"/>
        </w:r>
        <w:r>
          <w:t>32</w:t>
        </w:r>
        <w:r>
          <w:fldChar w:fldCharType="end"/>
        </w:r>
      </w:hyperlink>
    </w:p>
    <w:p>
      <w:pPr>
        <w:pStyle w:val="TableofFigures"/>
        <w:tabs>
          <w:tab w:val="right" w:leader="dot" w:pos="9062"/>
        </w:tabs>
        <w:rPr>
          <w:rFonts w:asciiTheme="minorHAnsi" w:hAnsiTheme="minorHAnsi"/>
          <w:noProof/>
          <w:sz w:val="22"/>
        </w:rPr>
      </w:pPr>
      <w:hyperlink w:anchor="_Toc256000083" w:history="1">
        <w:r w:rsidRPr="00BB7C6B">
          <w:rPr>
            <w:rStyle w:val="Hyperlink"/>
          </w:rPr>
          <w:t xml:space="preserve">Graf </w:t>
        </w:r>
        <w:r w:rsidRPr="008729A1">
          <w:rPr>
            <w:rStyle w:val="Hyperlink"/>
          </w:rPr>
          <w:t>9</w:t>
        </w:r>
        <w:r w:rsidRPr="008729A1">
          <w:rPr>
            <w:rStyle w:val="Hyperlink"/>
          </w:rPr>
          <w:t xml:space="preserve"> Podíl denních kuřáků – mezinárodní srovnání</w:t>
        </w:r>
        <w:r>
          <w:tab/>
        </w:r>
        <w:r>
          <w:fldChar w:fldCharType="begin"/>
        </w:r>
        <w:r>
          <w:instrText xml:space="preserve"> PAGEREF _Toc256000083 \h </w:instrText>
        </w:r>
        <w:r>
          <w:fldChar w:fldCharType="separate"/>
        </w:r>
        <w:r>
          <w:t>33</w:t>
        </w:r>
        <w:r>
          <w:fldChar w:fldCharType="end"/>
        </w:r>
      </w:hyperlink>
    </w:p>
    <w:p>
      <w:pPr>
        <w:pStyle w:val="TableofFigures"/>
        <w:tabs>
          <w:tab w:val="right" w:leader="dot" w:pos="9062"/>
        </w:tabs>
        <w:rPr>
          <w:rFonts w:asciiTheme="minorHAnsi" w:hAnsiTheme="minorHAnsi"/>
          <w:noProof/>
          <w:sz w:val="22"/>
        </w:rPr>
      </w:pPr>
      <w:hyperlink w:anchor="_Toc256000084" w:history="1">
        <w:r w:rsidRPr="00BB7C6B">
          <w:rPr>
            <w:rStyle w:val="Hyperlink"/>
          </w:rPr>
          <w:t xml:space="preserve">Graf </w:t>
        </w:r>
        <w:r w:rsidRPr="008729A1">
          <w:rPr>
            <w:rStyle w:val="Hyperlink"/>
          </w:rPr>
          <w:t>10</w:t>
        </w:r>
        <w:r w:rsidRPr="008729A1">
          <w:rPr>
            <w:rStyle w:val="Hyperlink"/>
          </w:rPr>
          <w:t xml:space="preserve"> Konzumace alkoholu – mezinárodní srovnání.</w:t>
        </w:r>
        <w:r>
          <w:tab/>
        </w:r>
        <w:r>
          <w:fldChar w:fldCharType="begin"/>
        </w:r>
        <w:r>
          <w:instrText xml:space="preserve"> PAGEREF _Toc256000084 \h </w:instrText>
        </w:r>
        <w:r>
          <w:fldChar w:fldCharType="separate"/>
        </w:r>
        <w:r>
          <w:t>33</w:t>
        </w:r>
        <w:r>
          <w:fldChar w:fldCharType="end"/>
        </w:r>
      </w:hyperlink>
    </w:p>
    <w:p w:rsidR="006D0F73" w:rsidP="00163C98">
      <w:pPr>
        <w:spacing w:before="0" w:line="264" w:lineRule="auto"/>
        <w:jc w:val="left"/>
        <w:rPr>
          <w:rFonts w:ascii="Calibri" w:hAnsi="Calibri"/>
          <w:b/>
          <w:bCs/>
          <w:color w:val="4F81BD" w:themeColor="accent1"/>
          <w:sz w:val="28"/>
          <w:szCs w:val="22"/>
        </w:rPr>
      </w:pPr>
      <w:r>
        <w:rPr>
          <w:color w:val="auto"/>
        </w:rPr>
        <w:fldChar w:fldCharType="end"/>
      </w:r>
    </w:p>
    <w:p w:rsidR="006D0F73" w:rsidP="00163C98" w14:paraId="6D3BABE8" w14:textId="5F2ADE88">
      <w:pPr>
        <w:spacing w:before="0" w:line="264" w:lineRule="auto"/>
        <w:jc w:val="left"/>
        <w:rPr>
          <w:rFonts w:ascii="Calibri" w:hAnsi="Calibri"/>
          <w:b/>
          <w:bCs/>
          <w:color w:val="4F81BD" w:themeColor="accent1"/>
          <w:sz w:val="28"/>
          <w:szCs w:val="22"/>
        </w:rPr>
      </w:pPr>
      <w:r>
        <w:rPr>
          <w:rFonts w:ascii="Calibri" w:hAnsi="Calibri"/>
          <w:b/>
          <w:bCs/>
          <w:color w:val="4F81BD" w:themeColor="accent1"/>
          <w:sz w:val="28"/>
          <w:szCs w:val="22"/>
        </w:rPr>
        <w:t>Seznam obrázků</w:t>
      </w:r>
    </w:p>
    <w:p w:rsidR="00434E5A" w:rsidP="00434E5A" w14:paraId="6E2295CB" w14:textId="77777777">
      <w:pPr>
        <w:pStyle w:val="TableofFigures"/>
        <w:tabs>
          <w:tab w:val="right" w:leader="dot" w:pos="9062"/>
        </w:tabs>
        <w:rPr>
          <w:noProof/>
          <w:color w:val="auto"/>
          <w:kern w:val="2"/>
          <w:sz w:val="24"/>
          <w:lang w:eastAsia="cs-CZ"/>
          <w14:ligatures w14:val="standardContextual"/>
        </w:rPr>
      </w:pPr>
      <w:hyperlink w:anchor="_Toc205306773" w:history="1">
        <w:r w:rsidRPr="00295B3C">
          <w:rPr>
            <w:rStyle w:val="Hyperlink"/>
          </w:rPr>
          <w:t>Obrázek 1 17 SDG´s pro udržitelný rozvoj</w:t>
        </w:r>
        <w:r>
          <w:rPr>
            <w:noProof/>
            <w:webHidden/>
          </w:rPr>
          <w:tab/>
        </w:r>
        <w:r>
          <w:rPr>
            <w:noProof/>
            <w:webHidden/>
          </w:rPr>
          <w:fldChar w:fldCharType="begin"/>
        </w:r>
        <w:r>
          <w:rPr>
            <w:noProof/>
            <w:webHidden/>
          </w:rPr>
          <w:instrText xml:space="preserve"> PAGEREF _Toc205306773 \h </w:instrText>
        </w:r>
        <w:r>
          <w:rPr>
            <w:noProof/>
            <w:webHidden/>
          </w:rPr>
          <w:fldChar w:fldCharType="separate"/>
        </w:r>
        <w:r>
          <w:rPr>
            <w:noProof/>
            <w:webHidden/>
          </w:rPr>
          <w:t>15</w:t>
        </w:r>
        <w:r>
          <w:rPr>
            <w:noProof/>
            <w:webHidden/>
          </w:rPr>
          <w:fldChar w:fldCharType="end"/>
        </w:r>
      </w:hyperlink>
    </w:p>
    <w:p w:rsidR="00434E5A" w:rsidP="00434E5A" w14:paraId="3FD97D37" w14:textId="77777777">
      <w:pPr>
        <w:pStyle w:val="TableofFigures"/>
        <w:tabs>
          <w:tab w:val="right" w:leader="dot" w:pos="9062"/>
        </w:tabs>
        <w:rPr>
          <w:noProof/>
          <w:color w:val="auto"/>
          <w:kern w:val="2"/>
          <w:sz w:val="24"/>
          <w:lang w:eastAsia="cs-CZ"/>
          <w14:ligatures w14:val="standardContextual"/>
        </w:rPr>
      </w:pPr>
      <w:hyperlink w:anchor="_Toc205306774" w:history="1">
        <w:r w:rsidRPr="00295B3C">
          <w:rPr>
            <w:rStyle w:val="Hyperlink"/>
          </w:rPr>
          <w:t>Obrázek 2 Strategické a specifické cíle Strategického rámce Zdraví 2035</w:t>
        </w:r>
        <w:r>
          <w:rPr>
            <w:noProof/>
            <w:webHidden/>
          </w:rPr>
          <w:tab/>
        </w:r>
        <w:r>
          <w:rPr>
            <w:noProof/>
            <w:webHidden/>
          </w:rPr>
          <w:fldChar w:fldCharType="begin"/>
        </w:r>
        <w:r>
          <w:rPr>
            <w:noProof/>
            <w:webHidden/>
          </w:rPr>
          <w:instrText xml:space="preserve"> PAGEREF _Toc205306774 \h </w:instrText>
        </w:r>
        <w:r>
          <w:rPr>
            <w:noProof/>
            <w:webHidden/>
          </w:rPr>
          <w:fldChar w:fldCharType="separate"/>
        </w:r>
        <w:r>
          <w:rPr>
            <w:noProof/>
            <w:webHidden/>
          </w:rPr>
          <w:t>67</w:t>
        </w:r>
        <w:r>
          <w:rPr>
            <w:noProof/>
            <w:webHidden/>
          </w:rPr>
          <w:fldChar w:fldCharType="end"/>
        </w:r>
      </w:hyperlink>
    </w:p>
    <w:p w:rsidR="006D0F73" w:rsidP="00163C98" w14:paraId="63DA2A1B" w14:textId="77777777">
      <w:pPr>
        <w:spacing w:before="0" w:line="264" w:lineRule="auto"/>
        <w:jc w:val="left"/>
        <w:rPr>
          <w:rFonts w:ascii="Calibri" w:hAnsi="Calibri"/>
          <w:b/>
          <w:bCs/>
          <w:color w:val="4F81BD" w:themeColor="accent1"/>
          <w:sz w:val="28"/>
          <w:szCs w:val="22"/>
        </w:rPr>
      </w:pPr>
    </w:p>
    <w:p w:rsidR="00BF5500" w:rsidP="00163C98" w14:paraId="52B18881" w14:textId="3E8E2274">
      <w:pPr>
        <w:spacing w:before="0" w:line="264" w:lineRule="auto"/>
        <w:jc w:val="left"/>
        <w:rPr>
          <w:rFonts w:ascii="Calibri" w:hAnsi="Calibri"/>
          <w:b/>
          <w:bCs/>
          <w:color w:val="4F81BD" w:themeColor="accent1"/>
          <w:sz w:val="28"/>
          <w:szCs w:val="22"/>
        </w:rPr>
      </w:pPr>
      <w:r>
        <w:rPr>
          <w:rFonts w:ascii="Calibri" w:hAnsi="Calibri"/>
          <w:b/>
          <w:bCs/>
          <w:color w:val="4F81BD" w:themeColor="accent1"/>
          <w:sz w:val="28"/>
          <w:szCs w:val="22"/>
        </w:rPr>
        <w:t>Seznam příloh</w:t>
      </w:r>
    </w:p>
    <w:p w:rsidR="00BF5500" w:rsidRPr="00BF5500" w:rsidP="00163C98" w14:paraId="193B076C" w14:textId="68C8EC59">
      <w:pPr>
        <w:spacing w:before="0" w:line="264" w:lineRule="auto"/>
        <w:jc w:val="left"/>
        <w:rPr>
          <w:rStyle w:val="Hyperlink"/>
          <w:color w:val="auto"/>
          <w:u w:val="none"/>
        </w:rPr>
      </w:pPr>
      <w:r w:rsidRPr="00BF5500">
        <w:rPr>
          <w:rStyle w:val="Hyperlink"/>
          <w:color w:val="auto"/>
          <w:u w:val="none"/>
        </w:rPr>
        <w:t xml:space="preserve">Příloha č. 1: Indikátorová sada </w:t>
      </w:r>
    </w:p>
    <w:sectPr w:rsidSect="008C748A">
      <w:pgSz w:w="11906" w:h="16838"/>
      <w:pgMar w:top="1560" w:right="1417" w:bottom="1701" w:left="1417" w:header="708" w:footer="97"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Fixed">
    <w:charset w:val="B2"/>
    <w:family w:val="modern"/>
    <w:pitch w:val="fixed"/>
    <w:sig w:usb0="00002003" w:usb1="00000000" w:usb2="00000008" w:usb3="00000000" w:csb0="00000041"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Tahoma">
    <w:altName w:val="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EUAlbertina">
    <w:altName w:val="Calibri"/>
    <w:panose1 w:val="00000000000000000000"/>
    <w:charset w:val="00"/>
    <w:family w:val="roman"/>
    <w:notTrueType/>
    <w:pitch w:val="default"/>
    <w:sig w:usb0="00000001" w:usb1="00000000" w:usb2="00000000" w:usb3="00000000" w:csb0="00000003"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257022457"/>
      <w:docPartObj>
        <w:docPartGallery w:val="Page Numbers (Bottom of Page)"/>
        <w:docPartUnique/>
      </w:docPartObj>
    </w:sdtPr>
    <w:sdtContent>
      <w:p w:rsidR="0077505D" w14:paraId="526590E5" w14:textId="77777777">
        <w:pPr>
          <w:pStyle w:val="Footer"/>
          <w:jc w:val="center"/>
        </w:pPr>
        <w:r>
          <w:fldChar w:fldCharType="begin"/>
        </w:r>
        <w:r>
          <w:instrText>PAGE   \* MERGEFORMAT</w:instrText>
        </w:r>
        <w:r>
          <w:fldChar w:fldCharType="separate"/>
        </w:r>
        <w:r>
          <w:rPr>
            <w:noProof/>
          </w:rPr>
          <w:t>158</w:t>
        </w:r>
        <w:r>
          <w:fldChar w:fldCharType="end"/>
        </w:r>
      </w:p>
    </w:sdtContent>
  </w:sdt>
  <w:p w:rsidR="0077505D" w:rsidRPr="002371BB" w:rsidP="00406A5B" w14:paraId="1D7483F3" w14:textId="77777777">
    <w:pPr>
      <w:spacing w:after="0" w:line="360" w:lineRule="auto"/>
      <w:jc w:val="center"/>
      <w:rPr>
        <w:color w:val="7F7F7F" w:themeColor="text1" w:themeTint="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footnote w:type="separator" w:id="0">
    <w:p w:rsidR="008C36D0" w:rsidP="00F14763" w14:paraId="08C6548B" w14:textId="77777777">
      <w:r>
        <w:separator/>
      </w:r>
    </w:p>
    <w:p w:rsidR="008C36D0" w:rsidP="00F14763" w14:paraId="3BA6211A" w14:textId="77777777"/>
  </w:footnote>
  <w:footnote w:type="continuationSeparator" w:id="1">
    <w:p w:rsidR="008C36D0" w:rsidP="00F14763" w14:paraId="07626D8C" w14:textId="77777777">
      <w:r>
        <w:continuationSeparator/>
      </w:r>
    </w:p>
    <w:p w:rsidR="008C36D0" w:rsidP="00F14763" w14:paraId="661158B7" w14:textId="77777777"/>
  </w:footnote>
  <w:footnote w:id="2">
    <w:p w:rsidR="0077505D" w:rsidRPr="003C3190" w:rsidP="0032346B" w14:paraId="3B8F3428" w14:textId="77777777">
      <w:pPr>
        <w:pStyle w:val="FootnoteText"/>
        <w:jc w:val="left"/>
        <w:rPr>
          <w:sz w:val="18"/>
          <w:lang w:val="cs-CZ"/>
        </w:rPr>
      </w:pPr>
      <w:r w:rsidRPr="003C3190">
        <w:rPr>
          <w:rStyle w:val="FootnoteReference"/>
          <w:sz w:val="18"/>
        </w:rPr>
        <w:footnoteRef/>
      </w:r>
      <w:r w:rsidRPr="003C3190">
        <w:rPr>
          <w:sz w:val="18"/>
        </w:rPr>
        <w:t xml:space="preserve"> </w:t>
      </w:r>
      <w:r w:rsidRPr="003C3190">
        <w:rPr>
          <w:sz w:val="18"/>
          <w:lang w:val="cs-CZ"/>
        </w:rPr>
        <w:t>Usnesení vlády ČR č. 292/2017 ze dne 19. dubna 2017</w:t>
      </w:r>
    </w:p>
    <w:p w:rsidR="0077505D" w:rsidRPr="00002CD1" w14:paraId="7FD0B8D8" w14:textId="77777777">
      <w:pPr>
        <w:pStyle w:val="FootnoteText"/>
        <w:rPr>
          <w:lang w:val="cs-CZ"/>
        </w:rPr>
      </w:pPr>
    </w:p>
  </w:footnote>
  <w:footnote w:id="3">
    <w:p w:rsidR="00C53CE3" w:rsidRPr="00722F15" w:rsidP="00C53CE3" w14:paraId="2DBA7D11" w14:textId="77777777">
      <w:pPr>
        <w:pStyle w:val="FootnoteText"/>
        <w:jc w:val="both"/>
        <w:rPr>
          <w:lang w:val="cs-CZ"/>
        </w:rPr>
      </w:pPr>
      <w:r w:rsidRPr="00722F15">
        <w:rPr>
          <w:rStyle w:val="FootnoteReference"/>
          <w:lang w:val="cs-CZ"/>
        </w:rPr>
        <w:footnoteRef/>
      </w:r>
      <w:r w:rsidRPr="00722F15">
        <w:rPr>
          <w:lang w:val="cs-CZ"/>
        </w:rPr>
        <w:t xml:space="preserve"> </w:t>
      </w:r>
      <w:r w:rsidRPr="00BB7C6B">
        <w:rPr>
          <w:lang w:val="cs-CZ"/>
        </w:rPr>
        <w:t xml:space="preserve">Viz průběžně aktualizovaná </w:t>
      </w:r>
      <w:hyperlink r:id="rId1" w:history="1">
        <w:r w:rsidRPr="008729A1">
          <w:rPr>
            <w:rStyle w:val="Hyperlink"/>
            <w:noProof w:val="0"/>
            <w:lang w:val="cs-CZ"/>
          </w:rPr>
          <w:t>Databáze strategií</w:t>
        </w:r>
      </w:hyperlink>
    </w:p>
  </w:footnote>
  <w:footnote w:id="4">
    <w:p w:rsidR="0077505D" w:rsidRPr="008B1E34" w:rsidP="003927E7" w14:paraId="05504044" w14:textId="29148709">
      <w:pPr>
        <w:pStyle w:val="FootnoteText"/>
        <w:jc w:val="both"/>
        <w:rPr>
          <w:sz w:val="18"/>
          <w:szCs w:val="18"/>
          <w:lang w:val="cs-CZ"/>
        </w:rPr>
      </w:pPr>
      <w:r w:rsidRPr="008B1E34">
        <w:rPr>
          <w:rStyle w:val="FootnoteReference"/>
          <w:sz w:val="18"/>
          <w:szCs w:val="18"/>
        </w:rPr>
        <w:footnoteRef/>
      </w:r>
      <w:r w:rsidRPr="008B1E34">
        <w:rPr>
          <w:sz w:val="18"/>
          <w:szCs w:val="18"/>
        </w:rPr>
        <w:t xml:space="preserve"> WHO 1946, (Health for All, HFA)</w:t>
      </w:r>
      <w:r>
        <w:rPr>
          <w:sz w:val="18"/>
          <w:szCs w:val="18"/>
        </w:rPr>
        <w:t>.</w:t>
      </w:r>
    </w:p>
  </w:footnote>
  <w:footnote w:id="5">
    <w:p w:rsidR="0077505D" w:rsidRPr="008B1E34" w:rsidP="003927E7" w14:paraId="72BE25AD" w14:textId="138D1C52">
      <w:pPr>
        <w:pStyle w:val="FootnoteText"/>
        <w:jc w:val="both"/>
        <w:rPr>
          <w:sz w:val="18"/>
          <w:szCs w:val="18"/>
          <w:lang w:val="cs-CZ"/>
        </w:rPr>
      </w:pPr>
      <w:r w:rsidRPr="008B1E34">
        <w:rPr>
          <w:rStyle w:val="FootnoteReference"/>
          <w:sz w:val="18"/>
          <w:szCs w:val="18"/>
        </w:rPr>
        <w:footnoteRef/>
      </w:r>
      <w:r w:rsidRPr="008B1E34">
        <w:rPr>
          <w:sz w:val="18"/>
          <w:szCs w:val="18"/>
        </w:rPr>
        <w:t xml:space="preserve"> WHO, HFA 21</w:t>
      </w:r>
      <w:r>
        <w:rPr>
          <w:sz w:val="18"/>
          <w:szCs w:val="18"/>
        </w:rPr>
        <w:t>.</w:t>
      </w:r>
      <w:r w:rsidRPr="008B1E34">
        <w:rPr>
          <w:sz w:val="18"/>
          <w:szCs w:val="18"/>
        </w:rPr>
        <w:t xml:space="preserve"> </w:t>
      </w:r>
    </w:p>
  </w:footnote>
  <w:footnote w:id="6">
    <w:p w:rsidR="0077505D" w:rsidRPr="00E364AF" w:rsidP="00E364AF" w14:paraId="04CF2561" w14:textId="6EC4CF65">
      <w:pPr>
        <w:pStyle w:val="FootnoteText"/>
        <w:jc w:val="left"/>
        <w:rPr>
          <w:lang w:val="cs-CZ"/>
        </w:rPr>
      </w:pPr>
      <w:r w:rsidRPr="00E364AF">
        <w:rPr>
          <w:sz w:val="18"/>
          <w:szCs w:val="18"/>
        </w:rPr>
        <w:footnoteRef/>
      </w:r>
      <w:r w:rsidRPr="00E364AF">
        <w:rPr>
          <w:sz w:val="18"/>
          <w:szCs w:val="18"/>
        </w:rPr>
        <w:t xml:space="preserve"> </w:t>
      </w:r>
      <w:r w:rsidRPr="00E364AF">
        <w:rPr>
          <w:sz w:val="18"/>
          <w:lang w:val="cs-CZ"/>
        </w:rPr>
        <w:t>Vzhledem ke svému rozsahu je analytická studie dostupná pouze online z </w:t>
      </w:r>
      <w:r w:rsidRPr="0072040F" w:rsidR="00646F12">
        <w:rPr>
          <w:sz w:val="18"/>
          <w:lang w:val="cs-CZ"/>
        </w:rPr>
        <w:t>https://zdravi2030.mzcr.cz/</w:t>
      </w:r>
      <w:r>
        <w:rPr>
          <w:lang w:val="cs-CZ"/>
        </w:rPr>
        <w:t xml:space="preserve"> </w:t>
      </w:r>
    </w:p>
  </w:footnote>
  <w:footnote w:id="7">
    <w:p w:rsidR="0077505D" w:rsidRPr="00002CD1" w:rsidP="00002CD1" w14:paraId="03B847CD" w14:textId="27843B2D">
      <w:pPr>
        <w:pStyle w:val="FootnoteText"/>
        <w:jc w:val="both"/>
        <w:rPr>
          <w:lang w:val="cs-CZ"/>
        </w:rPr>
      </w:pPr>
      <w:r>
        <w:rPr>
          <w:rStyle w:val="FootnoteReference"/>
        </w:rPr>
        <w:footnoteRef/>
      </w:r>
      <w:r>
        <w:t xml:space="preserve"> </w:t>
      </w:r>
      <w:r w:rsidRPr="00BA23A4">
        <w:rPr>
          <w:sz w:val="18"/>
          <w:lang w:val="cs-CZ"/>
        </w:rPr>
        <w:t xml:space="preserve">Světová komise </w:t>
      </w:r>
      <w:r>
        <w:rPr>
          <w:sz w:val="18"/>
          <w:lang w:val="cs-CZ"/>
        </w:rPr>
        <w:t>OSN</w:t>
      </w:r>
      <w:r w:rsidRPr="00BA23A4">
        <w:rPr>
          <w:sz w:val="18"/>
          <w:lang w:val="cs-CZ"/>
        </w:rPr>
        <w:t xml:space="preserve"> pro životní prostředí a rozvoj, Naše společná budoucnost, 1987</w:t>
      </w:r>
      <w:r>
        <w:rPr>
          <w:sz w:val="18"/>
          <w:lang w:val="cs-CZ"/>
        </w:rPr>
        <w:t>.</w:t>
      </w:r>
    </w:p>
  </w:footnote>
  <w:footnote w:id="8">
    <w:p w:rsidR="0077505D" w:rsidRPr="004F7B30" w:rsidP="004F7B30" w14:paraId="4FA730F4" w14:textId="16DEE878">
      <w:pPr>
        <w:pStyle w:val="FootnoteText"/>
        <w:jc w:val="left"/>
        <w:rPr>
          <w:lang w:val="cs-CZ"/>
        </w:rPr>
      </w:pPr>
      <w:r>
        <w:rPr>
          <w:rStyle w:val="FootnoteReference"/>
        </w:rPr>
        <w:footnoteRef/>
      </w:r>
      <w:r>
        <w:t xml:space="preserve"> </w:t>
      </w:r>
      <w:r w:rsidRPr="004F7B30">
        <w:rPr>
          <w:rFonts w:cstheme="minorHAnsi"/>
          <w:sz w:val="18"/>
          <w:szCs w:val="18"/>
          <w:lang w:val="cs-CZ"/>
        </w:rPr>
        <w:t>Nový pohled na zdraví Kanaďanů, 1974</w:t>
      </w:r>
      <w:r>
        <w:rPr>
          <w:rFonts w:cstheme="minorHAnsi"/>
          <w:sz w:val="18"/>
          <w:szCs w:val="18"/>
          <w:lang w:val="cs-CZ"/>
        </w:rPr>
        <w:t>.</w:t>
      </w:r>
    </w:p>
  </w:footnote>
  <w:footnote w:id="9">
    <w:p w:rsidR="0077505D" w:rsidRPr="00AB64D2" w:rsidP="009331E6" w14:paraId="1BFC016B" w14:textId="00890323">
      <w:pPr>
        <w:pStyle w:val="FootnoteText"/>
        <w:jc w:val="left"/>
        <w:rPr>
          <w:lang w:val="cs-CZ"/>
        </w:rPr>
      </w:pPr>
      <w:r>
        <w:rPr>
          <w:rStyle w:val="FootnoteReference"/>
        </w:rPr>
        <w:footnoteRef/>
      </w:r>
      <w:r>
        <w:t xml:space="preserve"> </w:t>
      </w:r>
      <w:r w:rsidRPr="00AB64D2">
        <w:rPr>
          <w:sz w:val="18"/>
          <w:lang w:val="cs-CZ"/>
        </w:rPr>
        <w:t>Usnesení vlády ČR č. 292/2017 ze dne 19. dubna 2017</w:t>
      </w:r>
      <w:r>
        <w:rPr>
          <w:sz w:val="18"/>
          <w:lang w:val="cs-CZ"/>
        </w:rPr>
        <w:t>.</w:t>
      </w:r>
    </w:p>
  </w:footnote>
  <w:footnote w:id="10">
    <w:p w:rsidR="0077505D" w:rsidRPr="004726FF" w:rsidP="00995E76" w14:paraId="7D5CF701" w14:textId="234A0A64">
      <w:pPr>
        <w:pStyle w:val="FootnoteText"/>
        <w:jc w:val="both"/>
        <w:rPr>
          <w:lang w:val="cs-CZ"/>
        </w:rPr>
      </w:pPr>
      <w:r w:rsidRPr="0070747B">
        <w:rPr>
          <w:rStyle w:val="FootnoteReference"/>
          <w:lang w:val="cs-CZ"/>
        </w:rPr>
        <w:footnoteRef/>
      </w:r>
      <w:r w:rsidRPr="0070747B">
        <w:rPr>
          <w:lang w:val="cs-CZ"/>
        </w:rPr>
        <w:t xml:space="preserve"> </w:t>
      </w:r>
      <w:r w:rsidRPr="0070747B">
        <w:rPr>
          <w:sz w:val="18"/>
          <w:szCs w:val="18"/>
          <w:lang w:val="cs-CZ"/>
        </w:rPr>
        <w:t>Strategický rámec Česká republika 2030, Karta specifického cíle, SC 5.2 .</w:t>
      </w:r>
    </w:p>
  </w:footnote>
  <w:footnote w:id="11">
    <w:p w:rsidR="00C53CE3" w:rsidRPr="00722F15" w:rsidP="00C53CE3" w14:paraId="43080011" w14:textId="77777777">
      <w:pPr>
        <w:pStyle w:val="FootnoteText"/>
        <w:jc w:val="both"/>
        <w:rPr>
          <w:rFonts w:asciiTheme="minorHAnsi" w:hAnsiTheme="minorHAnsi" w:cs="Arial"/>
          <w:sz w:val="18"/>
          <w:szCs w:val="18"/>
          <w:lang w:val="cs-CZ"/>
        </w:rPr>
      </w:pPr>
      <w:r w:rsidRPr="00722F15">
        <w:rPr>
          <w:rStyle w:val="FootnoteReference"/>
          <w:lang w:val="cs-CZ"/>
        </w:rPr>
        <w:footnoteRef/>
      </w:r>
      <w:r w:rsidRPr="00722F15">
        <w:rPr>
          <w:lang w:val="cs-CZ"/>
        </w:rPr>
        <w:t xml:space="preserve"> </w:t>
      </w:r>
      <w:r w:rsidRPr="00722F15">
        <w:rPr>
          <w:rFonts w:asciiTheme="minorHAnsi" w:hAnsiTheme="minorHAnsi" w:cs="Arial"/>
          <w:sz w:val="18"/>
          <w:szCs w:val="18"/>
          <w:lang w:val="cs-CZ"/>
        </w:rPr>
        <w:t>PRACOVNÍ DOKUMENT ÚTVARŮ KOMISE Zpráva o České republice 2020 Průvodní dokument k SDĚLENÍ KOMISE EVROPSKÉMU PARLAMENTU, EVROPSKÉ RADĚ, RADĚ, EVROPSKÉ CENTRÁLNÍ BANCE A EUROSKUPINĚ Evropský semestr 2020: Posouzení pokroku ve strukturálních reformách a v předcházení a nápravě makroekonomické nerovnováhy a výsledky hloubkových přezkumů strukturálních reforem podle nařízení (EU) č. 1176/2011</w:t>
      </w:r>
      <w:r w:rsidRPr="00BB7C6B">
        <w:rPr>
          <w:rFonts w:asciiTheme="minorHAnsi" w:hAnsiTheme="minorHAnsi" w:cs="Arial"/>
          <w:sz w:val="18"/>
          <w:szCs w:val="18"/>
          <w:lang w:val="cs-CZ"/>
        </w:rPr>
        <w:t xml:space="preserve">; dostupné z: </w:t>
      </w:r>
      <w:hyperlink r:id="rId2" w:history="1">
        <w:r w:rsidRPr="008729A1">
          <w:rPr>
            <w:rStyle w:val="Hyperlink"/>
            <w:rFonts w:asciiTheme="minorHAnsi" w:hAnsiTheme="minorHAnsi" w:cs="Arial"/>
            <w:noProof w:val="0"/>
            <w:sz w:val="18"/>
            <w:szCs w:val="18"/>
            <w:lang w:val="cs-CZ"/>
          </w:rPr>
          <w:t>EUR-Lex - 52020SC0502 - EN - EUR-Lex</w:t>
        </w:r>
      </w:hyperlink>
    </w:p>
  </w:footnote>
  <w:footnote w:id="12">
    <w:p w:rsidR="0077505D" w:rsidRPr="009C35C7" w:rsidP="00611424" w14:paraId="2DCF1620" w14:textId="20CEDB0B">
      <w:pPr>
        <w:pStyle w:val="FootnoteText"/>
        <w:jc w:val="both"/>
        <w:rPr>
          <w:rFonts w:ascii="Arial" w:hAnsi="Arial" w:cs="Arial"/>
          <w:sz w:val="18"/>
          <w:szCs w:val="18"/>
          <w:lang w:val="cs-CZ"/>
        </w:rPr>
      </w:pPr>
      <w:r w:rsidRPr="009C35C7">
        <w:rPr>
          <w:rStyle w:val="FootnoteReference"/>
          <w:rFonts w:ascii="Arial" w:hAnsi="Arial" w:eastAsiaTheme="majorEastAsia" w:cs="Arial"/>
          <w:sz w:val="18"/>
          <w:szCs w:val="18"/>
          <w:lang w:val="cs-CZ"/>
        </w:rPr>
        <w:footnoteRef/>
      </w:r>
      <w:r w:rsidRPr="009C35C7">
        <w:rPr>
          <w:rFonts w:ascii="Arial" w:hAnsi="Arial" w:cs="Arial"/>
          <w:sz w:val="18"/>
          <w:szCs w:val="18"/>
          <w:lang w:val="cs-CZ"/>
        </w:rPr>
        <w:t xml:space="preserve"> </w:t>
      </w:r>
      <w:r w:rsidRPr="009C35C7">
        <w:rPr>
          <w:rFonts w:asciiTheme="minorHAnsi" w:hAnsiTheme="minorHAnsi" w:cs="Arial"/>
          <w:sz w:val="18"/>
          <w:szCs w:val="18"/>
          <w:lang w:val="cs-CZ"/>
        </w:rPr>
        <w:t>Zpráva o České republice 2019 Průvodní dokument k sdělení Komise Evropskému parlamentu, Evropské radě, Radě, Evropské centrální bance a Euroskupině Evropský semestr 2019: Posouzení pokroku ve strukturálních ref</w:t>
      </w:r>
      <w:r>
        <w:rPr>
          <w:rFonts w:asciiTheme="minorHAnsi" w:hAnsiTheme="minorHAnsi" w:cs="Arial"/>
          <w:sz w:val="18"/>
          <w:szCs w:val="18"/>
          <w:lang w:val="cs-CZ"/>
        </w:rPr>
        <w:t>ormách a v </w:t>
      </w:r>
      <w:r w:rsidRPr="009C35C7">
        <w:rPr>
          <w:rFonts w:asciiTheme="minorHAnsi" w:hAnsiTheme="minorHAnsi" w:cs="Arial"/>
          <w:sz w:val="18"/>
          <w:szCs w:val="18"/>
          <w:lang w:val="cs-CZ"/>
        </w:rPr>
        <w:t>předcházení a nápravě makroekonomické nerovnováhy a výsledky hloubkových přezkumů strukturálních reforem podle nařízení (EU) č. 1176/</w:t>
      </w:r>
      <w:r>
        <w:rPr>
          <w:rFonts w:asciiTheme="minorHAnsi" w:hAnsiTheme="minorHAnsi" w:cs="Arial"/>
          <w:sz w:val="18"/>
          <w:szCs w:val="18"/>
          <w:lang w:val="cs-CZ"/>
        </w:rPr>
        <w:t>2011, Brusel 27. 2. 2019, str. 9 „</w:t>
      </w:r>
      <w:r w:rsidRPr="00BA23A4">
        <w:rPr>
          <w:rFonts w:asciiTheme="minorHAnsi" w:hAnsiTheme="minorHAnsi" w:cs="Arial"/>
          <w:i/>
          <w:sz w:val="18"/>
          <w:szCs w:val="18"/>
          <w:lang w:val="cs-CZ"/>
        </w:rPr>
        <w:t>Příjem nejbohatších 20</w:t>
      </w:r>
      <w:r>
        <w:rPr>
          <w:rFonts w:asciiTheme="minorHAnsi" w:hAnsiTheme="minorHAnsi" w:cs="Arial"/>
          <w:i/>
          <w:sz w:val="18"/>
          <w:szCs w:val="18"/>
          <w:lang w:val="cs-CZ"/>
        </w:rPr>
        <w:t xml:space="preserve"> </w:t>
      </w:r>
      <w:r w:rsidRPr="00BA23A4">
        <w:rPr>
          <w:rFonts w:asciiTheme="minorHAnsi" w:hAnsiTheme="minorHAnsi" w:cs="Arial"/>
          <w:i/>
          <w:sz w:val="18"/>
          <w:szCs w:val="18"/>
          <w:lang w:val="cs-CZ"/>
        </w:rPr>
        <w:t>% obyvatel byl v roce 2017 přibližně 3,4krát vyšší než příjem 20</w:t>
      </w:r>
      <w:r>
        <w:rPr>
          <w:rFonts w:asciiTheme="minorHAnsi" w:hAnsiTheme="minorHAnsi" w:cs="Arial"/>
          <w:i/>
          <w:sz w:val="18"/>
          <w:szCs w:val="18"/>
          <w:lang w:val="cs-CZ"/>
        </w:rPr>
        <w:t xml:space="preserve"> </w:t>
      </w:r>
      <w:r w:rsidRPr="00BA23A4">
        <w:rPr>
          <w:rFonts w:asciiTheme="minorHAnsi" w:hAnsiTheme="minorHAnsi" w:cs="Arial"/>
          <w:i/>
          <w:sz w:val="18"/>
          <w:szCs w:val="18"/>
          <w:lang w:val="cs-CZ"/>
        </w:rPr>
        <w:t>% nejchudších, což je výrazně menší rozdíl než v EU (5,1)“.</w:t>
      </w:r>
    </w:p>
    <w:p w:rsidR="0077505D" w:rsidRPr="00A87D1D" w:rsidP="00CC4EBC" w14:paraId="7C90A290" w14:textId="77777777">
      <w:pPr>
        <w:pStyle w:val="FootnoteText"/>
        <w:rPr>
          <w:sz w:val="18"/>
          <w:szCs w:val="18"/>
        </w:rPr>
      </w:pPr>
    </w:p>
  </w:footnote>
  <w:footnote w:id="13">
    <w:p w:rsidR="0077505D" w:rsidRPr="00B808D3" w:rsidP="00566505" w14:paraId="53B95F74" w14:textId="6F48B43C">
      <w:pPr>
        <w:pStyle w:val="FootnoteText"/>
        <w:jc w:val="both"/>
        <w:rPr>
          <w:lang w:val="cs-CZ"/>
        </w:rPr>
      </w:pPr>
      <w:r>
        <w:rPr>
          <w:rStyle w:val="FootnoteReference"/>
        </w:rPr>
        <w:footnoteRef/>
      </w:r>
      <w:r>
        <w:t xml:space="preserve"> </w:t>
      </w:r>
      <w:r w:rsidRPr="0070747B">
        <w:rPr>
          <w:sz w:val="18"/>
          <w:lang w:val="cs-CZ"/>
        </w:rPr>
        <w:t>Předpokládá se postupné navyšování podílu HDP na zdroje určené pro zdravotnictví.</w:t>
      </w:r>
    </w:p>
  </w:footnote>
  <w:footnote w:id="14">
    <w:p w:rsidR="003E7EF0" w:rsidRPr="003E7EF0" w:rsidP="003E7EF0" w14:paraId="00FE5084" w14:textId="75EDC8A0">
      <w:pPr>
        <w:pStyle w:val="FootnoteText"/>
        <w:jc w:val="left"/>
        <w:rPr>
          <w:lang w:val="cs-CZ"/>
        </w:rPr>
      </w:pPr>
      <w:r>
        <w:rPr>
          <w:rStyle w:val="FootnoteReference"/>
        </w:rPr>
        <w:footnoteRef/>
      </w:r>
      <w:r>
        <w:t xml:space="preserve"> </w:t>
      </w:r>
      <w:hyperlink r:id="rId3" w:history="1">
        <w:r>
          <w:rPr>
            <w:rStyle w:val="Hyperlink"/>
            <w:rFonts w:eastAsiaTheme="majorEastAsia"/>
          </w:rPr>
          <w:t>The Triple Billion targets: Methods to deliver impact</w:t>
        </w:r>
      </w:hyperlink>
      <w:r>
        <w:t xml:space="preserve"> </w:t>
      </w:r>
    </w:p>
  </w:footnote>
  <w:footnote w:id="15">
    <w:p w:rsidR="00162018" w:rsidRPr="0070747B" w:rsidP="0070747B" w14:paraId="08105036" w14:textId="79D47F57">
      <w:pPr>
        <w:pStyle w:val="FootnoteText"/>
        <w:jc w:val="both"/>
        <w:rPr>
          <w:lang w:val="cs-CZ"/>
        </w:rPr>
      </w:pPr>
      <w:r>
        <w:rPr>
          <w:rStyle w:val="FootnoteReference"/>
        </w:rPr>
        <w:footnoteRef/>
      </w:r>
      <w:r>
        <w:t xml:space="preserve"> </w:t>
      </w:r>
      <w:r>
        <w:rPr>
          <w:lang w:val="cs-CZ"/>
        </w:rPr>
        <w:t xml:space="preserve">Na podzim roku 2025 by měl být schvalován nový program práce s novými prioritami Regionální úřadovny WHO. </w:t>
      </w:r>
    </w:p>
  </w:footnote>
  <w:footnote w:id="16">
    <w:p w:rsidR="0077505D" w:rsidRPr="00725F5D" w:rsidP="00CD43C4" w14:paraId="37DF2222" w14:textId="77777777">
      <w:pPr>
        <w:pStyle w:val="FootnoteText"/>
        <w:jc w:val="both"/>
        <w:rPr>
          <w:lang w:val="cs-CZ"/>
        </w:rPr>
      </w:pPr>
      <w:r w:rsidRPr="00725F5D">
        <w:rPr>
          <w:rStyle w:val="FootnoteReference"/>
          <w:sz w:val="18"/>
        </w:rPr>
        <w:footnoteRef/>
      </w:r>
      <w:r w:rsidRPr="00725F5D">
        <w:rPr>
          <w:sz w:val="18"/>
        </w:rPr>
        <w:t xml:space="preserve"> https://www.osn.cz/osn/hlavni-temata/sdgs/</w:t>
      </w:r>
      <w:r>
        <w:rPr>
          <w:sz w:val="18"/>
        </w:rPr>
        <w:t>.</w:t>
      </w:r>
    </w:p>
  </w:footnote>
  <w:footnote w:id="17">
    <w:p w:rsidR="0D4C4CA9" w:rsidP="0D4C4CA9" w14:paraId="4EE57D47" w14:textId="68B49B19">
      <w:pPr>
        <w:pStyle w:val="FootnoteText"/>
        <w:jc w:val="left"/>
      </w:pPr>
      <w:r w:rsidRPr="0D4C4CA9">
        <w:rPr>
          <w:rStyle w:val="FootnoteReference"/>
          <w:rFonts w:eastAsiaTheme="majorEastAsia"/>
        </w:rPr>
        <w:footnoteRef/>
      </w:r>
      <w:r>
        <w:t xml:space="preserve"> </w:t>
      </w:r>
      <w:r w:rsidRPr="0D4C4CA9">
        <w:rPr>
          <w:sz w:val="18"/>
          <w:szCs w:val="18"/>
        </w:rPr>
        <w:t>Z </w:t>
      </w:r>
      <w:r w:rsidRPr="0D4C4CA9">
        <w:rPr>
          <w:sz w:val="18"/>
          <w:szCs w:val="18"/>
          <w:lang w:val="cs-CZ"/>
        </w:rPr>
        <w:t>Implementace Agendy 2030 v České republice.</w:t>
      </w:r>
    </w:p>
  </w:footnote>
  <w:footnote w:id="18">
    <w:p w:rsidR="009900C8" w:rsidRPr="009900C8" w:rsidP="009900C8" w14:paraId="11ABC5FE" w14:textId="243E6AC0">
      <w:pPr>
        <w:pStyle w:val="FootnoteText"/>
        <w:jc w:val="left"/>
        <w:rPr>
          <w:lang w:val="cs-CZ"/>
        </w:rPr>
      </w:pPr>
      <w:r>
        <w:rPr>
          <w:rStyle w:val="FootnoteReference"/>
        </w:rPr>
        <w:footnoteRef/>
      </w:r>
      <w:hyperlink r:id="rId4" w:history="1">
        <w:r w:rsidRPr="00052A82" w:rsidR="00162018">
          <w:rPr>
            <w:rStyle w:val="Hyperlink"/>
            <w:rFonts w:eastAsiaTheme="majorEastAsia"/>
            <w:lang w:val="cs-CZ"/>
          </w:rPr>
          <w:t>eur-lex.europa.eu/legal-content/CS/TXT/PDF/?uri=CELEX:12012E/TXT</w:t>
        </w:r>
      </w:hyperlink>
    </w:p>
  </w:footnote>
  <w:footnote w:id="19">
    <w:p w:rsidR="0077505D" w:rsidRPr="006D3FDA" w:rsidP="00054331" w14:paraId="63915F34" w14:textId="09921501">
      <w:pPr>
        <w:pStyle w:val="FootnoteText"/>
        <w:jc w:val="both"/>
        <w:rPr>
          <w:lang w:val="cs-CZ"/>
        </w:rPr>
      </w:pPr>
      <w:r>
        <w:rPr>
          <w:rStyle w:val="FootnoteReference"/>
        </w:rPr>
        <w:footnoteRef/>
      </w:r>
      <w:r>
        <w:t xml:space="preserve"> </w:t>
      </w:r>
      <w:hyperlink r:id="rId5" w:history="1">
        <w:r w:rsidRPr="00052A82" w:rsidR="006E3F97">
          <w:rPr>
            <w:rStyle w:val="Hyperlink"/>
            <w:rFonts w:eastAsiaTheme="majorEastAsia"/>
            <w:sz w:val="18"/>
            <w:lang w:val="cs-CZ"/>
          </w:rPr>
          <w:t>https://eur-lex.europa.eu/legal-content/CS/TXT/PDF/?uri=OJ:C:2017:210:FULL&amp;from=EN</w:t>
        </w:r>
      </w:hyperlink>
      <w:r w:rsidRPr="00052A82" w:rsidR="006E3F97">
        <w:rPr>
          <w:sz w:val="18"/>
          <w:lang w:val="cs-CZ"/>
        </w:rPr>
        <w:t>,</w:t>
      </w:r>
      <w:r w:rsidRPr="00054331">
        <w:rPr>
          <w:sz w:val="18"/>
        </w:rPr>
        <w:t>, str.</w:t>
      </w:r>
      <w:r>
        <w:rPr>
          <w:sz w:val="18"/>
        </w:rPr>
        <w:t xml:space="preserve"> </w:t>
      </w:r>
      <w:r w:rsidRPr="00054331">
        <w:rPr>
          <w:sz w:val="18"/>
        </w:rPr>
        <w:t>7</w:t>
      </w:r>
      <w:r>
        <w:rPr>
          <w:sz w:val="18"/>
        </w:rPr>
        <w:t>.</w:t>
      </w:r>
    </w:p>
  </w:footnote>
  <w:footnote w:id="20">
    <w:p w:rsidR="006E3F97" w:rsidRPr="0070747B" w:rsidP="0070747B" w14:paraId="70446005" w14:textId="62B2EBB5">
      <w:pPr>
        <w:pStyle w:val="FootnoteText"/>
        <w:jc w:val="both"/>
        <w:rPr>
          <w:lang w:val="cs-CZ"/>
        </w:rPr>
      </w:pPr>
      <w:r>
        <w:rPr>
          <w:rStyle w:val="FootnoteReference"/>
        </w:rPr>
        <w:footnoteRef/>
      </w:r>
      <w:r>
        <w:t xml:space="preserve"> </w:t>
      </w:r>
      <w:r>
        <w:rPr>
          <w:lang w:val="cs-CZ"/>
        </w:rPr>
        <w:t>s</w:t>
      </w:r>
      <w:r w:rsidRPr="00EB1F0A">
        <w:rPr>
          <w:lang w:val="cs-CZ"/>
        </w:rPr>
        <w:t>měrnice Evropského parlamentu a Rady 2011/24/EU ze dne 9. března 2011 o uplatňování práv pacientů v přeshraniční zdravotní péči</w:t>
      </w:r>
    </w:p>
  </w:footnote>
  <w:footnote w:id="21">
    <w:p w:rsidR="0D4C4CA9" w:rsidP="0D4C4CA9" w14:paraId="1E0EEB92" w14:textId="50A4A22C">
      <w:pPr>
        <w:pStyle w:val="FootnoteText"/>
        <w:jc w:val="left"/>
        <w:rPr>
          <w:lang w:val="cs-CZ"/>
        </w:rPr>
      </w:pPr>
      <w:r w:rsidRPr="0D4C4CA9">
        <w:rPr>
          <w:rStyle w:val="FootnoteReference"/>
        </w:rPr>
        <w:footnoteRef/>
      </w:r>
      <w:r>
        <w:t xml:space="preserve"> </w:t>
      </w:r>
      <w:hyperlink r:id="rId6" w:history="1">
        <w:r w:rsidRPr="0D4C4CA9">
          <w:rPr>
            <w:rStyle w:val="Hyperlink"/>
            <w:rFonts w:eastAsiaTheme="majorEastAsia"/>
          </w:rPr>
          <w:t>Koordinace systémů zdravotní péče - Evropská komise</w:t>
        </w:r>
      </w:hyperlink>
    </w:p>
  </w:footnote>
  <w:footnote w:id="22">
    <w:p w:rsidR="00FA76A0" w:rsidRPr="00FA76A0" w:rsidP="00FA76A0" w14:paraId="7F292419" w14:textId="443C8541">
      <w:pPr>
        <w:pStyle w:val="FootnoteText"/>
        <w:jc w:val="left"/>
        <w:rPr>
          <w:lang w:val="cs-CZ"/>
        </w:rPr>
      </w:pPr>
      <w:r>
        <w:rPr>
          <w:rStyle w:val="FootnoteReference"/>
        </w:rPr>
        <w:footnoteRef/>
      </w:r>
      <w:r>
        <w:t xml:space="preserve"> </w:t>
      </w:r>
      <w:hyperlink r:id="rId7" w:anchor=":~:text=Evropsk%C3%A1%20komise%20vytv%C3%A1%C5%99%C3%AD%20tzv.%20evropskou%20zdravotn%C3%AD%20unii%2C%20v,je%20rakovina%2C%20v%C4%8Detn%C4%9B%20zaji%C5%A1t%C4%9Bn%C3%AD%20n%C3%A1sledn%C3%A9%20p%C3%A9%C4%8De%20o%20pacienty." w:history="1">
        <w:r w:rsidRPr="00052A82" w:rsidR="006E3F97">
          <w:rPr>
            <w:rStyle w:val="Hyperlink"/>
            <w:rFonts w:eastAsiaTheme="majorEastAsia"/>
            <w:lang w:val="cs-CZ"/>
          </w:rPr>
          <w:t>Evropská zdravotní unie - Evropská komise</w:t>
        </w:r>
      </w:hyperlink>
    </w:p>
  </w:footnote>
  <w:footnote w:id="23">
    <w:p w:rsidR="0077505D" w:rsidRPr="00C90B8A" w:rsidP="0032533B" w14:paraId="63E23B9F" w14:textId="60CD0BE4">
      <w:pPr>
        <w:pStyle w:val="FootnoteText"/>
        <w:jc w:val="both"/>
        <w:rPr>
          <w:rFonts w:asciiTheme="minorHAnsi" w:hAnsiTheme="minorHAnsi"/>
          <w:sz w:val="18"/>
          <w:szCs w:val="18"/>
        </w:rPr>
      </w:pPr>
      <w:r w:rsidRPr="00E46D5D">
        <w:rPr>
          <w:rStyle w:val="FootnoteReference"/>
          <w:rFonts w:asciiTheme="minorHAnsi" w:eastAsiaTheme="majorEastAsia" w:hAnsiTheme="minorHAnsi"/>
          <w:sz w:val="18"/>
          <w:szCs w:val="18"/>
        </w:rPr>
        <w:footnoteRef/>
      </w:r>
      <w:r w:rsidRPr="00E46D5D">
        <w:rPr>
          <w:rFonts w:asciiTheme="minorHAnsi" w:hAnsiTheme="minorHAnsi"/>
          <w:sz w:val="18"/>
          <w:szCs w:val="18"/>
        </w:rPr>
        <w:t xml:space="preserve"> </w:t>
      </w:r>
      <w:r w:rsidRPr="00A95092">
        <w:rPr>
          <w:rFonts w:asciiTheme="minorHAnsi" w:hAnsiTheme="minorHAnsi"/>
          <w:sz w:val="18"/>
          <w:szCs w:val="18"/>
          <w:lang w:val="cs-CZ"/>
        </w:rPr>
        <w:t>Nařízení Evropského parlamentu a Rady o společných ustanoveních o Evropském fondu pro regionální rozvoj, Evropském sociálním fondu plus, Fondu soudržnosti a Evropském námořním a rybářském fondu a o finančních pravidlech pro tyto fondy a pro Azylový a migrační fond, Fond pro vnitřní bezpečnost a Nástroj pro správu hranic a víza.</w:t>
      </w:r>
      <w:r w:rsidR="00211A61">
        <w:rPr>
          <w:rFonts w:asciiTheme="minorHAnsi" w:hAnsiTheme="minorHAnsi"/>
          <w:sz w:val="18"/>
          <w:szCs w:val="18"/>
          <w:lang w:val="cs-CZ"/>
        </w:rPr>
        <w:t xml:space="preserve">  Dostupné na webu: </w:t>
      </w:r>
      <w:hyperlink r:id="rId8" w:anchor=":~:text=Na%C5%99%C3%ADzen%C3%AD%20Evropsk%C3%A9ho%20parlamentu%20a%20Rady%20%28EU%29%202021%2F1060%20ze,politiky%20%28%C3%9A%C5%99.%20v%C4%9Bst.%20L%20231%2C%2030.6.2021%2C%20s.%20159%E2%80%93706%29." w:history="1">
        <w:r w:rsidRPr="00211A61" w:rsidR="00211A61">
          <w:rPr>
            <w:rFonts w:asciiTheme="minorHAnsi" w:hAnsiTheme="minorHAnsi"/>
            <w:sz w:val="18"/>
            <w:szCs w:val="18"/>
            <w:lang w:val="cs-CZ"/>
          </w:rPr>
          <w:t>Společná pravidla pro fondy EU (2021–2027) | EUR-Lex</w:t>
        </w:r>
      </w:hyperlink>
    </w:p>
  </w:footnote>
  <w:footnote w:id="24">
    <w:p w:rsidR="0077505D" w:rsidP="00A163A6" w14:paraId="31AB0AB4" w14:textId="480A8389">
      <w:pPr>
        <w:spacing w:before="0" w:after="0"/>
        <w:rPr>
          <w:rFonts w:cstheme="minorHAnsi"/>
          <w:sz w:val="18"/>
          <w:szCs w:val="18"/>
        </w:rPr>
      </w:pPr>
      <w:r w:rsidRPr="006765BD">
        <w:rPr>
          <w:rStyle w:val="FootnoteReference"/>
          <w:sz w:val="18"/>
          <w:szCs w:val="18"/>
        </w:rPr>
        <w:footnoteRef/>
      </w:r>
      <w:r w:rsidRPr="00F515D8">
        <w:rPr>
          <w:rFonts w:cstheme="minorHAnsi"/>
          <w:sz w:val="18"/>
          <w:szCs w:val="18"/>
        </w:rPr>
        <w:t xml:space="preserve">Podmínkou pro čerpání prostředků z fondů EU je naplnění tzv. základní podmínky podle čl. 11 a přílohy IV zmiňovaného připravovaného nařízení, která je pro oblast zdraví a zdravotnictví ve znění </w:t>
      </w:r>
      <w:r>
        <w:rPr>
          <w:rFonts w:cstheme="minorHAnsi"/>
          <w:sz w:val="18"/>
          <w:szCs w:val="18"/>
        </w:rPr>
        <w:t xml:space="preserve">návrhu Evropské komise ze </w:t>
      </w:r>
      <w:r w:rsidRPr="00F515D8">
        <w:rPr>
          <w:rFonts w:cstheme="minorHAnsi"/>
          <w:sz w:val="18"/>
          <w:szCs w:val="18"/>
        </w:rPr>
        <w:t xml:space="preserve">dne </w:t>
      </w:r>
      <w:r w:rsidRPr="00A163A6">
        <w:rPr>
          <w:rFonts w:cstheme="minorHAnsi"/>
          <w:sz w:val="18"/>
          <w:szCs w:val="18"/>
        </w:rPr>
        <w:t xml:space="preserve">29. 5. 2018 </w:t>
      </w:r>
      <w:r w:rsidRPr="00F515D8">
        <w:rPr>
          <w:rFonts w:cstheme="minorHAnsi"/>
          <w:sz w:val="18"/>
          <w:szCs w:val="18"/>
        </w:rPr>
        <w:t>zatím definována takto:</w:t>
      </w:r>
    </w:p>
    <w:p w:rsidR="0077505D" w:rsidP="00A163A6" w14:paraId="7F1C572C" w14:textId="77777777">
      <w:pPr>
        <w:spacing w:before="0" w:after="0"/>
        <w:rPr>
          <w:rFonts w:cstheme="minorHAnsi"/>
          <w:sz w:val="18"/>
          <w:szCs w:val="18"/>
        </w:rPr>
      </w:pPr>
    </w:p>
    <w:p w:rsidR="0077505D" w:rsidRPr="00A163A6" w:rsidP="00A163A6" w14:paraId="747A1761" w14:textId="6808B8EB">
      <w:pPr>
        <w:spacing w:before="0" w:after="0"/>
        <w:rPr>
          <w:rFonts w:cstheme="minorHAnsi"/>
          <w:sz w:val="18"/>
          <w:szCs w:val="18"/>
        </w:rPr>
      </w:pPr>
      <w:r w:rsidRPr="00F515D8">
        <w:rPr>
          <w:rFonts w:cstheme="minorHAnsi"/>
          <w:sz w:val="18"/>
          <w:szCs w:val="18"/>
        </w:rPr>
        <w:t xml:space="preserve"> „</w:t>
      </w:r>
      <w:r w:rsidRPr="00A163A6">
        <w:rPr>
          <w:rFonts w:cstheme="minorHAnsi"/>
          <w:sz w:val="18"/>
          <w:szCs w:val="18"/>
        </w:rPr>
        <w:t xml:space="preserve">Je vypracován vnitrostátní nebo regionální strategický rámec politiky v oblasti zdraví, který obsahuje: </w:t>
      </w:r>
    </w:p>
    <w:p w:rsidR="0077505D" w:rsidRPr="00A163A6" w:rsidP="00A163A6" w14:paraId="0ADFEADA" w14:textId="77777777">
      <w:pPr>
        <w:spacing w:before="0" w:after="0"/>
        <w:ind w:left="284"/>
        <w:rPr>
          <w:rFonts w:cstheme="minorHAnsi"/>
          <w:sz w:val="18"/>
          <w:szCs w:val="18"/>
        </w:rPr>
      </w:pPr>
      <w:r w:rsidRPr="00A163A6">
        <w:rPr>
          <w:rFonts w:cstheme="minorHAnsi"/>
          <w:sz w:val="18"/>
          <w:szCs w:val="18"/>
        </w:rPr>
        <w:t>1.Mapování potřeb v oblasti zdravotní a dlouhodobé péče, a to i pokud jde o zdravotnický personál, s cílem zajistit udržitelná a koordinovaná opatření,</w:t>
      </w:r>
    </w:p>
    <w:p w:rsidR="0077505D" w:rsidRPr="00A163A6" w:rsidP="00A163A6" w14:paraId="4B4159C7" w14:textId="77777777">
      <w:pPr>
        <w:spacing w:before="0" w:after="0"/>
        <w:ind w:left="284"/>
        <w:rPr>
          <w:rFonts w:cstheme="minorHAnsi"/>
          <w:sz w:val="18"/>
          <w:szCs w:val="18"/>
        </w:rPr>
      </w:pPr>
      <w:r w:rsidRPr="00A163A6">
        <w:rPr>
          <w:rFonts w:cstheme="minorHAnsi"/>
          <w:sz w:val="18"/>
          <w:szCs w:val="18"/>
        </w:rPr>
        <w:t xml:space="preserve">2.Opatření k zajištění efektivnosti, udržitelnosti, přístupnosti a cenové dostupnosti zdravotní péče a služeb dlouhodobé péče, včetně zvláštního zaměření na osoby vyloučené ze systémů zdravotní a dlouhodobé péče, </w:t>
      </w:r>
    </w:p>
    <w:p w:rsidR="0077505D" w:rsidP="00A163A6" w14:paraId="63C1FE21" w14:textId="5678044A">
      <w:pPr>
        <w:spacing w:before="0" w:after="0"/>
        <w:ind w:left="284"/>
        <w:rPr>
          <w:rFonts w:cstheme="minorHAnsi"/>
          <w:sz w:val="18"/>
          <w:szCs w:val="18"/>
        </w:rPr>
      </w:pPr>
      <w:r w:rsidRPr="00A163A6">
        <w:rPr>
          <w:rFonts w:cstheme="minorHAnsi"/>
          <w:sz w:val="18"/>
          <w:szCs w:val="18"/>
        </w:rPr>
        <w:t>3.Opatření na podporu komunitních služeb, včetně prevence a primární péče a služeb domácí péče a komunitní péče.</w:t>
      </w:r>
      <w:r>
        <w:rPr>
          <w:rFonts w:cstheme="minorHAnsi"/>
          <w:sz w:val="18"/>
          <w:szCs w:val="18"/>
        </w:rPr>
        <w:t>“</w:t>
      </w:r>
    </w:p>
    <w:p w:rsidR="0077505D" w:rsidRPr="006765BD" w:rsidP="006765BD" w14:paraId="134BE635" w14:textId="77777777">
      <w:pPr>
        <w:spacing w:before="0" w:after="0"/>
        <w:ind w:left="284"/>
        <w:rPr>
          <w:rFonts w:cstheme="minorHAnsi"/>
          <w:sz w:val="18"/>
          <w:szCs w:val="18"/>
        </w:rPr>
      </w:pPr>
    </w:p>
  </w:footnote>
  <w:footnote w:id="25">
    <w:p w:rsidR="004C47A4" w:rsidRPr="0070747B" w:rsidP="0070747B" w14:paraId="08FC33A4" w14:textId="4892D1F2">
      <w:pPr>
        <w:pStyle w:val="FootnoteText"/>
        <w:jc w:val="both"/>
        <w:rPr>
          <w:lang w:val="cs-CZ"/>
        </w:rPr>
      </w:pPr>
      <w:r>
        <w:rPr>
          <w:rStyle w:val="FootnoteReference"/>
        </w:rPr>
        <w:footnoteRef/>
      </w:r>
      <w:r>
        <w:t xml:space="preserve"> </w:t>
      </w:r>
      <w:r>
        <w:rPr>
          <w:lang w:val="cs-CZ"/>
        </w:rPr>
        <w:t>n</w:t>
      </w:r>
      <w:r w:rsidRPr="00D77675">
        <w:rPr>
          <w:lang w:val="cs-CZ"/>
        </w:rPr>
        <w:t>ařízení Evropského parlamentu a Rady (EU) 2021/522 ze dne 24. března 2021, kterým se zavádí program činnosti Unie v oblasti zdraví (program EU pro zdraví) („EU4Health“) na období 2021–2027 a</w:t>
      </w:r>
      <w:r>
        <w:rPr>
          <w:lang w:val="cs-CZ"/>
        </w:rPr>
        <w:t> </w:t>
      </w:r>
      <w:r w:rsidRPr="00D77675">
        <w:rPr>
          <w:lang w:val="cs-CZ"/>
        </w:rPr>
        <w:t>zrušuje nařízení (EU) č. 282/2014</w:t>
      </w:r>
    </w:p>
  </w:footnote>
  <w:footnote w:id="26">
    <w:p w:rsidR="004C47A4" w:rsidRPr="009A1AAC" w:rsidP="004C47A4" w14:paraId="61BF6DEC" w14:textId="77777777">
      <w:pPr>
        <w:pStyle w:val="FootnoteText"/>
        <w:jc w:val="both"/>
        <w:rPr>
          <w:lang w:val="cs-CZ"/>
        </w:rPr>
      </w:pPr>
      <w:r>
        <w:rPr>
          <w:rStyle w:val="FootnoteReference"/>
        </w:rPr>
        <w:footnoteRef/>
      </w:r>
      <w:r>
        <w:t xml:space="preserve"> </w:t>
      </w:r>
      <w:hyperlink r:id="rId9" w:history="1">
        <w:r w:rsidRPr="009117E7">
          <w:rPr>
            <w:rStyle w:val="Hyperlink"/>
            <w:noProof w:val="0"/>
            <w:lang w:val="cs-CZ"/>
          </w:rPr>
          <w:t>EU Global Health Strategy</w:t>
        </w:r>
      </w:hyperlink>
    </w:p>
  </w:footnote>
  <w:footnote w:id="27">
    <w:p w:rsidR="00524549" w:rsidRPr="00524549" w:rsidP="00524549" w14:paraId="15C25288" w14:textId="0CB1ACBC">
      <w:pPr>
        <w:pStyle w:val="FootnoteText"/>
        <w:jc w:val="left"/>
        <w:rPr>
          <w:lang w:val="cs-CZ"/>
        </w:rPr>
      </w:pPr>
      <w:r>
        <w:rPr>
          <w:rStyle w:val="FootnoteReference"/>
        </w:rPr>
        <w:footnoteRef/>
      </w:r>
      <w:r>
        <w:t xml:space="preserve"> </w:t>
      </w:r>
      <w:hyperlink r:id="rId10" w:history="1">
        <w:r>
          <w:rPr>
            <w:rStyle w:val="Hyperlink"/>
            <w:rFonts w:eastAsiaTheme="majorEastAsia"/>
          </w:rPr>
          <w:t>Health | OECD</w:t>
        </w:r>
      </w:hyperlink>
    </w:p>
  </w:footnote>
  <w:footnote w:id="28">
    <w:p w:rsidR="000D1C3E" w:rsidRPr="00722F15" w:rsidP="000D1C3E" w14:paraId="7E64244B" w14:textId="77777777">
      <w:pPr>
        <w:pStyle w:val="FootnoteText"/>
        <w:jc w:val="both"/>
        <w:rPr>
          <w:lang w:val="cs-CZ"/>
        </w:rPr>
      </w:pPr>
      <w:r w:rsidRPr="00722F15">
        <w:rPr>
          <w:rStyle w:val="FootnoteReference"/>
          <w:lang w:val="cs-CZ"/>
        </w:rPr>
        <w:footnoteRef/>
      </w:r>
      <w:r w:rsidRPr="00722F15">
        <w:rPr>
          <w:rStyle w:val="FootnoteReference"/>
          <w:lang w:val="cs-CZ"/>
        </w:rPr>
        <w:t xml:space="preserve"> </w:t>
      </w:r>
      <w:r w:rsidRPr="00722F15">
        <w:rPr>
          <w:sz w:val="20"/>
          <w:lang w:val="cs-CZ"/>
        </w:rPr>
        <w:t>State of Health in the EU: CZECHIA, draft 8/2025</w:t>
      </w:r>
    </w:p>
  </w:footnote>
  <w:footnote w:id="29">
    <w:p w:rsidR="000D1C3E" w:rsidRPr="00722F15" w:rsidP="000D1C3E" w14:paraId="62D14D40" w14:textId="77777777">
      <w:pPr>
        <w:pStyle w:val="FootnoteText"/>
        <w:jc w:val="left"/>
        <w:rPr>
          <w:lang w:val="cs-CZ"/>
        </w:rPr>
      </w:pPr>
      <w:r>
        <w:rPr>
          <w:rStyle w:val="FootnoteReference"/>
        </w:rPr>
        <w:footnoteRef/>
      </w:r>
      <w:r>
        <w:t xml:space="preserve"> </w:t>
      </w:r>
      <w:r w:rsidRPr="00722F15">
        <w:rPr>
          <w:sz w:val="20"/>
          <w:lang w:val="cs-CZ"/>
        </w:rPr>
        <w:t xml:space="preserve">Více viz </w:t>
      </w:r>
      <w:hyperlink r:id="rId11" w:history="1">
        <w:r w:rsidRPr="00722F15">
          <w:rPr>
            <w:rStyle w:val="Hyperlink"/>
            <w:noProof w:val="0"/>
            <w:sz w:val="20"/>
            <w:lang w:val="cs-CZ"/>
          </w:rPr>
          <w:t>Hospodářská strategie České republiky: Česko do top 10</w:t>
        </w:r>
      </w:hyperlink>
    </w:p>
  </w:footnote>
  <w:footnote w:id="30">
    <w:p w:rsidR="000D1C3E" w:rsidRPr="00722F15" w:rsidP="000D1C3E" w14:paraId="128D81C5" w14:textId="77777777">
      <w:pPr>
        <w:pStyle w:val="FootnoteText"/>
        <w:jc w:val="both"/>
        <w:rPr>
          <w:sz w:val="20"/>
          <w:lang w:val="cs-CZ"/>
        </w:rPr>
      </w:pPr>
      <w:r w:rsidRPr="00722F15">
        <w:rPr>
          <w:rStyle w:val="FootnoteReference"/>
          <w:lang w:val="cs-CZ"/>
        </w:rPr>
        <w:footnoteRef/>
      </w:r>
      <w:r w:rsidRPr="00722F15">
        <w:rPr>
          <w:lang w:val="cs-CZ"/>
        </w:rPr>
        <w:t xml:space="preserve"> </w:t>
      </w:r>
      <w:r w:rsidRPr="00722F15">
        <w:rPr>
          <w:sz w:val="20"/>
          <w:lang w:val="cs-CZ"/>
        </w:rPr>
        <w:t>Definice trhu = Rx + volně prodejné registrované léky</w:t>
      </w:r>
    </w:p>
  </w:footnote>
  <w:footnote w:id="31">
    <w:p w:rsidR="000D1C3E" w:rsidRPr="00722F15" w:rsidP="000D1C3E" w14:paraId="59B81D29" w14:textId="77777777">
      <w:pPr>
        <w:pStyle w:val="FootnoteText"/>
        <w:jc w:val="both"/>
        <w:rPr>
          <w:sz w:val="20"/>
          <w:lang w:val="cs-CZ"/>
        </w:rPr>
      </w:pPr>
      <w:r w:rsidRPr="00722F15">
        <w:rPr>
          <w:rStyle w:val="FootnoteReference"/>
          <w:sz w:val="20"/>
          <w:lang w:val="cs-CZ"/>
        </w:rPr>
        <w:footnoteRef/>
      </w:r>
      <w:r w:rsidRPr="00722F15">
        <w:rPr>
          <w:sz w:val="20"/>
          <w:lang w:val="cs-CZ"/>
        </w:rPr>
        <w:t xml:space="preserve"> Sektorová analýza farmaceutického průmyslu v České republice, IQVIA Solutions a.s. pro Ministerstvo průmyslu a obchodu, 2024</w:t>
      </w:r>
    </w:p>
  </w:footnote>
  <w:footnote w:id="32">
    <w:p w:rsidR="000D1C3E" w:rsidRPr="00722F15" w:rsidP="000D1C3E" w14:paraId="07438963" w14:textId="77777777">
      <w:pPr>
        <w:pStyle w:val="FootnoteText"/>
        <w:jc w:val="both"/>
        <w:rPr>
          <w:sz w:val="20"/>
          <w:lang w:val="cs-CZ"/>
        </w:rPr>
      </w:pPr>
      <w:r w:rsidRPr="00722F15">
        <w:rPr>
          <w:rStyle w:val="FootnoteReference"/>
          <w:sz w:val="20"/>
          <w:lang w:val="cs-CZ"/>
        </w:rPr>
        <w:footnoteRef/>
      </w:r>
      <w:r w:rsidRPr="00722F15">
        <w:rPr>
          <w:sz w:val="20"/>
          <w:lang w:val="cs-CZ"/>
        </w:rPr>
        <w:t xml:space="preserve"> </w:t>
      </w:r>
      <w:hyperlink r:id="rId12" w:history="1">
        <w:r w:rsidRPr="00722F15">
          <w:rPr>
            <w:rStyle w:val="Hyperlink"/>
            <w:noProof w:val="0"/>
            <w:sz w:val="20"/>
            <w:lang w:val="cs-CZ"/>
          </w:rPr>
          <w:t>Dostupnost moderní léčby se v Česku výrazně zlepšuje. I díky VZP patříme mezi sedm nejlepších v Evropě – VZP ČR</w:t>
        </w:r>
      </w:hyperlink>
    </w:p>
  </w:footnote>
  <w:footnote w:id="33">
    <w:p w:rsidR="000D1C3E" w:rsidRPr="00722F15" w:rsidP="000D1C3E" w14:paraId="44FA4620" w14:textId="77777777">
      <w:pPr>
        <w:pStyle w:val="FootnoteText"/>
        <w:jc w:val="left"/>
        <w:rPr>
          <w:rStyle w:val="FootnoteReference"/>
          <w:sz w:val="20"/>
        </w:rPr>
      </w:pPr>
      <w:r w:rsidRPr="00722F15">
        <w:rPr>
          <w:rStyle w:val="FootnoteReference"/>
          <w:sz w:val="20"/>
        </w:rPr>
        <w:footnoteRef/>
      </w:r>
      <w:r w:rsidRPr="00722F15">
        <w:rPr>
          <w:rStyle w:val="FootnoteReference"/>
          <w:sz w:val="20"/>
        </w:rPr>
        <w:t xml:space="preserve"> </w:t>
      </w:r>
      <w:r w:rsidRPr="00722F15">
        <w:rPr>
          <w:sz w:val="20"/>
          <w:lang w:val="cs-CZ"/>
        </w:rPr>
        <w:t>State of Health in the EU: CZECHIA, draft 8/2025</w:t>
      </w:r>
    </w:p>
  </w:footnote>
  <w:footnote w:id="34">
    <w:p w:rsidR="000D1C3E" w:rsidRPr="00722F15" w:rsidP="000D1C3E" w14:paraId="50610514" w14:textId="77777777">
      <w:pPr>
        <w:pStyle w:val="FootnoteText"/>
        <w:jc w:val="both"/>
        <w:rPr>
          <w:sz w:val="20"/>
          <w:lang w:val="cs-CZ"/>
        </w:rPr>
      </w:pPr>
      <w:r w:rsidRPr="00722F15">
        <w:rPr>
          <w:rStyle w:val="FootnoteReference"/>
          <w:sz w:val="20"/>
        </w:rPr>
        <w:footnoteRef/>
      </w:r>
      <w:r w:rsidRPr="00722F15">
        <w:rPr>
          <w:sz w:val="20"/>
        </w:rPr>
        <w:t xml:space="preserve"> </w:t>
      </w:r>
      <w:r w:rsidRPr="00722F15">
        <w:rPr>
          <w:sz w:val="20"/>
          <w:lang w:val="cs-CZ"/>
        </w:rPr>
        <w:t>Sektorová analýza farmaceutického průmyslu v České republice, IQVIA Solutions a.s. pro Ministerstvo průmyslu a obchodu, 2024</w:t>
      </w:r>
    </w:p>
  </w:footnote>
  <w:footnote w:id="35">
    <w:p w:rsidR="000D1C3E" w:rsidRPr="00722F15" w:rsidP="000D1C3E" w14:paraId="350CA6BC" w14:textId="77777777">
      <w:pPr>
        <w:pStyle w:val="FootnoteText"/>
        <w:jc w:val="both"/>
        <w:rPr>
          <w:sz w:val="20"/>
          <w:lang w:val="cs-CZ"/>
        </w:rPr>
      </w:pPr>
      <w:r w:rsidRPr="00722F15">
        <w:rPr>
          <w:rStyle w:val="FootnoteReference"/>
          <w:sz w:val="20"/>
          <w:lang w:val="cs-CZ"/>
        </w:rPr>
        <w:footnoteRef/>
      </w:r>
      <w:r w:rsidRPr="00722F15">
        <w:rPr>
          <w:sz w:val="20"/>
          <w:lang w:val="cs-CZ"/>
        </w:rPr>
        <w:t xml:space="preserve"> HTA je zkratka pro anglický termín Health Technology Assessment, což v češtině znamená hodnocení zdravotnických technologií. Jde o systematický proces, který analyzuje medicínské, sociální, ekonomické a etické dopady používání různých zdravotnických technologií. Cílem HTA je pomoci s rozhodováním o tom, které technologie by měly být ve zdravotnictví používány, s ohledem na efektivitu, bezpečnost a ekonomickou stránku věci.</w:t>
      </w:r>
    </w:p>
  </w:footnote>
  <w:footnote w:id="36">
    <w:p w:rsidR="001D16A6" w:rsidRPr="001D16A6" w14:paraId="0B5892D6" w14:textId="3CDD4409">
      <w:pPr>
        <w:pStyle w:val="FootnoteText"/>
        <w:rPr>
          <w:lang w:val="cs-CZ"/>
        </w:rPr>
      </w:pPr>
      <w:r>
        <w:rPr>
          <w:rStyle w:val="FootnoteReference"/>
        </w:rPr>
        <w:footnoteRef/>
      </w:r>
      <w:r>
        <w:t xml:space="preserve"> </w:t>
      </w:r>
      <w:r w:rsidRPr="001D16A6">
        <w:rPr>
          <w:sz w:val="20"/>
          <w:szCs w:val="16"/>
        </w:rPr>
        <w:t>zdroj: ČSÚ – ISDEM, https://www.czso.cz/csu/czso/projekceobyvatelstva-ceske-republiky-2018-2100</w:t>
      </w:r>
    </w:p>
  </w:footnote>
  <w:footnote w:id="37">
    <w:p w:rsidR="001D16A6" w:rsidRPr="001D16A6" w14:paraId="27E796E3" w14:textId="241BC856">
      <w:pPr>
        <w:pStyle w:val="FootnoteText"/>
        <w:rPr>
          <w:lang w:val="cs-CZ"/>
        </w:rPr>
      </w:pPr>
      <w:r>
        <w:rPr>
          <w:rStyle w:val="FootnoteReference"/>
        </w:rPr>
        <w:footnoteRef/>
      </w:r>
      <w:r>
        <w:t xml:space="preserve"> </w:t>
      </w:r>
      <w:r w:rsidRPr="001D16A6">
        <w:rPr>
          <w:sz w:val="20"/>
          <w:szCs w:val="16"/>
        </w:rPr>
        <w:t>Zdroj: ČSÚ, Výběrové šetření SILC 2021 -Statistics on Income and Living Conditions</w:t>
      </w:r>
    </w:p>
  </w:footnote>
  <w:footnote w:id="38">
    <w:p w:rsidR="00A76456" w:rsidRPr="00A76456" w:rsidP="00A76456" w14:paraId="5B9A10EF" w14:textId="3EADAF8F">
      <w:pPr>
        <w:pStyle w:val="FootnoteText"/>
        <w:jc w:val="left"/>
        <w:rPr>
          <w:sz w:val="20"/>
          <w:lang w:val="cs-CZ"/>
        </w:rPr>
      </w:pPr>
      <w:r w:rsidRPr="00A76456">
        <w:rPr>
          <w:rStyle w:val="FootnoteReference"/>
          <w:sz w:val="20"/>
        </w:rPr>
        <w:footnoteRef/>
      </w:r>
      <w:r w:rsidRPr="00A76456">
        <w:rPr>
          <w:sz w:val="20"/>
        </w:rPr>
        <w:t xml:space="preserve"> Zdroj: NHS, 2023</w:t>
      </w:r>
    </w:p>
  </w:footnote>
  <w:footnote w:id="39">
    <w:p w:rsidR="00A76456" w:rsidRPr="00A76456" w:rsidP="00A76456" w14:paraId="288FF085" w14:textId="08DE951E">
      <w:pPr>
        <w:pStyle w:val="FootnoteText"/>
        <w:jc w:val="left"/>
        <w:rPr>
          <w:lang w:val="cs-CZ"/>
        </w:rPr>
      </w:pPr>
      <w:r w:rsidRPr="00A76456">
        <w:rPr>
          <w:rStyle w:val="FootnoteReference"/>
          <w:sz w:val="20"/>
        </w:rPr>
        <w:footnoteRef/>
      </w:r>
      <w:r w:rsidRPr="00A76456">
        <w:rPr>
          <w:sz w:val="20"/>
        </w:rPr>
        <w:t xml:space="preserve"> </w:t>
      </w:r>
      <w:r w:rsidRPr="00A76456">
        <w:rPr>
          <w:sz w:val="20"/>
          <w:lang w:val="cs-CZ"/>
        </w:rPr>
        <w:t xml:space="preserve">Zdroj: </w:t>
      </w:r>
      <w:r w:rsidRPr="00A76456">
        <w:rPr>
          <w:sz w:val="20"/>
        </w:rPr>
        <w:t>ČSÚ, 2023</w:t>
      </w:r>
    </w:p>
  </w:footnote>
  <w:footnote w:id="40">
    <w:p w:rsidR="005D1A37" w:rsidRPr="005D1A37" w:rsidP="005D1A37" w14:paraId="69B82C5B" w14:textId="416AEA57">
      <w:pPr>
        <w:pStyle w:val="FootnoteText"/>
        <w:jc w:val="left"/>
        <w:rPr>
          <w:sz w:val="20"/>
          <w:szCs w:val="18"/>
          <w:lang w:val="cs-CZ"/>
        </w:rPr>
      </w:pPr>
      <w:r w:rsidRPr="005D1A37">
        <w:rPr>
          <w:rStyle w:val="FootnoteReference"/>
          <w:sz w:val="20"/>
          <w:szCs w:val="18"/>
        </w:rPr>
        <w:footnoteRef/>
      </w:r>
      <w:r w:rsidRPr="005D1A37">
        <w:rPr>
          <w:sz w:val="20"/>
          <w:szCs w:val="18"/>
        </w:rPr>
        <w:t xml:space="preserve"> </w:t>
      </w:r>
      <w:r w:rsidRPr="005D1A37">
        <w:rPr>
          <w:rFonts w:asciiTheme="minorHAnsi" w:eastAsiaTheme="minorEastAsia" w:hAnsiTheme="minorHAnsi" w:cstheme="minorBidi"/>
          <w:sz w:val="20"/>
          <w:szCs w:val="18"/>
        </w:rPr>
        <w:t>Fawcett et al., 2019; Hahn-Holbrook et al., 2017</w:t>
      </w:r>
    </w:p>
  </w:footnote>
  <w:footnote w:id="41">
    <w:p w:rsidR="005D1A37" w:rsidRPr="005D1A37" w:rsidP="005D1A37" w14:paraId="1744C0F3" w14:textId="3120DD16">
      <w:pPr>
        <w:pStyle w:val="FootnoteText"/>
        <w:jc w:val="left"/>
        <w:rPr>
          <w:sz w:val="20"/>
          <w:szCs w:val="18"/>
          <w:lang w:val="cs-CZ"/>
        </w:rPr>
      </w:pPr>
      <w:r w:rsidRPr="005D1A37">
        <w:rPr>
          <w:rStyle w:val="FootnoteReference"/>
          <w:sz w:val="20"/>
          <w:szCs w:val="18"/>
        </w:rPr>
        <w:footnoteRef/>
      </w:r>
      <w:r w:rsidRPr="005D1A37">
        <w:rPr>
          <w:sz w:val="20"/>
          <w:szCs w:val="18"/>
        </w:rPr>
        <w:t xml:space="preserve"> </w:t>
      </w:r>
      <w:r w:rsidRPr="005D1A37">
        <w:rPr>
          <w:rFonts w:asciiTheme="minorHAnsi" w:eastAsiaTheme="minorEastAsia" w:hAnsiTheme="minorHAnsi" w:cstheme="minorBidi"/>
          <w:sz w:val="20"/>
          <w:szCs w:val="18"/>
        </w:rPr>
        <w:t>Field et al., 2006; Grote et al., 2010</w:t>
      </w:r>
    </w:p>
  </w:footnote>
  <w:footnote w:id="42">
    <w:p w:rsidR="005D1A37" w:rsidRPr="005D1A37" w:rsidP="005D1A37" w14:paraId="65D926BB" w14:textId="3A6FA567">
      <w:pPr>
        <w:pStyle w:val="FootnoteText"/>
        <w:jc w:val="left"/>
        <w:rPr>
          <w:sz w:val="20"/>
          <w:szCs w:val="18"/>
          <w:lang w:val="cs-CZ"/>
        </w:rPr>
      </w:pPr>
      <w:r w:rsidRPr="005D1A37">
        <w:rPr>
          <w:rStyle w:val="FootnoteReference"/>
          <w:sz w:val="20"/>
          <w:szCs w:val="18"/>
        </w:rPr>
        <w:footnoteRef/>
      </w:r>
      <w:r w:rsidRPr="005D1A37">
        <w:rPr>
          <w:sz w:val="20"/>
          <w:szCs w:val="18"/>
        </w:rPr>
        <w:t xml:space="preserve"> </w:t>
      </w:r>
      <w:r w:rsidRPr="005D1A37">
        <w:rPr>
          <w:rFonts w:asciiTheme="minorHAnsi" w:eastAsiaTheme="minorEastAsia" w:hAnsiTheme="minorHAnsi" w:cstheme="minorBidi"/>
          <w:sz w:val="20"/>
          <w:szCs w:val="18"/>
        </w:rPr>
        <w:t>Sebela et al., 2021</w:t>
      </w:r>
    </w:p>
  </w:footnote>
  <w:footnote w:id="43">
    <w:p w:rsidR="005D1A37" w:rsidRPr="005D1A37" w:rsidP="005D1A37" w14:paraId="14D36078" w14:textId="51879E7F">
      <w:pPr>
        <w:pStyle w:val="FootnoteText"/>
        <w:jc w:val="left"/>
        <w:rPr>
          <w:lang w:val="cs-CZ"/>
        </w:rPr>
      </w:pPr>
      <w:r w:rsidRPr="005D1A37">
        <w:rPr>
          <w:rStyle w:val="FootnoteReference"/>
          <w:sz w:val="20"/>
          <w:szCs w:val="18"/>
        </w:rPr>
        <w:footnoteRef/>
      </w:r>
      <w:r w:rsidRPr="005D1A37">
        <w:rPr>
          <w:sz w:val="20"/>
          <w:szCs w:val="18"/>
        </w:rPr>
        <w:t xml:space="preserve"> </w:t>
      </w:r>
      <w:r w:rsidRPr="005D1A37">
        <w:rPr>
          <w:rFonts w:asciiTheme="minorHAnsi" w:eastAsiaTheme="minorEastAsia" w:hAnsiTheme="minorHAnsi" w:cstheme="minorBidi"/>
          <w:sz w:val="20"/>
          <w:szCs w:val="18"/>
        </w:rPr>
        <w:t>Horáková et al., 2022</w:t>
      </w:r>
    </w:p>
  </w:footnote>
  <w:footnote w:id="44">
    <w:p w:rsidR="00370D7A" w:rsidRPr="003C7F59" w:rsidP="00370D7A" w14:paraId="118357D9" w14:textId="77777777">
      <w:pPr>
        <w:spacing w:before="0" w:after="0"/>
        <w:rPr>
          <w:color w:val="auto"/>
        </w:rPr>
      </w:pPr>
      <w:r w:rsidRPr="003C7F59">
        <w:rPr>
          <w:rStyle w:val="FootnoteReference"/>
          <w:color w:val="auto"/>
        </w:rPr>
        <w:footnoteRef/>
      </w:r>
      <w:r w:rsidRPr="003C7F59">
        <w:rPr>
          <w:color w:val="auto"/>
        </w:rPr>
        <w:t xml:space="preserve"> </w:t>
      </w:r>
      <w:r w:rsidRPr="003C7F59">
        <w:rPr>
          <w:color w:val="auto"/>
          <w:sz w:val="18"/>
          <w:szCs w:val="18"/>
        </w:rPr>
        <w:t xml:space="preserve">World Health Organization (2024). </w:t>
      </w:r>
      <w:r w:rsidRPr="003C7F59">
        <w:rPr>
          <w:i/>
          <w:iCs/>
          <w:color w:val="auto"/>
          <w:sz w:val="18"/>
          <w:szCs w:val="18"/>
        </w:rPr>
        <w:t>Taking the pulse of quality of care and patient safety in the WHO European Region: multidimensional analysis and future prospects.</w:t>
      </w:r>
      <w:r w:rsidRPr="003C7F59">
        <w:rPr>
          <w:color w:val="auto"/>
          <w:sz w:val="18"/>
          <w:szCs w:val="18"/>
        </w:rPr>
        <w:t xml:space="preserve"> Copenhagen: WHO Regional Office for Europe.</w:t>
      </w:r>
    </w:p>
  </w:footnote>
  <w:footnote w:id="45">
    <w:p w:rsidR="00370D7A" w:rsidRPr="003C7F59" w:rsidP="00370D7A" w14:paraId="76CDCC7C" w14:textId="6EB84D9A">
      <w:pPr>
        <w:spacing w:before="0" w:after="0"/>
        <w:rPr>
          <w:color w:val="auto"/>
        </w:rPr>
      </w:pPr>
      <w:r w:rsidRPr="003C7F59">
        <w:rPr>
          <w:rStyle w:val="FootnoteReference"/>
          <w:color w:val="auto"/>
        </w:rPr>
        <w:footnoteRef/>
      </w:r>
      <w:r w:rsidRPr="003C7F59">
        <w:rPr>
          <w:color w:val="auto"/>
        </w:rPr>
        <w:t xml:space="preserve"> </w:t>
      </w:r>
      <w:r w:rsidRPr="003C7F59">
        <w:rPr>
          <w:color w:val="auto"/>
          <w:sz w:val="18"/>
          <w:szCs w:val="18"/>
        </w:rPr>
        <w:t xml:space="preserve">Ministerstvo zdravotnictví (2021). </w:t>
      </w:r>
      <w:r w:rsidRPr="003C7F59">
        <w:rPr>
          <w:i/>
          <w:iCs/>
          <w:color w:val="auto"/>
          <w:sz w:val="18"/>
          <w:szCs w:val="18"/>
        </w:rPr>
        <w:t>Koncepce participace na MZ</w:t>
      </w:r>
      <w:r w:rsidR="00502BF4">
        <w:rPr>
          <w:i/>
          <w:iCs/>
          <w:color w:val="auto"/>
          <w:sz w:val="18"/>
          <w:szCs w:val="18"/>
        </w:rPr>
        <w:t>D</w:t>
      </w:r>
      <w:r w:rsidRPr="003C7F59">
        <w:rPr>
          <w:i/>
          <w:iCs/>
          <w:color w:val="auto"/>
          <w:sz w:val="18"/>
          <w:szCs w:val="18"/>
        </w:rPr>
        <w:t xml:space="preserve"> 2030.</w:t>
      </w:r>
      <w:r w:rsidRPr="003C7F59">
        <w:rPr>
          <w:color w:val="auto"/>
          <w:sz w:val="18"/>
          <w:szCs w:val="18"/>
        </w:rPr>
        <w:t xml:space="preserve"> Praha: MZD.</w:t>
      </w:r>
    </w:p>
  </w:footnote>
  <w:footnote w:id="46">
    <w:p w:rsidR="00370D7A" w:rsidRPr="003C7F59" w:rsidP="00370D7A" w14:paraId="502ABB24" w14:textId="77777777">
      <w:pPr>
        <w:spacing w:before="0" w:after="0"/>
        <w:rPr>
          <w:color w:val="auto"/>
          <w:sz w:val="20"/>
          <w:szCs w:val="20"/>
        </w:rPr>
      </w:pPr>
      <w:r w:rsidRPr="003C7F59">
        <w:rPr>
          <w:rStyle w:val="FootnoteReference"/>
          <w:color w:val="auto"/>
        </w:rPr>
        <w:footnoteRef/>
      </w:r>
      <w:r w:rsidRPr="003C7F59">
        <w:rPr>
          <w:color w:val="auto"/>
          <w:sz w:val="20"/>
          <w:szCs w:val="20"/>
        </w:rPr>
        <w:t xml:space="preserve"> </w:t>
      </w:r>
      <w:r w:rsidRPr="003C7F59">
        <w:rPr>
          <w:color w:val="auto"/>
          <w:sz w:val="18"/>
          <w:szCs w:val="18"/>
        </w:rPr>
        <w:t xml:space="preserve">Ministerstvo zdravotnictví (2021). </w:t>
      </w:r>
      <w:r w:rsidRPr="003C7F59">
        <w:rPr>
          <w:i/>
          <w:iCs/>
          <w:color w:val="auto"/>
          <w:sz w:val="18"/>
          <w:szCs w:val="18"/>
        </w:rPr>
        <w:t>Statut a Jednací řád Pacientské rady ministra zdravotnictví.</w:t>
      </w:r>
      <w:r w:rsidRPr="003C7F59">
        <w:rPr>
          <w:color w:val="auto"/>
          <w:sz w:val="18"/>
          <w:szCs w:val="18"/>
        </w:rPr>
        <w:t xml:space="preserve"> Praha: MZD.</w:t>
      </w:r>
    </w:p>
  </w:footnote>
  <w:footnote w:id="47">
    <w:p w:rsidR="00370D7A" w:rsidRPr="00EF2940" w:rsidP="00370D7A" w14:paraId="125A24EE" w14:textId="77777777">
      <w:pPr>
        <w:spacing w:before="0" w:after="0"/>
      </w:pPr>
      <w:r w:rsidRPr="003C7F59">
        <w:rPr>
          <w:rStyle w:val="FootnoteReference"/>
          <w:color w:val="auto"/>
        </w:rPr>
        <w:footnoteRef/>
      </w:r>
      <w:r w:rsidRPr="003C7F59">
        <w:rPr>
          <w:color w:val="auto"/>
        </w:rPr>
        <w:t xml:space="preserve"> </w:t>
      </w:r>
      <w:r w:rsidRPr="003C7F59">
        <w:rPr>
          <w:color w:val="auto"/>
          <w:sz w:val="18"/>
          <w:szCs w:val="18"/>
        </w:rPr>
        <w:t xml:space="preserve">Ministerstvo zdravotnictví (2025). </w:t>
      </w:r>
      <w:r w:rsidRPr="003C7F59">
        <w:rPr>
          <w:i/>
          <w:iCs/>
          <w:color w:val="auto"/>
          <w:sz w:val="18"/>
          <w:szCs w:val="18"/>
        </w:rPr>
        <w:t>Evaluace Pacientské rady MZD ČR.</w:t>
      </w:r>
      <w:r w:rsidRPr="003C7F59">
        <w:rPr>
          <w:color w:val="auto"/>
          <w:sz w:val="18"/>
          <w:szCs w:val="18"/>
        </w:rPr>
        <w:t xml:space="preserve"> Praha: MZD</w:t>
      </w:r>
    </w:p>
  </w:footnote>
  <w:footnote w:id="48">
    <w:p w:rsidR="00370D7A" w:rsidRPr="003C7F59" w:rsidP="00370D7A" w14:paraId="27477190" w14:textId="77777777">
      <w:pPr>
        <w:pStyle w:val="FootnoteText"/>
        <w:jc w:val="both"/>
        <w:rPr>
          <w:lang w:val="cs-CZ"/>
        </w:rPr>
      </w:pPr>
      <w:r w:rsidRPr="003C7F59">
        <w:rPr>
          <w:rStyle w:val="FootnoteReference"/>
          <w:lang w:val="cs-CZ"/>
        </w:rPr>
        <w:footnoteRef/>
      </w:r>
      <w:r w:rsidRPr="003C7F59">
        <w:rPr>
          <w:lang w:val="cs-CZ"/>
        </w:rPr>
        <w:t xml:space="preserve"> </w:t>
      </w:r>
      <w:r w:rsidRPr="003C7F59">
        <w:rPr>
          <w:sz w:val="18"/>
          <w:szCs w:val="18"/>
          <w:lang w:val="cs-CZ"/>
        </w:rPr>
        <w:t xml:space="preserve">Ministerstvo zdravotnictví (2025). </w:t>
      </w:r>
      <w:r w:rsidRPr="003C7F59">
        <w:rPr>
          <w:i/>
          <w:iCs/>
          <w:sz w:val="18"/>
          <w:szCs w:val="18"/>
          <w:lang w:val="cs-CZ"/>
        </w:rPr>
        <w:t>Evaluace Pacientské rady MZD ČR.</w:t>
      </w:r>
      <w:r w:rsidRPr="003C7F59">
        <w:rPr>
          <w:sz w:val="18"/>
          <w:szCs w:val="18"/>
          <w:lang w:val="cs-CZ"/>
        </w:rPr>
        <w:t xml:space="preserve"> Praha: MZD</w:t>
      </w:r>
    </w:p>
  </w:footnote>
  <w:footnote w:id="49">
    <w:p w:rsidR="00370D7A" w:rsidRPr="003C7F59" w:rsidP="00370D7A" w14:paraId="7ADC7681" w14:textId="77777777">
      <w:pPr>
        <w:pStyle w:val="FootnoteText"/>
        <w:jc w:val="both"/>
        <w:rPr>
          <w:lang w:val="cs-CZ"/>
        </w:rPr>
      </w:pPr>
      <w:r w:rsidRPr="003C7F59">
        <w:rPr>
          <w:rStyle w:val="FootnoteReference"/>
          <w:lang w:val="cs-CZ"/>
        </w:rPr>
        <w:footnoteRef/>
      </w:r>
      <w:r w:rsidRPr="003C7F59">
        <w:rPr>
          <w:lang w:val="cs-CZ"/>
        </w:rPr>
        <w:t xml:space="preserve"> </w:t>
      </w:r>
      <w:r w:rsidRPr="003C7F59">
        <w:rPr>
          <w:sz w:val="18"/>
          <w:szCs w:val="18"/>
          <w:lang w:val="cs-CZ"/>
        </w:rPr>
        <w:t xml:space="preserve">Ministerstvo zdravotnictví (2025). </w:t>
      </w:r>
      <w:r w:rsidRPr="003C7F59">
        <w:rPr>
          <w:i/>
          <w:iCs/>
          <w:sz w:val="18"/>
          <w:szCs w:val="18"/>
          <w:lang w:val="cs-CZ"/>
        </w:rPr>
        <w:t>Evaluace Pacientské rady MZD ČR.</w:t>
      </w:r>
      <w:r w:rsidRPr="003C7F59">
        <w:rPr>
          <w:sz w:val="18"/>
          <w:szCs w:val="18"/>
          <w:lang w:val="cs-CZ"/>
        </w:rPr>
        <w:t xml:space="preserve"> Praha: MZD</w:t>
      </w:r>
    </w:p>
  </w:footnote>
  <w:footnote w:id="50">
    <w:p w:rsidR="00370D7A" w:rsidRPr="003C7F59" w:rsidP="00370D7A" w14:paraId="76BB20DB" w14:textId="77777777">
      <w:pPr>
        <w:pStyle w:val="FootnoteText"/>
        <w:jc w:val="both"/>
        <w:rPr>
          <w:lang w:val="cs-CZ"/>
        </w:rPr>
      </w:pPr>
      <w:r w:rsidRPr="003C7F59">
        <w:rPr>
          <w:rStyle w:val="FootnoteReference"/>
        </w:rPr>
        <w:footnoteRef/>
      </w:r>
      <w:r w:rsidRPr="003C7F59">
        <w:t xml:space="preserve"> </w:t>
      </w:r>
      <w:r w:rsidRPr="003C7F59">
        <w:rPr>
          <w:sz w:val="18"/>
          <w:szCs w:val="18"/>
          <w:lang w:val="cs-CZ"/>
        </w:rPr>
        <w:t xml:space="preserve">Ministerstvo zdravotnictví (2025). </w:t>
      </w:r>
      <w:r w:rsidRPr="003C7F59">
        <w:rPr>
          <w:i/>
          <w:iCs/>
          <w:sz w:val="18"/>
          <w:szCs w:val="18"/>
          <w:lang w:val="cs-CZ"/>
        </w:rPr>
        <w:t>Evaluace Pacientské rady MZD ČR.</w:t>
      </w:r>
      <w:r w:rsidRPr="003C7F59">
        <w:rPr>
          <w:sz w:val="18"/>
          <w:szCs w:val="18"/>
          <w:lang w:val="cs-CZ"/>
        </w:rPr>
        <w:t xml:space="preserve"> Praha: MZD</w:t>
      </w:r>
    </w:p>
  </w:footnote>
  <w:footnote w:id="51">
    <w:p w:rsidR="00370D7A" w:rsidRPr="003C7F59" w:rsidP="00370D7A" w14:paraId="03E86447" w14:textId="77777777">
      <w:pPr>
        <w:pStyle w:val="FootnoteText"/>
        <w:jc w:val="both"/>
        <w:rPr>
          <w:lang w:val="cs-CZ"/>
        </w:rPr>
      </w:pPr>
      <w:r w:rsidRPr="003C7F59">
        <w:rPr>
          <w:rStyle w:val="FootnoteReference"/>
        </w:rPr>
        <w:footnoteRef/>
      </w:r>
      <w:r w:rsidRPr="003C7F59">
        <w:t xml:space="preserve"> </w:t>
      </w:r>
      <w:r w:rsidRPr="003C7F59">
        <w:rPr>
          <w:sz w:val="18"/>
          <w:szCs w:val="18"/>
          <w:lang w:val="cs-CZ"/>
        </w:rPr>
        <w:t xml:space="preserve">Ministerstvo zdravotnictví (2025). </w:t>
      </w:r>
      <w:r w:rsidRPr="003C7F59">
        <w:rPr>
          <w:i/>
          <w:iCs/>
          <w:sz w:val="18"/>
          <w:szCs w:val="18"/>
          <w:lang w:val="cs-CZ"/>
        </w:rPr>
        <w:t>Evaluace Pacientské rady MZD ČR.</w:t>
      </w:r>
      <w:r w:rsidRPr="003C7F59">
        <w:rPr>
          <w:sz w:val="18"/>
          <w:szCs w:val="18"/>
          <w:lang w:val="cs-CZ"/>
        </w:rPr>
        <w:t xml:space="preserve"> Praha: MZD</w:t>
      </w:r>
    </w:p>
  </w:footnote>
  <w:footnote w:id="52">
    <w:p w:rsidR="00370D7A" w:rsidRPr="003C7F59" w:rsidP="00370D7A" w14:paraId="055BAEDF" w14:textId="77777777">
      <w:pPr>
        <w:spacing w:before="0" w:after="0"/>
        <w:rPr>
          <w:color w:val="auto"/>
          <w:sz w:val="18"/>
          <w:szCs w:val="18"/>
        </w:rPr>
      </w:pPr>
      <w:r w:rsidRPr="003C7F59">
        <w:rPr>
          <w:rStyle w:val="FootnoteReference"/>
          <w:color w:val="auto"/>
          <w:szCs w:val="22"/>
        </w:rPr>
        <w:footnoteRef/>
      </w:r>
      <w:r w:rsidRPr="003C7F59">
        <w:rPr>
          <w:color w:val="auto"/>
          <w:sz w:val="18"/>
          <w:szCs w:val="18"/>
        </w:rPr>
        <w:t xml:space="preserve"> World Health Organization (2024). </w:t>
      </w:r>
      <w:r w:rsidRPr="003C7F59">
        <w:rPr>
          <w:i/>
          <w:iCs/>
          <w:color w:val="auto"/>
          <w:sz w:val="18"/>
          <w:szCs w:val="18"/>
        </w:rPr>
        <w:t>Taking the pulse of quality of care and patient safety in the WHO European Region: multidimensional analysis and future prospects.</w:t>
      </w:r>
      <w:r w:rsidRPr="003C7F59">
        <w:rPr>
          <w:color w:val="auto"/>
          <w:sz w:val="18"/>
          <w:szCs w:val="18"/>
        </w:rPr>
        <w:t xml:space="preserve"> Copenhagen: WHO Regional Office for Europe.</w:t>
      </w:r>
    </w:p>
    <w:p w:rsidR="00370D7A" w:rsidRPr="00921067" w:rsidP="00370D7A" w14:paraId="29504188" w14:textId="77777777">
      <w:pPr>
        <w:pStyle w:val="FootnoteText"/>
        <w:rPr>
          <w:lang w:val="cs-CZ"/>
        </w:rPr>
      </w:pPr>
    </w:p>
  </w:footnote>
  <w:footnote w:id="53">
    <w:p w:rsidR="00370D7A" w:rsidRPr="003C7F59" w:rsidP="00370D7A" w14:paraId="06EED1CE" w14:textId="2F85FC24">
      <w:pPr>
        <w:spacing w:before="0" w:after="0"/>
        <w:rPr>
          <w:color w:val="auto"/>
        </w:rPr>
      </w:pPr>
      <w:r w:rsidRPr="003C7F59">
        <w:rPr>
          <w:rStyle w:val="FootnoteReference"/>
          <w:color w:val="auto"/>
          <w:szCs w:val="22"/>
        </w:rPr>
        <w:footnoteRef/>
      </w:r>
      <w:r w:rsidRPr="003C7F59">
        <w:rPr>
          <w:color w:val="auto"/>
          <w:szCs w:val="22"/>
        </w:rPr>
        <w:t xml:space="preserve"> </w:t>
      </w:r>
      <w:r w:rsidRPr="003C7F59">
        <w:rPr>
          <w:color w:val="auto"/>
          <w:sz w:val="18"/>
          <w:szCs w:val="18"/>
        </w:rPr>
        <w:t xml:space="preserve">Ministerstvo zdravotnictví (2021). </w:t>
      </w:r>
      <w:r w:rsidRPr="003C7F59">
        <w:rPr>
          <w:i/>
          <w:iCs/>
          <w:color w:val="auto"/>
          <w:sz w:val="18"/>
          <w:szCs w:val="18"/>
        </w:rPr>
        <w:t>Koncepce participace na MZ</w:t>
      </w:r>
      <w:r w:rsidR="00502BF4">
        <w:rPr>
          <w:i/>
          <w:iCs/>
          <w:color w:val="auto"/>
          <w:sz w:val="18"/>
          <w:szCs w:val="18"/>
        </w:rPr>
        <w:t>D</w:t>
      </w:r>
      <w:r w:rsidRPr="003C7F59">
        <w:rPr>
          <w:i/>
          <w:iCs/>
          <w:color w:val="auto"/>
          <w:sz w:val="18"/>
          <w:szCs w:val="18"/>
        </w:rPr>
        <w:t xml:space="preserve"> 2030.</w:t>
      </w:r>
      <w:r w:rsidRPr="003C7F59">
        <w:rPr>
          <w:color w:val="auto"/>
          <w:sz w:val="18"/>
          <w:szCs w:val="18"/>
        </w:rPr>
        <w:t xml:space="preserve"> Praha: MZD.</w:t>
      </w:r>
    </w:p>
  </w:footnote>
  <w:footnote w:id="54">
    <w:p w:rsidR="00370D7A" w:rsidRPr="003C7F59" w:rsidP="00370D7A" w14:paraId="12F385AF" w14:textId="4226B9D5">
      <w:pPr>
        <w:pStyle w:val="FootnoteText"/>
        <w:jc w:val="both"/>
        <w:rPr>
          <w:lang w:val="cs-CZ"/>
        </w:rPr>
      </w:pPr>
      <w:r w:rsidRPr="003C7F59">
        <w:rPr>
          <w:rStyle w:val="FootnoteReference"/>
        </w:rPr>
        <w:footnoteRef/>
      </w:r>
      <w:r w:rsidRPr="003C7F59">
        <w:t xml:space="preserve"> </w:t>
      </w:r>
      <w:r w:rsidRPr="003C7F59">
        <w:rPr>
          <w:sz w:val="18"/>
          <w:szCs w:val="18"/>
          <w:lang w:val="cs-CZ"/>
        </w:rPr>
        <w:t xml:space="preserve">Ministerstvo zdravotnictví (2021). </w:t>
      </w:r>
      <w:r w:rsidRPr="003C7F59">
        <w:rPr>
          <w:i/>
          <w:iCs/>
          <w:sz w:val="18"/>
          <w:szCs w:val="18"/>
          <w:lang w:val="cs-CZ"/>
        </w:rPr>
        <w:t>Koncepce participace na M</w:t>
      </w:r>
      <w:r w:rsidR="00502BF4">
        <w:rPr>
          <w:i/>
          <w:iCs/>
          <w:sz w:val="18"/>
          <w:szCs w:val="18"/>
          <w:lang w:val="cs-CZ"/>
        </w:rPr>
        <w:t>D</w:t>
      </w:r>
      <w:r w:rsidRPr="003C7F59">
        <w:rPr>
          <w:i/>
          <w:iCs/>
          <w:sz w:val="18"/>
          <w:szCs w:val="18"/>
          <w:lang w:val="cs-CZ"/>
        </w:rPr>
        <w:t>Z 2030.</w:t>
      </w:r>
      <w:r w:rsidRPr="003C7F59">
        <w:rPr>
          <w:sz w:val="18"/>
          <w:szCs w:val="18"/>
          <w:lang w:val="cs-CZ"/>
        </w:rPr>
        <w:t xml:space="preserve"> Praha: MZD.</w:t>
      </w:r>
    </w:p>
  </w:footnote>
  <w:footnote w:id="55">
    <w:p w:rsidR="00370D7A" w:rsidRPr="003C7F59" w:rsidP="00370D7A" w14:paraId="235C46BE" w14:textId="77777777">
      <w:pPr>
        <w:spacing w:before="0" w:after="0"/>
        <w:rPr>
          <w:color w:val="auto"/>
          <w:sz w:val="18"/>
          <w:szCs w:val="18"/>
        </w:rPr>
      </w:pPr>
      <w:r w:rsidRPr="003C7F59">
        <w:rPr>
          <w:rStyle w:val="FootnoteReference"/>
          <w:color w:val="auto"/>
        </w:rPr>
        <w:footnoteRef/>
      </w:r>
      <w:r w:rsidRPr="003C7F59">
        <w:rPr>
          <w:color w:val="auto"/>
        </w:rPr>
        <w:t xml:space="preserve"> </w:t>
      </w:r>
      <w:r w:rsidRPr="003C7F59">
        <w:rPr>
          <w:color w:val="auto"/>
          <w:sz w:val="18"/>
          <w:szCs w:val="18"/>
        </w:rPr>
        <w:t xml:space="preserve">Ministerstvo zdravotnictví (2025). </w:t>
      </w:r>
      <w:r w:rsidRPr="003C7F59">
        <w:rPr>
          <w:i/>
          <w:iCs/>
          <w:color w:val="auto"/>
          <w:sz w:val="18"/>
          <w:szCs w:val="18"/>
        </w:rPr>
        <w:t>Evaluace Pacientské rady MZD ČR.</w:t>
      </w:r>
      <w:r w:rsidRPr="003C7F59">
        <w:rPr>
          <w:color w:val="auto"/>
          <w:sz w:val="18"/>
          <w:szCs w:val="18"/>
        </w:rPr>
        <w:t xml:space="preserve"> Praha: MZD.</w:t>
      </w:r>
    </w:p>
    <w:p w:rsidR="00370D7A" w:rsidRPr="00921067" w:rsidP="00370D7A" w14:paraId="2612BB65" w14:textId="77777777">
      <w:pPr>
        <w:pStyle w:val="FootnoteText"/>
        <w:rPr>
          <w:lang w:val="cs-CZ"/>
        </w:rPr>
      </w:pPr>
    </w:p>
  </w:footnote>
  <w:footnote w:id="56">
    <w:p w:rsidR="0077505D" w:rsidRPr="008F6EEF" w:rsidP="006765BD" w14:paraId="2DD37BF1" w14:textId="67513C93">
      <w:pPr>
        <w:pStyle w:val="FootnoteText"/>
        <w:jc w:val="both"/>
        <w:rPr>
          <w:lang w:val="cs-CZ"/>
        </w:rPr>
      </w:pPr>
      <w:r w:rsidRPr="006765BD">
        <w:rPr>
          <w:rStyle w:val="FootnoteReference"/>
          <w:sz w:val="18"/>
          <w:szCs w:val="18"/>
        </w:rPr>
        <w:footnoteRef/>
      </w:r>
      <w:r w:rsidRPr="006765BD">
        <w:rPr>
          <w:sz w:val="18"/>
          <w:szCs w:val="18"/>
        </w:rPr>
        <w:t xml:space="preserve"> </w:t>
      </w:r>
      <w:r w:rsidRPr="006765BD">
        <w:rPr>
          <w:sz w:val="18"/>
          <w:szCs w:val="18"/>
          <w:lang w:val="cs-CZ"/>
        </w:rPr>
        <w:t>Viz kapitola Obecný úvod</w:t>
      </w:r>
      <w:r>
        <w:rPr>
          <w:sz w:val="18"/>
          <w:szCs w:val="18"/>
          <w:lang w:val="cs-CZ"/>
        </w:rPr>
        <w:t>.</w:t>
      </w:r>
    </w:p>
  </w:footnote>
  <w:footnote w:id="57">
    <w:p w:rsidR="00434E5A" w:rsidRPr="00007AAC" w:rsidP="00434E5A" w14:paraId="3BC85536" w14:textId="77777777">
      <w:pPr>
        <w:pStyle w:val="FootnoteText"/>
        <w:jc w:val="left"/>
        <w:rPr>
          <w:lang w:val="cs-CZ"/>
        </w:rPr>
      </w:pPr>
      <w:r>
        <w:rPr>
          <w:rStyle w:val="FootnoteReference"/>
        </w:rPr>
        <w:footnoteRef/>
      </w:r>
      <w:r>
        <w:t xml:space="preserve"> </w:t>
      </w:r>
      <w:r w:rsidRPr="009779F2">
        <w:rPr>
          <w:sz w:val="20"/>
          <w:lang w:val="cs-CZ"/>
        </w:rPr>
        <w:t xml:space="preserve">Farmaceutická strategie pro Evropu, přijata 25. listopadu 2020, dostupná z: </w:t>
      </w:r>
      <w:hyperlink r:id="rId13" w:history="1">
        <w:r w:rsidRPr="009779F2">
          <w:rPr>
            <w:rStyle w:val="Hyperlink"/>
            <w:noProof w:val="0"/>
            <w:sz w:val="20"/>
            <w:lang w:val="cs-CZ"/>
          </w:rPr>
          <w:t>Farmaceutická strategie pro Evropu – Evropská komise</w:t>
        </w:r>
      </w:hyperlink>
    </w:p>
  </w:footnote>
  <w:footnote w:id="58">
    <w:p w:rsidR="00434E5A" w:rsidRPr="008729A1" w:rsidP="00434E5A" w14:paraId="0F79DADA" w14:textId="77777777">
      <w:pPr>
        <w:pStyle w:val="FootnoteText"/>
        <w:jc w:val="both"/>
        <w:rPr>
          <w:lang w:val="cs-CZ"/>
        </w:rPr>
      </w:pPr>
      <w:r w:rsidRPr="0086180F">
        <w:rPr>
          <w:rStyle w:val="FootnoteReference"/>
          <w:lang w:val="cs-CZ"/>
        </w:rPr>
        <w:footnoteRef/>
      </w:r>
      <w:r w:rsidRPr="0086180F">
        <w:rPr>
          <w:lang w:val="cs-CZ"/>
        </w:rPr>
        <w:t xml:space="preserve"> STRATEGIC REPORT OF THE CRITICAL MEDICINES ALLIANCE, Critical Medicines Alliance, February 28 2025</w:t>
      </w:r>
    </w:p>
  </w:footnote>
  <w:footnote w:id="59">
    <w:p w:rsidR="00434E5A" w:rsidRPr="00DD6F2D" w:rsidP="00434E5A" w14:paraId="50CD95B1" w14:textId="77777777">
      <w:pPr>
        <w:pStyle w:val="FootnoteText"/>
        <w:jc w:val="both"/>
        <w:rPr>
          <w:sz w:val="20"/>
          <w:lang w:val="cs-CZ"/>
        </w:rPr>
      </w:pPr>
      <w:r w:rsidRPr="00DD6F2D">
        <w:rPr>
          <w:rStyle w:val="FootnoteReference"/>
          <w:sz w:val="20"/>
          <w:lang w:val="cs-CZ"/>
        </w:rPr>
        <w:footnoteRef/>
      </w:r>
      <w:r w:rsidRPr="00DD6F2D">
        <w:rPr>
          <w:sz w:val="20"/>
          <w:lang w:val="cs-CZ"/>
        </w:rPr>
        <w:t xml:space="preserve"> Dostupná z </w:t>
      </w:r>
      <w:hyperlink r:id="rId14" w:history="1">
        <w:r w:rsidRPr="00DD6F2D">
          <w:rPr>
            <w:rStyle w:val="Hyperlink"/>
            <w:noProof w:val="0"/>
            <w:sz w:val="20"/>
            <w:lang w:val="cs-CZ"/>
          </w:rPr>
          <w:t>https://www.databaze-strategie.cz/cz/mpo/strategie/hospodarska-strategie-ceske-republiky-cesko-do-top-10</w:t>
        </w:r>
      </w:hyperlink>
      <w:r w:rsidRPr="00DD6F2D">
        <w:rPr>
          <w:sz w:val="20"/>
          <w:lang w:val="cs-CZ"/>
        </w:rPr>
        <w:t xml:space="preserve"> a z </w:t>
      </w:r>
      <w:hyperlink r:id="rId15" w:history="1">
        <w:r w:rsidRPr="00DD6F2D">
          <w:rPr>
            <w:rStyle w:val="Hyperlink"/>
            <w:noProof w:val="0"/>
            <w:sz w:val="20"/>
            <w:lang w:val="cs-CZ"/>
          </w:rPr>
          <w:t>https://mpo.gov.cz/cz/rozcestnik/pro-media/tiskove-zpravy/hospodarska-strategie-ceske-republiky-ministr-vlcek-predstavil-cestu-do-top-10-zemi-evropske-unie--283601/</w:t>
        </w:r>
      </w:hyperlink>
      <w:r w:rsidRPr="00DD6F2D">
        <w:rPr>
          <w:sz w:val="20"/>
          <w:lang w:val="cs-CZ"/>
        </w:rPr>
        <w:t>, schválena usnesením vlády č. 695/2024 Sb., ze dne 9. dubna 2024</w:t>
      </w:r>
    </w:p>
  </w:footnote>
  <w:footnote w:id="60">
    <w:p w:rsidR="00434E5A" w:rsidRPr="006D20C0" w:rsidP="00434E5A" w14:paraId="79F47F7D" w14:textId="77777777">
      <w:pPr>
        <w:pStyle w:val="FootnoteText"/>
        <w:jc w:val="both"/>
        <w:rPr>
          <w:lang w:val="cs-CZ"/>
        </w:rPr>
      </w:pPr>
      <w:r>
        <w:rPr>
          <w:rStyle w:val="FootnoteReference"/>
        </w:rPr>
        <w:footnoteRef/>
      </w:r>
      <w:r>
        <w:t xml:space="preserve"> </w:t>
      </w:r>
      <w:r w:rsidRPr="005860DF">
        <w:t>https://sukl.gov.cz/vyrocni-zprava/vyrocni-zprava-sukl-2024/</w:t>
      </w:r>
    </w:p>
  </w:footnote>
  <w:footnote w:id="61">
    <w:p w:rsidR="00B071ED" w:rsidRPr="00A85D01" w:rsidP="00C95A26" w14:paraId="03B7843F" w14:textId="77777777">
      <w:pPr>
        <w:pStyle w:val="FootnoteText"/>
        <w:jc w:val="both"/>
        <w:rPr>
          <w:rFonts w:asciiTheme="minorHAnsi" w:hAnsiTheme="minorHAnsi" w:cstheme="minorHAnsi"/>
          <w:sz w:val="18"/>
        </w:rPr>
      </w:pPr>
      <w:r>
        <w:rPr>
          <w:rStyle w:val="FootnoteReference"/>
          <w:rFonts w:eastAsiaTheme="majorEastAsia"/>
        </w:rPr>
        <w:footnoteRef/>
      </w:r>
      <w:r>
        <w:t xml:space="preserve"> </w:t>
      </w:r>
      <w:r w:rsidRPr="00A85D01">
        <w:rPr>
          <w:rFonts w:asciiTheme="minorHAnsi" w:hAnsiTheme="minorHAnsi" w:cstheme="minorHAnsi"/>
          <w:sz w:val="18"/>
        </w:rPr>
        <w:t xml:space="preserve">pojmem lékař primární péče jsou myšleni registrující poskytovatelé ambulantní péče v oboru všeobecné praktické lékařství, v oboru praktické lékařství pro děti a dorost nebo pediatrie, v oboru zubní lékařství </w:t>
      </w:r>
      <w:r>
        <w:rPr>
          <w:rFonts w:asciiTheme="minorHAnsi" w:hAnsiTheme="minorHAnsi" w:cstheme="minorHAnsi"/>
          <w:sz w:val="18"/>
        </w:rPr>
        <w:t>a</w:t>
      </w:r>
      <w:r w:rsidRPr="00A85D01">
        <w:rPr>
          <w:rFonts w:asciiTheme="minorHAnsi" w:hAnsiTheme="minorHAnsi" w:cstheme="minorHAnsi"/>
          <w:sz w:val="18"/>
        </w:rPr>
        <w:t xml:space="preserve"> v oboru gynekologie a porodnictví</w:t>
      </w:r>
    </w:p>
  </w:footnote>
  <w:footnote w:id="62">
    <w:p w:rsidR="00B071ED" w:rsidRPr="005E4139" w:rsidP="00B071ED" w14:paraId="325929D2" w14:textId="77777777">
      <w:pPr>
        <w:pStyle w:val="FootnoteText"/>
        <w:jc w:val="both"/>
        <w:rPr>
          <w:lang w:val="cs-CZ"/>
        </w:rPr>
      </w:pPr>
      <w:r>
        <w:rPr>
          <w:rStyle w:val="FootnoteReference"/>
        </w:rPr>
        <w:footnoteRef/>
      </w:r>
      <w:r>
        <w:t xml:space="preserve"> </w:t>
      </w:r>
      <w:r>
        <w:rPr>
          <w:sz w:val="18"/>
          <w:lang w:val="cs-CZ"/>
        </w:rPr>
        <w:t>P</w:t>
      </w:r>
      <w:r w:rsidRPr="005E4139">
        <w:rPr>
          <w:sz w:val="18"/>
          <w:lang w:val="cs-CZ"/>
        </w:rPr>
        <w:t>ovinnost pos</w:t>
      </w:r>
      <w:r>
        <w:rPr>
          <w:sz w:val="18"/>
          <w:lang w:val="cs-CZ"/>
        </w:rPr>
        <w:t>k</w:t>
      </w:r>
      <w:r w:rsidRPr="005E4139">
        <w:rPr>
          <w:sz w:val="18"/>
          <w:lang w:val="cs-CZ"/>
        </w:rPr>
        <w:t>y</w:t>
      </w:r>
      <w:r>
        <w:rPr>
          <w:sz w:val="18"/>
          <w:lang w:val="cs-CZ"/>
        </w:rPr>
        <w:t>to</w:t>
      </w:r>
      <w:r w:rsidRPr="005E4139">
        <w:rPr>
          <w:sz w:val="18"/>
          <w:lang w:val="cs-CZ"/>
        </w:rPr>
        <w:t xml:space="preserve">vatelů zajistit LPS je specifikována novelou zákona </w:t>
      </w:r>
      <w:r>
        <w:rPr>
          <w:sz w:val="18"/>
          <w:lang w:val="cs-CZ"/>
        </w:rPr>
        <w:t xml:space="preserve">č. </w:t>
      </w:r>
      <w:r w:rsidRPr="005E4139">
        <w:rPr>
          <w:sz w:val="18"/>
          <w:lang w:val="cs-CZ"/>
        </w:rPr>
        <w:t xml:space="preserve">372/2011 </w:t>
      </w:r>
      <w:r>
        <w:rPr>
          <w:sz w:val="18"/>
          <w:lang w:val="cs-CZ"/>
        </w:rPr>
        <w:t xml:space="preserve">Sb., </w:t>
      </w:r>
      <w:r w:rsidRPr="005E4139">
        <w:rPr>
          <w:sz w:val="18"/>
          <w:lang w:val="cs-CZ"/>
        </w:rPr>
        <w:t>o zdravotních službách</w:t>
      </w:r>
      <w:r>
        <w:rPr>
          <w:sz w:val="18"/>
          <w:lang w:val="cs-CZ"/>
        </w:rPr>
        <w:t>,</w:t>
      </w:r>
      <w:r w:rsidRPr="005E4139">
        <w:rPr>
          <w:sz w:val="18"/>
          <w:lang w:val="cs-CZ"/>
        </w:rPr>
        <w:t xml:space="preserve"> z roku 2019/2020</w:t>
      </w:r>
      <w:r>
        <w:rPr>
          <w:sz w:val="18"/>
          <w:lang w:val="cs-CZ"/>
        </w:rPr>
        <w:t>.</w:t>
      </w:r>
    </w:p>
  </w:footnote>
  <w:footnote w:id="63">
    <w:p w:rsidR="00B071ED" w:rsidRPr="00A17CDF" w:rsidP="00B071ED" w14:paraId="21A63B54" w14:textId="77777777">
      <w:pPr>
        <w:pStyle w:val="FootnoteText"/>
        <w:jc w:val="both"/>
        <w:rPr>
          <w:sz w:val="18"/>
          <w:szCs w:val="18"/>
          <w:lang w:val="cs-CZ"/>
        </w:rPr>
      </w:pPr>
      <w:r>
        <w:rPr>
          <w:rStyle w:val="FootnoteReference"/>
          <w:rFonts w:eastAsiaTheme="minorEastAsia"/>
        </w:rPr>
        <w:footnoteRef/>
      </w:r>
      <w:r>
        <w:t xml:space="preserve"> </w:t>
      </w:r>
      <w:r w:rsidRPr="00A17CDF">
        <w:rPr>
          <w:sz w:val="18"/>
          <w:szCs w:val="18"/>
          <w:lang w:val="cs-CZ"/>
        </w:rPr>
        <w:t xml:space="preserve">V rámci Implementačního plánu bude stanovena podrobnější indikátorová sada. </w:t>
      </w:r>
    </w:p>
  </w:footnote>
  <w:footnote w:id="64">
    <w:p w:rsidR="0056446D" w:rsidRPr="00B808D3" w:rsidP="0056446D" w14:paraId="32565C02" w14:textId="77777777">
      <w:pPr>
        <w:pStyle w:val="FootnoteText"/>
        <w:jc w:val="both"/>
        <w:rPr>
          <w:sz w:val="18"/>
          <w:lang w:val="cs-CZ"/>
        </w:rPr>
      </w:pPr>
      <w:r w:rsidRPr="00B808D3">
        <w:rPr>
          <w:rStyle w:val="FootnoteReference"/>
          <w:sz w:val="18"/>
        </w:rPr>
        <w:footnoteRef/>
      </w:r>
      <w:r w:rsidRPr="00B808D3">
        <w:rPr>
          <w:sz w:val="18"/>
        </w:rPr>
        <w:t xml:space="preserve"> </w:t>
      </w:r>
      <w:r w:rsidRPr="00566505">
        <w:rPr>
          <w:sz w:val="18"/>
          <w:lang w:val="cs-CZ"/>
        </w:rPr>
        <w:t xml:space="preserve">Detailní popisy nových modelů péče v oblasti duševního zdraví </w:t>
      </w:r>
      <w:r>
        <w:rPr>
          <w:sz w:val="18"/>
          <w:lang w:val="cs-CZ"/>
        </w:rPr>
        <w:t>js</w:t>
      </w:r>
      <w:r w:rsidRPr="00566505">
        <w:rPr>
          <w:sz w:val="18"/>
          <w:lang w:val="cs-CZ"/>
        </w:rPr>
        <w:t xml:space="preserve">ou obsaženy v příslušném </w:t>
      </w:r>
      <w:r>
        <w:rPr>
          <w:sz w:val="18"/>
          <w:lang w:val="cs-CZ"/>
        </w:rPr>
        <w:t>i</w:t>
      </w:r>
      <w:r w:rsidRPr="00566505">
        <w:rPr>
          <w:sz w:val="18"/>
          <w:lang w:val="cs-CZ"/>
        </w:rPr>
        <w:t>mplementačním plánu a v Národním akčním plánu pro oblast duševního zdraví 2020+.</w:t>
      </w:r>
    </w:p>
  </w:footnote>
  <w:footnote w:id="65">
    <w:p w:rsidR="00693346" w:rsidP="00693346" w14:paraId="16603396" w14:textId="77777777">
      <w:pPr>
        <w:pStyle w:val="FootnoteText"/>
      </w:pPr>
      <w:r>
        <w:rPr>
          <w:rStyle w:val="FootnoteReference"/>
          <w:rFonts w:eastAsiaTheme="majorEastAsia"/>
        </w:rPr>
        <w:footnoteRef/>
      </w:r>
      <w:r>
        <w:t xml:space="preserve"> </w:t>
      </w:r>
      <w:r>
        <w:rPr>
          <w:rStyle w:val="cf01"/>
        </w:rPr>
        <w:t>Institut pro zdravotní ekonomiku a technology assessment (iHETA)</w:t>
      </w:r>
    </w:p>
  </w:footnote>
  <w:footnote w:id="66">
    <w:p w:rsidR="0077505D" w:rsidRPr="00EE4B02" w:rsidP="00B1421E" w14:paraId="71873EE2" w14:textId="77777777">
      <w:pPr>
        <w:pStyle w:val="FootnoteText"/>
        <w:jc w:val="left"/>
        <w:rPr>
          <w:lang w:val="cs-CZ"/>
        </w:rPr>
      </w:pPr>
      <w:r w:rsidRPr="00B07367">
        <w:rPr>
          <w:rStyle w:val="FootnoteReference"/>
          <w:sz w:val="18"/>
        </w:rPr>
        <w:footnoteRef/>
      </w:r>
      <w:r w:rsidRPr="00B07367">
        <w:rPr>
          <w:sz w:val="18"/>
        </w:rPr>
        <w:t xml:space="preserve"> </w:t>
      </w:r>
      <w:hyperlink r:id="rId16" w:history="1">
        <w:r w:rsidRPr="00B07367">
          <w:rPr>
            <w:rStyle w:val="Hyperlink"/>
            <w:rFonts w:eastAsiaTheme="majorEastAsia"/>
            <w:sz w:val="18"/>
          </w:rPr>
          <w:t>https://www.vyzkumne-infrastruktury.cz/</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7505D" w14:paraId="764EEAE9" w14:textId="61D75EDA">
    <w:pPr>
      <w:pStyle w:val="Header"/>
    </w:pPr>
    <w:r>
      <w:rPr>
        <w:noProof/>
        <w:lang w:eastAsia="cs-CZ"/>
      </w:rPr>
      <w:drawing>
        <wp:anchor distT="0" distB="0" distL="114300" distR="114300" simplePos="0" relativeHeight="251660288" behindDoc="0" locked="0" layoutInCell="1" allowOverlap="1">
          <wp:simplePos x="0" y="0"/>
          <wp:positionH relativeFrom="column">
            <wp:posOffset>-185420</wp:posOffset>
          </wp:positionH>
          <wp:positionV relativeFrom="paragraph">
            <wp:posOffset>-230505</wp:posOffset>
          </wp:positionV>
          <wp:extent cx="2476500" cy="519430"/>
          <wp:effectExtent l="0" t="0" r="0" b="0"/>
          <wp:wrapSquare wrapText="bothSides"/>
          <wp:docPr id="14" name="Obrázek 14" descr="Obsah obrázku Písmo, logo, Grafik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8" descr="Obsah obrázku Písmo, logo, Grafika, text&#10;&#10;Popis byl vytvořen automaticky"/>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2476500" cy="519430"/>
                  </a:xfrm>
                  <a:prstGeom prst="rect">
                    <a:avLst/>
                  </a:prstGeom>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58240" behindDoc="1" locked="0" layoutInCell="1" allowOverlap="1">
          <wp:simplePos x="0" y="0"/>
          <wp:positionH relativeFrom="column">
            <wp:posOffset>3683000</wp:posOffset>
          </wp:positionH>
          <wp:positionV relativeFrom="paragraph">
            <wp:posOffset>-66675</wp:posOffset>
          </wp:positionV>
          <wp:extent cx="2476500" cy="219075"/>
          <wp:effectExtent l="0" t="0" r="0" b="9525"/>
          <wp:wrapTight wrapText="bothSides">
            <wp:wrapPolygon>
              <wp:start x="0" y="0"/>
              <wp:lineTo x="0" y="20661"/>
              <wp:lineTo x="21434" y="20661"/>
              <wp:lineTo x="21434" y="0"/>
              <wp:lineTo x="0" y="0"/>
            </wp:wrapPolygon>
          </wp:wrapTight>
          <wp:docPr id="15" name="obrázek 1" descr="clip_image002"/>
          <wp:cNvGraphicFramePr/>
          <a:graphic xmlns:a="http://schemas.openxmlformats.org/drawingml/2006/main">
            <a:graphicData uri="http://schemas.openxmlformats.org/drawingml/2006/picture">
              <pic:pic xmlns:pic="http://schemas.openxmlformats.org/drawingml/2006/picture">
                <pic:nvPicPr>
                  <pic:cNvPr id="15" name="obrázek 1" descr="clip_image002"/>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2476500" cy="219075"/>
                  </a:xfrm>
                  <a:prstGeom prst="rect">
                    <a:avLst/>
                  </a:prstGeom>
                  <a:noFill/>
                  <a:ln>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7505D" w:rsidP="006C359E" w14:paraId="2AD14725" w14:textId="1D6E0043">
    <w:pPr>
      <w:pStyle w:val="Header"/>
      <w:tabs>
        <w:tab w:val="left" w:pos="355"/>
        <w:tab w:val="clear" w:pos="4536"/>
        <w:tab w:val="left" w:pos="7575"/>
        <w:tab w:val="clear" w:pos="9072"/>
      </w:tabs>
    </w:pPr>
    <w:r>
      <w:rPr>
        <w:noProof/>
        <w:lang w:eastAsia="cs-CZ"/>
      </w:rPr>
      <w:drawing>
        <wp:anchor distT="0" distB="0" distL="114300" distR="114300" simplePos="0" relativeHeight="251661312" behindDoc="0" locked="0" layoutInCell="1" allowOverlap="1">
          <wp:simplePos x="0" y="0"/>
          <wp:positionH relativeFrom="margin">
            <wp:align>right</wp:align>
          </wp:positionH>
          <wp:positionV relativeFrom="paragraph">
            <wp:posOffset>3445262</wp:posOffset>
          </wp:positionV>
          <wp:extent cx="5420360" cy="1136650"/>
          <wp:effectExtent l="0" t="0" r="8890" b="6350"/>
          <wp:wrapSquare wrapText="bothSides"/>
          <wp:docPr id="17" name="Obrázek 17" descr="Obsah obrázku Písmo, logo, Grafik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8" descr="Obsah obrázku Písmo, logo, Grafika, text&#10;&#10;Popis byl vytvořen automaticky"/>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5420360" cy="1136650"/>
                  </a:xfrm>
                  <a:prstGeom prst="rect">
                    <a:avLst/>
                  </a:prstGeom>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59264" behindDoc="1" locked="0" layoutInCell="1" allowOverlap="1">
          <wp:simplePos x="0" y="0"/>
          <wp:positionH relativeFrom="column">
            <wp:posOffset>3928110</wp:posOffset>
          </wp:positionH>
          <wp:positionV relativeFrom="paragraph">
            <wp:posOffset>-36195</wp:posOffset>
          </wp:positionV>
          <wp:extent cx="2476500" cy="219075"/>
          <wp:effectExtent l="0" t="0" r="0" b="9525"/>
          <wp:wrapTight wrapText="bothSides">
            <wp:wrapPolygon>
              <wp:start x="0" y="0"/>
              <wp:lineTo x="0" y="20661"/>
              <wp:lineTo x="21434" y="20661"/>
              <wp:lineTo x="21434" y="0"/>
              <wp:lineTo x="0" y="0"/>
            </wp:wrapPolygon>
          </wp:wrapTight>
          <wp:docPr id="18" name="obrázek 1" descr="clip_image002"/>
          <wp:cNvGraphicFramePr/>
          <a:graphic xmlns:a="http://schemas.openxmlformats.org/drawingml/2006/main">
            <a:graphicData uri="http://schemas.openxmlformats.org/drawingml/2006/picture">
              <pic:pic xmlns:pic="http://schemas.openxmlformats.org/drawingml/2006/picture">
                <pic:nvPicPr>
                  <pic:cNvPr id="18" name="obrázek 1" descr="clip_image002"/>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2476500" cy="219075"/>
                  </a:xfrm>
                  <a:prstGeom prst="rect">
                    <a:avLst/>
                  </a:prstGeom>
                  <a:noFill/>
                  <a:ln>
                    <a:noFill/>
                  </a:ln>
                </pic:spPr>
              </pic:pic>
            </a:graphicData>
          </a:graphic>
        </wp:anchor>
      </w:drawing>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94D4F" w:rsidP="006C359E" w14:paraId="6BF25BC2" w14:textId="77777777">
    <w:pPr>
      <w:pStyle w:val="Header"/>
      <w:tabs>
        <w:tab w:val="left" w:pos="355"/>
        <w:tab w:val="clear" w:pos="4536"/>
        <w:tab w:val="left" w:pos="7575"/>
        <w:tab w:val="clear" w:pos="9072"/>
      </w:tabs>
    </w:pPr>
    <w:r>
      <w:rPr>
        <w:noProof/>
        <w:lang w:eastAsia="cs-CZ"/>
      </w:rPr>
      <w:drawing>
        <wp:anchor distT="0" distB="0" distL="114300" distR="114300" simplePos="0" relativeHeight="251663360" behindDoc="0" locked="0" layoutInCell="1" allowOverlap="1">
          <wp:simplePos x="0" y="0"/>
          <wp:positionH relativeFrom="margin">
            <wp:posOffset>-828526</wp:posOffset>
          </wp:positionH>
          <wp:positionV relativeFrom="paragraph">
            <wp:posOffset>-247700</wp:posOffset>
          </wp:positionV>
          <wp:extent cx="3227705" cy="676275"/>
          <wp:effectExtent l="0" t="0" r="0" b="9525"/>
          <wp:wrapSquare wrapText="bothSides"/>
          <wp:docPr id="90707759" name="Obrázek 90707759" descr="Obsah obrázku Písmo, logo, Grafik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7759" name="Obrázek 8" descr="Obsah obrázku Písmo, logo, Grafika, text&#10;&#10;Popis byl vytvořen automaticky"/>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3227705" cy="676275"/>
                  </a:xfrm>
                  <a:prstGeom prst="rect">
                    <a:avLst/>
                  </a:prstGeom>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62336" behindDoc="1" locked="0" layoutInCell="1" allowOverlap="1">
          <wp:simplePos x="0" y="0"/>
          <wp:positionH relativeFrom="column">
            <wp:posOffset>3928110</wp:posOffset>
          </wp:positionH>
          <wp:positionV relativeFrom="paragraph">
            <wp:posOffset>-36195</wp:posOffset>
          </wp:positionV>
          <wp:extent cx="2476500" cy="219075"/>
          <wp:effectExtent l="0" t="0" r="0" b="9525"/>
          <wp:wrapTight wrapText="bothSides">
            <wp:wrapPolygon>
              <wp:start x="0" y="0"/>
              <wp:lineTo x="0" y="20661"/>
              <wp:lineTo x="21434" y="20661"/>
              <wp:lineTo x="21434" y="0"/>
              <wp:lineTo x="0" y="0"/>
            </wp:wrapPolygon>
          </wp:wrapTight>
          <wp:docPr id="795130764" name="obrázek 1" descr="clip_image002"/>
          <wp:cNvGraphicFramePr/>
          <a:graphic xmlns:a="http://schemas.openxmlformats.org/drawingml/2006/main">
            <a:graphicData uri="http://schemas.openxmlformats.org/drawingml/2006/picture">
              <pic:pic xmlns:pic="http://schemas.openxmlformats.org/drawingml/2006/picture">
                <pic:nvPicPr>
                  <pic:cNvPr id="795130764" name="obrázek 1" descr="clip_image002"/>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2476500" cy="219075"/>
                  </a:xfrm>
                  <a:prstGeom prst="rect">
                    <a:avLst/>
                  </a:prstGeom>
                  <a:noFill/>
                  <a:ln>
                    <a:noFill/>
                  </a:ln>
                </pic:spPr>
              </pic:pic>
            </a:graphicData>
          </a:graphic>
        </wp:anchor>
      </w:drawing>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921756"/>
    <w:multiLevelType w:val="hybridMultilevel"/>
    <w:tmpl w:val="D6040A1A"/>
    <w:lvl w:ilvl="0">
      <w:start w:val="1"/>
      <w:numFmt w:val="bullet"/>
      <w:lvlText w:val=""/>
      <w:lvlJc w:val="left"/>
      <w:pPr>
        <w:ind w:left="1228" w:hanging="360"/>
      </w:pPr>
      <w:rPr>
        <w:rFonts w:ascii="Symbol" w:hAnsi="Symbol" w:hint="default"/>
      </w:rPr>
    </w:lvl>
    <w:lvl w:ilvl="1" w:tentative="1">
      <w:start w:val="1"/>
      <w:numFmt w:val="bullet"/>
      <w:lvlText w:val="o"/>
      <w:lvlJc w:val="left"/>
      <w:pPr>
        <w:ind w:left="1948" w:hanging="360"/>
      </w:pPr>
      <w:rPr>
        <w:rFonts w:ascii="Courier New" w:hAnsi="Courier New" w:cs="Courier New" w:hint="default"/>
      </w:rPr>
    </w:lvl>
    <w:lvl w:ilvl="2" w:tentative="1">
      <w:start w:val="1"/>
      <w:numFmt w:val="bullet"/>
      <w:lvlText w:val=""/>
      <w:lvlJc w:val="left"/>
      <w:pPr>
        <w:ind w:left="2668" w:hanging="360"/>
      </w:pPr>
      <w:rPr>
        <w:rFonts w:ascii="Wingdings" w:hAnsi="Wingdings" w:hint="default"/>
      </w:rPr>
    </w:lvl>
    <w:lvl w:ilvl="3" w:tentative="1">
      <w:start w:val="1"/>
      <w:numFmt w:val="bullet"/>
      <w:lvlText w:val=""/>
      <w:lvlJc w:val="left"/>
      <w:pPr>
        <w:ind w:left="3388" w:hanging="360"/>
      </w:pPr>
      <w:rPr>
        <w:rFonts w:ascii="Symbol" w:hAnsi="Symbol" w:hint="default"/>
      </w:rPr>
    </w:lvl>
    <w:lvl w:ilvl="4" w:tentative="1">
      <w:start w:val="1"/>
      <w:numFmt w:val="bullet"/>
      <w:lvlText w:val="o"/>
      <w:lvlJc w:val="left"/>
      <w:pPr>
        <w:ind w:left="4108" w:hanging="360"/>
      </w:pPr>
      <w:rPr>
        <w:rFonts w:ascii="Courier New" w:hAnsi="Courier New" w:cs="Courier New" w:hint="default"/>
      </w:rPr>
    </w:lvl>
    <w:lvl w:ilvl="5" w:tentative="1">
      <w:start w:val="1"/>
      <w:numFmt w:val="bullet"/>
      <w:lvlText w:val=""/>
      <w:lvlJc w:val="left"/>
      <w:pPr>
        <w:ind w:left="4828" w:hanging="360"/>
      </w:pPr>
      <w:rPr>
        <w:rFonts w:ascii="Wingdings" w:hAnsi="Wingdings" w:hint="default"/>
      </w:rPr>
    </w:lvl>
    <w:lvl w:ilvl="6" w:tentative="1">
      <w:start w:val="1"/>
      <w:numFmt w:val="bullet"/>
      <w:lvlText w:val=""/>
      <w:lvlJc w:val="left"/>
      <w:pPr>
        <w:ind w:left="5548" w:hanging="360"/>
      </w:pPr>
      <w:rPr>
        <w:rFonts w:ascii="Symbol" w:hAnsi="Symbol" w:hint="default"/>
      </w:rPr>
    </w:lvl>
    <w:lvl w:ilvl="7" w:tentative="1">
      <w:start w:val="1"/>
      <w:numFmt w:val="bullet"/>
      <w:lvlText w:val="o"/>
      <w:lvlJc w:val="left"/>
      <w:pPr>
        <w:ind w:left="6268" w:hanging="360"/>
      </w:pPr>
      <w:rPr>
        <w:rFonts w:ascii="Courier New" w:hAnsi="Courier New" w:cs="Courier New" w:hint="default"/>
      </w:rPr>
    </w:lvl>
    <w:lvl w:ilvl="8" w:tentative="1">
      <w:start w:val="1"/>
      <w:numFmt w:val="bullet"/>
      <w:lvlText w:val=""/>
      <w:lvlJc w:val="left"/>
      <w:pPr>
        <w:ind w:left="6988" w:hanging="360"/>
      </w:pPr>
      <w:rPr>
        <w:rFonts w:ascii="Wingdings" w:hAnsi="Wingdings" w:hint="default"/>
      </w:rPr>
    </w:lvl>
  </w:abstractNum>
  <w:abstractNum w:abstractNumId="1">
    <w:nsid w:val="019D0AF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28E222F"/>
    <w:multiLevelType w:val="multilevel"/>
    <w:tmpl w:val="44D407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303309F"/>
    <w:multiLevelType w:val="hybridMultilevel"/>
    <w:tmpl w:val="9B8CE9B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
    <w:nsid w:val="06BD40CA"/>
    <w:multiLevelType w:val="hybridMultilevel"/>
    <w:tmpl w:val="8B32834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nsid w:val="0A6749F3"/>
    <w:multiLevelType w:val="multilevel"/>
    <w:tmpl w:val="5AB6771E"/>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nsid w:val="0AF7548B"/>
    <w:multiLevelType w:val="hybridMultilevel"/>
    <w:tmpl w:val="40D0F10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
    <w:nsid w:val="0DF75DD1"/>
    <w:multiLevelType w:val="hybridMultilevel"/>
    <w:tmpl w:val="C65C3D6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
    <w:nsid w:val="0EA46DD9"/>
    <w:multiLevelType w:val="hybridMultilevel"/>
    <w:tmpl w:val="EC643D3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
    <w:nsid w:val="0FD938CE"/>
    <w:multiLevelType w:val="hybridMultilevel"/>
    <w:tmpl w:val="E418EBF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nsid w:val="0FDE67AA"/>
    <w:multiLevelType w:val="multilevel"/>
    <w:tmpl w:val="8570A17A"/>
    <w:lvl w:ilvl="0">
      <w:start w:val="1"/>
      <w:numFmt w:val="decimal"/>
      <w:lvlText w:val="%1."/>
      <w:lvlJc w:val="left"/>
      <w:pPr>
        <w:ind w:left="360" w:hanging="360"/>
      </w:pPr>
      <w:rPr>
        <w:rFonts w:hint="default"/>
        <w:b w:val="0"/>
        <w:sz w:val="32"/>
      </w:rPr>
    </w:lvl>
    <w:lvl w:ilvl="1">
      <w:start w:val="1"/>
      <w:numFmt w:val="decimal"/>
      <w:lvlText w:val="%1.%2."/>
      <w:lvlJc w:val="left"/>
      <w:pPr>
        <w:ind w:left="432" w:hanging="432"/>
      </w:pPr>
      <w:rPr>
        <w:rFonts w:hint="default"/>
        <w:b/>
        <w:bCs w:val="0"/>
        <w:i w:val="0"/>
        <w:iCs w:val="0"/>
        <w:caps w:val="0"/>
        <w:smallCaps w:val="0"/>
        <w:strike w:val="0"/>
        <w:dstrike w:val="0"/>
        <w:noProof w:val="0"/>
        <w:vanish w:val="0"/>
        <w:color w:val="1F497D" w:themeColor="text2"/>
        <w:spacing w:val="0"/>
        <w:kern w:val="0"/>
        <w:position w:val="0"/>
        <w:sz w:val="32"/>
        <w:u w:val="none"/>
        <w:effect w:val="none"/>
        <w:vertAlign w:val="baseline"/>
        <w:specVanish w:val="0"/>
      </w:rPr>
    </w:lvl>
    <w:lvl w:ilvl="2">
      <w:start w:val="1"/>
      <w:numFmt w:val="decimal"/>
      <w:lvlText w:val="%1.%2.%3."/>
      <w:lvlJc w:val="left"/>
      <w:pPr>
        <w:ind w:left="504" w:hanging="504"/>
      </w:pPr>
      <w:rPr>
        <w:rFonts w:hint="default"/>
        <w:sz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09276F1"/>
    <w:multiLevelType w:val="hybridMultilevel"/>
    <w:tmpl w:val="BE82188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Simplified Arabic Fixed" w:hAnsi="Simplified Arabic Fixed" w:cs="Simplified Arabic Fixed"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Simplified Arabic Fixed" w:hAnsi="Simplified Arabic Fixed" w:cs="Simplified Arabic Fixed"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Simplified Arabic Fixed" w:hAnsi="Simplified Arabic Fixed" w:cs="Simplified Arabic Fixed" w:hint="default"/>
      </w:rPr>
    </w:lvl>
    <w:lvl w:ilvl="8" w:tentative="1">
      <w:start w:val="1"/>
      <w:numFmt w:val="bullet"/>
      <w:lvlText w:val=""/>
      <w:lvlJc w:val="left"/>
      <w:pPr>
        <w:ind w:left="6480" w:hanging="360"/>
      </w:pPr>
      <w:rPr>
        <w:rFonts w:ascii="Wingdings" w:hAnsi="Wingdings" w:hint="default"/>
      </w:rPr>
    </w:lvl>
  </w:abstractNum>
  <w:abstractNum w:abstractNumId="12">
    <w:nsid w:val="14970C87"/>
    <w:multiLevelType w:val="multilevel"/>
    <w:tmpl w:val="C4823C70"/>
    <w:lvl w:ilvl="0">
      <w:start w:val="1"/>
      <w:numFmt w:val="decimal"/>
      <w:pStyle w:val="N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15045DAC"/>
    <w:multiLevelType w:val="hybridMultilevel"/>
    <w:tmpl w:val="D90C3E1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
    <w:nsid w:val="1D5443BF"/>
    <w:multiLevelType w:val="multilevel"/>
    <w:tmpl w:val="647C5C5C"/>
    <w:lvl w:ilvl="0">
      <w:start w:val="2"/>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nsid w:val="1F220626"/>
    <w:multiLevelType w:val="hybridMultilevel"/>
    <w:tmpl w:val="42A8A1C6"/>
    <w:lvl w:ilvl="0">
      <w:start w:val="1"/>
      <w:numFmt w:val="bullet"/>
      <w:lvlText w:val=""/>
      <w:lvlJc w:val="left"/>
      <w:pPr>
        <w:tabs>
          <w:tab w:val="num" w:pos="720"/>
        </w:tabs>
        <w:ind w:left="720" w:hanging="360"/>
      </w:pPr>
      <w:rPr>
        <w:rFonts w:ascii="Symbol" w:hAnsi="Symbol" w:hint="default"/>
      </w:rPr>
    </w:lvl>
    <w:lvl w:ilvl="1" w:tentative="1">
      <w:start w:val="1"/>
      <w:numFmt w:val="bullet"/>
      <w:lvlText w:val=""/>
      <w:lvlJc w:val="left"/>
      <w:pPr>
        <w:tabs>
          <w:tab w:val="num" w:pos="1440"/>
        </w:tabs>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Wingdings" w:hAnsi="Wingdings" w:hint="default"/>
      </w:rPr>
    </w:lvl>
    <w:lvl w:ilvl="4" w:tentative="1">
      <w:start w:val="1"/>
      <w:numFmt w:val="bullet"/>
      <w:lvlText w:val=""/>
      <w:lvlJc w:val="left"/>
      <w:pPr>
        <w:tabs>
          <w:tab w:val="num" w:pos="3600"/>
        </w:tabs>
        <w:ind w:left="3600" w:hanging="360"/>
      </w:pPr>
      <w:rPr>
        <w:rFonts w:ascii="Wingdings" w:hAnsi="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Wingdings" w:hAnsi="Wingdings" w:hint="default"/>
      </w:rPr>
    </w:lvl>
    <w:lvl w:ilvl="7" w:tentative="1">
      <w:start w:val="1"/>
      <w:numFmt w:val="bullet"/>
      <w:lvlText w:val=""/>
      <w:lvlJc w:val="left"/>
      <w:pPr>
        <w:tabs>
          <w:tab w:val="num" w:pos="5760"/>
        </w:tabs>
        <w:ind w:left="5760" w:hanging="360"/>
      </w:pPr>
      <w:rPr>
        <w:rFonts w:ascii="Wingdings" w:hAnsi="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1F774735"/>
    <w:multiLevelType w:val="hybridMultilevel"/>
    <w:tmpl w:val="1FDC955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
    <w:nsid w:val="25A13FC6"/>
    <w:multiLevelType w:val="hybridMultilevel"/>
    <w:tmpl w:val="BEBA617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Simplified Arabic Fixed" w:hAnsi="Simplified Arabic Fixed" w:cs="Simplified Arabic Fixed"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Simplified Arabic Fixed" w:hAnsi="Simplified Arabic Fixed" w:cs="Simplified Arabic Fixed"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Simplified Arabic Fixed" w:hAnsi="Simplified Arabic Fixed" w:cs="Simplified Arabic Fixed" w:hint="default"/>
      </w:rPr>
    </w:lvl>
    <w:lvl w:ilvl="8" w:tentative="1">
      <w:start w:val="1"/>
      <w:numFmt w:val="bullet"/>
      <w:lvlText w:val=""/>
      <w:lvlJc w:val="left"/>
      <w:pPr>
        <w:ind w:left="6480" w:hanging="360"/>
      </w:pPr>
      <w:rPr>
        <w:rFonts w:ascii="Wingdings" w:hAnsi="Wingdings" w:hint="default"/>
      </w:rPr>
    </w:lvl>
  </w:abstractNum>
  <w:abstractNum w:abstractNumId="18">
    <w:nsid w:val="279F3BBD"/>
    <w:multiLevelType w:val="multilevel"/>
    <w:tmpl w:val="E9F85630"/>
    <w:styleLink w:val="Aktulnseznam1"/>
    <w:lvl w:ilvl="0">
      <w:start w:val="1"/>
      <w:numFmt w:val="decimal"/>
      <w:lvlText w:val="%1"/>
      <w:lvlJc w:val="left"/>
      <w:pPr>
        <w:ind w:left="750" w:hanging="750"/>
      </w:pPr>
      <w:rPr>
        <w:rFonts w:hint="default"/>
      </w:rPr>
    </w:lvl>
    <w:lvl w:ilvl="1">
      <w:start w:val="1"/>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27F77994"/>
    <w:multiLevelType w:val="hybridMultilevel"/>
    <w:tmpl w:val="60921BE4"/>
    <w:lvl w:ilvl="0">
      <w:start w:val="1"/>
      <w:numFmt w:val="bullet"/>
      <w:pStyle w:val="Odstavecseseznamem1"/>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
    <w:nsid w:val="29555A0F"/>
    <w:multiLevelType w:val="hybridMultilevel"/>
    <w:tmpl w:val="6644AE8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
    <w:nsid w:val="297B056B"/>
    <w:multiLevelType w:val="multilevel"/>
    <w:tmpl w:val="37DEB212"/>
    <w:lvl w:ilvl="0">
      <w:start w:val="1"/>
      <w:numFmt w:val="decimal"/>
      <w:lvlText w:val="%1."/>
      <w:lvlJc w:val="left"/>
      <w:pPr>
        <w:ind w:left="360" w:hanging="360"/>
      </w:pPr>
    </w:lvl>
    <w:lvl w:ilvl="1">
      <w:start w:val="1"/>
      <w:numFmt w:val="decimal"/>
      <w:pStyle w:val="NA2"/>
      <w:lvlText w:val="%1.%2."/>
      <w:lvlJc w:val="left"/>
      <w:pPr>
        <w:ind w:left="858" w:hanging="432"/>
      </w:pPr>
      <w:rPr>
        <w:sz w:val="28"/>
        <w:szCs w:val="28"/>
      </w:rPr>
    </w:lvl>
    <w:lvl w:ilvl="2">
      <w:start w:val="1"/>
      <w:numFmt w:val="decimal"/>
      <w:lvlText w:val="%1.%2.%3."/>
      <w:lvlJc w:val="left"/>
      <w:pPr>
        <w:ind w:left="3481"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2C740F54"/>
    <w:multiLevelType w:val="hybridMultilevel"/>
    <w:tmpl w:val="F9A617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E0F208E"/>
    <w:multiLevelType w:val="hybridMultilevel"/>
    <w:tmpl w:val="ED64DE50"/>
    <w:lvl w:ilvl="0">
      <w:start w:val="1"/>
      <w:numFmt w:val="bullet"/>
      <w:pStyle w:val="ListParagraph"/>
      <w:lvlText w:val="-"/>
      <w:lvlJc w:val="left"/>
      <w:pPr>
        <w:ind w:left="720" w:hanging="360"/>
      </w:pPr>
      <w:rPr>
        <w:rFonts w:ascii="Courier New" w:hAnsi="Courier New" w:hint="default"/>
        <w:color w:val="auto"/>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
    <w:nsid w:val="2E1E7C69"/>
    <w:multiLevelType w:val="hybridMultilevel"/>
    <w:tmpl w:val="1220A2C4"/>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5">
    <w:nsid w:val="2E716EC0"/>
    <w:multiLevelType w:val="hybridMultilevel"/>
    <w:tmpl w:val="304E79D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
    <w:nsid w:val="324A6DE9"/>
    <w:multiLevelType w:val="hybridMultilevel"/>
    <w:tmpl w:val="E1FC2A3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
    <w:nsid w:val="339C1A2C"/>
    <w:multiLevelType w:val="multilevel"/>
    <w:tmpl w:val="52E8FC40"/>
    <w:lvl w:ilvl="0">
      <w:start w:val="1"/>
      <w:numFmt w:val="decimal"/>
      <w:pStyle w:val="Podkapitola1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Podkapitola1111"/>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47D5BDA"/>
    <w:multiLevelType w:val="multilevel"/>
    <w:tmpl w:val="68A0619E"/>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862"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9">
    <w:nsid w:val="35DF73A7"/>
    <w:multiLevelType w:val="hybridMultilevel"/>
    <w:tmpl w:val="4A4484E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
    <w:nsid w:val="3AE51332"/>
    <w:multiLevelType w:val="multilevel"/>
    <w:tmpl w:val="7CC071EA"/>
    <w:lvl w:ilvl="0">
      <w:start w:val="1"/>
      <w:numFmt w:val="decimal"/>
      <w:lvlText w:val="%1"/>
      <w:lvlJc w:val="left"/>
      <w:pPr>
        <w:ind w:left="432" w:hanging="432"/>
      </w:pPr>
    </w:lvl>
    <w:lvl w:ilvl="1">
      <w:start w:val="2"/>
      <w:numFmt w:val="decimal"/>
      <w:lvlText w:val="%2."/>
      <w:lvlJc w:val="left"/>
      <w:pPr>
        <w:ind w:left="360" w:hanging="360"/>
      </w:pPr>
      <w:rPr>
        <w:rFonts w:hint="default"/>
      </w:rPr>
    </w:lvl>
    <w:lvl w:ilvl="2">
      <w:start w:val="1"/>
      <w:numFmt w:val="decimal"/>
      <w:lvlText w:val="%1.%2.%3"/>
      <w:lvlJc w:val="left"/>
      <w:pPr>
        <w:ind w:left="720" w:hanging="720"/>
      </w:pPr>
    </w:lvl>
    <w:lvl w:ilvl="3">
      <w:start w:val="1"/>
      <w:numFmt w:val="decimal"/>
      <w:pStyle w:val="Nadpis41"/>
      <w:lvlText w:val="%1.%2.%3.%4"/>
      <w:lvlJc w:val="left"/>
      <w:pPr>
        <w:ind w:left="864" w:hanging="864"/>
      </w:pPr>
    </w:lvl>
    <w:lvl w:ilvl="4">
      <w:start w:val="1"/>
      <w:numFmt w:val="decimal"/>
      <w:pStyle w:val="Nadpis51"/>
      <w:lvlText w:val="%1.%2.%3.%4.%5"/>
      <w:lvlJc w:val="left"/>
      <w:pPr>
        <w:ind w:left="1008" w:hanging="1008"/>
      </w:pPr>
    </w:lvl>
    <w:lvl w:ilvl="5">
      <w:start w:val="1"/>
      <w:numFmt w:val="decimal"/>
      <w:pStyle w:val="Nadpis61"/>
      <w:lvlText w:val="%1.%2.%3.%4.%5.%6"/>
      <w:lvlJc w:val="left"/>
      <w:pPr>
        <w:ind w:left="1152" w:hanging="1152"/>
      </w:pPr>
    </w:lvl>
    <w:lvl w:ilvl="6">
      <w:start w:val="1"/>
      <w:numFmt w:val="decimal"/>
      <w:pStyle w:val="Nadpis71"/>
      <w:lvlText w:val="%1.%2.%3.%4.%5.%6.%7"/>
      <w:lvlJc w:val="left"/>
      <w:pPr>
        <w:ind w:left="1296" w:hanging="1296"/>
      </w:pPr>
    </w:lvl>
    <w:lvl w:ilvl="7">
      <w:start w:val="1"/>
      <w:numFmt w:val="decimal"/>
      <w:pStyle w:val="Nadpis81"/>
      <w:lvlText w:val="%1.%2.%3.%4.%5.%6.%7.%8"/>
      <w:lvlJc w:val="left"/>
      <w:pPr>
        <w:ind w:left="1440" w:hanging="1440"/>
      </w:pPr>
    </w:lvl>
    <w:lvl w:ilvl="8">
      <w:start w:val="1"/>
      <w:numFmt w:val="decimal"/>
      <w:pStyle w:val="Nadpis91"/>
      <w:lvlText w:val="%1.%2.%3.%4.%5.%6.%7.%8.%9"/>
      <w:lvlJc w:val="left"/>
      <w:pPr>
        <w:ind w:left="1584" w:hanging="1584"/>
      </w:pPr>
    </w:lvl>
  </w:abstractNum>
  <w:abstractNum w:abstractNumId="31">
    <w:nsid w:val="3C996ED3"/>
    <w:multiLevelType w:val="multilevel"/>
    <w:tmpl w:val="583C7AD4"/>
    <w:styleLink w:val="Goallist"/>
    <w:lvl w:ilvl="0">
      <w:start w:val="1"/>
      <w:numFmt w:val="decimal"/>
      <w:pStyle w:val="Nadpis11"/>
      <w:lvlText w:val="Strategický cíl %1."/>
      <w:lvlJc w:val="left"/>
      <w:pPr>
        <w:ind w:left="360" w:hanging="360"/>
      </w:pPr>
      <w:rPr>
        <w:rFonts w:hint="default"/>
      </w:rPr>
    </w:lvl>
    <w:lvl w:ilvl="1">
      <w:start w:val="1"/>
      <w:numFmt w:val="decimal"/>
      <w:pStyle w:val="Nadpis21"/>
      <w:lvlText w:val="Specifický cíl %1.%2."/>
      <w:lvlJc w:val="left"/>
      <w:pPr>
        <w:tabs>
          <w:tab w:val="num" w:pos="720"/>
        </w:tabs>
        <w:ind w:left="357" w:hanging="357"/>
      </w:pPr>
      <w:rPr>
        <w:rFonts w:hint="default"/>
      </w:rPr>
    </w:lvl>
    <w:lvl w:ilvl="2">
      <w:start w:val="1"/>
      <w:numFmt w:val="decimal"/>
      <w:pStyle w:val="Nadpis31"/>
      <w:lvlText w:val="Opatření %1.%2.%3."/>
      <w:lvlJc w:val="left"/>
      <w:pPr>
        <w:ind w:left="6736" w:hanging="35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3CF11774"/>
    <w:multiLevelType w:val="hybridMultilevel"/>
    <w:tmpl w:val="F240025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nsid w:val="40565AC0"/>
    <w:multiLevelType w:val="multilevel"/>
    <w:tmpl w:val="7DE659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45EB1DE5"/>
    <w:multiLevelType w:val="hybridMultilevel"/>
    <w:tmpl w:val="DD627732"/>
    <w:lvl w:ilvl="0">
      <w:start w:val="1"/>
      <w:numFmt w:val="bullet"/>
      <w:pStyle w:val="odrky"/>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35">
    <w:nsid w:val="4A5C795D"/>
    <w:multiLevelType w:val="hybridMultilevel"/>
    <w:tmpl w:val="60146F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6">
    <w:nsid w:val="4B652F5A"/>
    <w:multiLevelType w:val="multilevel"/>
    <w:tmpl w:val="7B468A3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4E5E2649"/>
    <w:multiLevelType w:val="hybridMultilevel"/>
    <w:tmpl w:val="0772DFC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8">
    <w:nsid w:val="4E795043"/>
    <w:multiLevelType w:val="multilevel"/>
    <w:tmpl w:val="DD742A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4FFC4659"/>
    <w:multiLevelType w:val="hybridMultilevel"/>
    <w:tmpl w:val="26807A9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0">
    <w:nsid w:val="52251750"/>
    <w:multiLevelType w:val="hybridMultilevel"/>
    <w:tmpl w:val="10DAFB20"/>
    <w:lvl w:ilvl="0">
      <w:start w:val="1"/>
      <w:numFmt w:val="bullet"/>
      <w:lvlText w:val=""/>
      <w:lvlJc w:val="left"/>
      <w:pPr>
        <w:ind w:left="776" w:hanging="360"/>
      </w:pPr>
      <w:rPr>
        <w:rFonts w:ascii="Symbol" w:hAnsi="Symbol" w:hint="default"/>
      </w:rPr>
    </w:lvl>
    <w:lvl w:ilvl="1" w:tentative="1">
      <w:start w:val="1"/>
      <w:numFmt w:val="bullet"/>
      <w:lvlText w:val="o"/>
      <w:lvlJc w:val="left"/>
      <w:pPr>
        <w:ind w:left="1496" w:hanging="360"/>
      </w:pPr>
      <w:rPr>
        <w:rFonts w:ascii="Courier New" w:hAnsi="Courier New" w:cs="Courier New" w:hint="default"/>
      </w:rPr>
    </w:lvl>
    <w:lvl w:ilvl="2" w:tentative="1">
      <w:start w:val="1"/>
      <w:numFmt w:val="bullet"/>
      <w:lvlText w:val=""/>
      <w:lvlJc w:val="left"/>
      <w:pPr>
        <w:ind w:left="2216" w:hanging="360"/>
      </w:pPr>
      <w:rPr>
        <w:rFonts w:ascii="Wingdings" w:hAnsi="Wingdings" w:hint="default"/>
      </w:rPr>
    </w:lvl>
    <w:lvl w:ilvl="3" w:tentative="1">
      <w:start w:val="1"/>
      <w:numFmt w:val="bullet"/>
      <w:lvlText w:val=""/>
      <w:lvlJc w:val="left"/>
      <w:pPr>
        <w:ind w:left="2936" w:hanging="360"/>
      </w:pPr>
      <w:rPr>
        <w:rFonts w:ascii="Symbol" w:hAnsi="Symbol" w:hint="default"/>
      </w:rPr>
    </w:lvl>
    <w:lvl w:ilvl="4" w:tentative="1">
      <w:start w:val="1"/>
      <w:numFmt w:val="bullet"/>
      <w:lvlText w:val="o"/>
      <w:lvlJc w:val="left"/>
      <w:pPr>
        <w:ind w:left="3656" w:hanging="360"/>
      </w:pPr>
      <w:rPr>
        <w:rFonts w:ascii="Courier New" w:hAnsi="Courier New" w:cs="Courier New" w:hint="default"/>
      </w:rPr>
    </w:lvl>
    <w:lvl w:ilvl="5" w:tentative="1">
      <w:start w:val="1"/>
      <w:numFmt w:val="bullet"/>
      <w:lvlText w:val=""/>
      <w:lvlJc w:val="left"/>
      <w:pPr>
        <w:ind w:left="4376" w:hanging="360"/>
      </w:pPr>
      <w:rPr>
        <w:rFonts w:ascii="Wingdings" w:hAnsi="Wingdings" w:hint="default"/>
      </w:rPr>
    </w:lvl>
    <w:lvl w:ilvl="6" w:tentative="1">
      <w:start w:val="1"/>
      <w:numFmt w:val="bullet"/>
      <w:lvlText w:val=""/>
      <w:lvlJc w:val="left"/>
      <w:pPr>
        <w:ind w:left="5096" w:hanging="360"/>
      </w:pPr>
      <w:rPr>
        <w:rFonts w:ascii="Symbol" w:hAnsi="Symbol" w:hint="default"/>
      </w:rPr>
    </w:lvl>
    <w:lvl w:ilvl="7" w:tentative="1">
      <w:start w:val="1"/>
      <w:numFmt w:val="bullet"/>
      <w:lvlText w:val="o"/>
      <w:lvlJc w:val="left"/>
      <w:pPr>
        <w:ind w:left="5816" w:hanging="360"/>
      </w:pPr>
      <w:rPr>
        <w:rFonts w:ascii="Courier New" w:hAnsi="Courier New" w:cs="Courier New" w:hint="default"/>
      </w:rPr>
    </w:lvl>
    <w:lvl w:ilvl="8" w:tentative="1">
      <w:start w:val="1"/>
      <w:numFmt w:val="bullet"/>
      <w:lvlText w:val=""/>
      <w:lvlJc w:val="left"/>
      <w:pPr>
        <w:ind w:left="6536" w:hanging="360"/>
      </w:pPr>
      <w:rPr>
        <w:rFonts w:ascii="Wingdings" w:hAnsi="Wingdings" w:hint="default"/>
      </w:rPr>
    </w:lvl>
  </w:abstractNum>
  <w:abstractNum w:abstractNumId="41">
    <w:nsid w:val="531469F2"/>
    <w:multiLevelType w:val="multilevel"/>
    <w:tmpl w:val="D6D89AB2"/>
    <w:lvl w:ilvl="0">
      <w:start w:val="1"/>
      <w:numFmt w:val="decimal"/>
      <w:pStyle w:val="Heading1"/>
      <w:lvlText w:val="%1."/>
      <w:lvlJc w:val="left"/>
      <w:pPr>
        <w:ind w:left="432" w:hanging="432"/>
      </w:pPr>
      <w:rPr>
        <w:rFonts w:hint="default"/>
        <w:sz w:val="36"/>
      </w:rPr>
    </w:lvl>
    <w:lvl w:ilvl="1">
      <w:start w:val="1"/>
      <w:numFmt w:val="decimal"/>
      <w:pStyle w:val="Heading2"/>
      <w:lvlText w:val="%1.%2."/>
      <w:lvlJc w:val="left"/>
      <w:pPr>
        <w:ind w:left="1144" w:hanging="576"/>
      </w:pPr>
      <w:rPr>
        <w:rFonts w:hint="default"/>
        <w:sz w:val="28"/>
        <w:szCs w:val="28"/>
      </w:rPr>
    </w:lvl>
    <w:lvl w:ilvl="2">
      <w:start w:val="1"/>
      <w:numFmt w:val="decimal"/>
      <w:pStyle w:val="Heading3"/>
      <w:lvlText w:val="%1.%2.%3"/>
      <w:lvlJc w:val="left"/>
      <w:pPr>
        <w:ind w:left="720" w:hanging="720"/>
      </w:pPr>
      <w:rPr>
        <w:rFonts w:asciiTheme="minorHAnsi" w:hAnsiTheme="minorHAnsi" w:hint="default"/>
        <w:color w:val="000000" w:themeColor="text1"/>
        <w:sz w:val="24"/>
        <w:szCs w:val="24"/>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2">
    <w:nsid w:val="53CC7828"/>
    <w:multiLevelType w:val="hybridMultilevel"/>
    <w:tmpl w:val="EAAC4C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5749475A"/>
    <w:multiLevelType w:val="hybridMultilevel"/>
    <w:tmpl w:val="79AE7C5A"/>
    <w:lvl w:ilvl="0">
      <w:start w:val="0"/>
      <w:numFmt w:val="bullet"/>
      <w:lvlText w:val="-"/>
      <w:lvlJc w:val="left"/>
      <w:pPr>
        <w:ind w:left="720" w:hanging="360"/>
      </w:pPr>
      <w:rPr>
        <w:rFonts w:ascii="Calibri" w:hAnsi="Calibri" w:eastAsiaTheme="minorEastAsia" w:cs="Arial" w:hint="default"/>
      </w:rPr>
    </w:lvl>
    <w:lvl w:ilvl="1" w:tentative="1">
      <w:start w:val="1"/>
      <w:numFmt w:val="bullet"/>
      <w:lvlText w:val="o"/>
      <w:lvlJc w:val="left"/>
      <w:pPr>
        <w:ind w:left="1440" w:hanging="360"/>
      </w:pPr>
      <w:rPr>
        <w:rFonts w:ascii="Simplified Arabic Fixed" w:hAnsi="Simplified Arabic Fixed" w:cs="Simplified Arabic Fixed"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Simplified Arabic Fixed" w:hAnsi="Simplified Arabic Fixed" w:cs="Simplified Arabic Fixed"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Simplified Arabic Fixed" w:hAnsi="Simplified Arabic Fixed" w:cs="Simplified Arabic Fixed" w:hint="default"/>
      </w:rPr>
    </w:lvl>
    <w:lvl w:ilvl="8" w:tentative="1">
      <w:start w:val="1"/>
      <w:numFmt w:val="bullet"/>
      <w:lvlText w:val=""/>
      <w:lvlJc w:val="left"/>
      <w:pPr>
        <w:ind w:left="6480" w:hanging="360"/>
      </w:pPr>
      <w:rPr>
        <w:rFonts w:ascii="Wingdings" w:hAnsi="Wingdings" w:hint="default"/>
      </w:rPr>
    </w:lvl>
  </w:abstractNum>
  <w:abstractNum w:abstractNumId="44">
    <w:nsid w:val="579A6451"/>
    <w:multiLevelType w:val="multilevel"/>
    <w:tmpl w:val="7E284568"/>
    <w:lvl w:ilvl="0">
      <w:start w:val="1"/>
      <w:numFmt w:val="decimal"/>
      <w:lvlText w:val="%1"/>
      <w:lvlJc w:val="left"/>
      <w:pPr>
        <w:ind w:left="750" w:hanging="750"/>
      </w:pPr>
      <w:rPr>
        <w:rFonts w:hint="default"/>
      </w:rPr>
    </w:lvl>
    <w:lvl w:ilvl="1">
      <w:start w:val="1"/>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5B714D56"/>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5C2D7946"/>
    <w:multiLevelType w:val="multilevel"/>
    <w:tmpl w:val="98A2257E"/>
    <w:lvl w:ilvl="0">
      <w:start w:val="1"/>
      <w:numFmt w:val="decimal"/>
      <w:lvlText w:val="%1."/>
      <w:lvlJc w:val="left"/>
      <w:pPr>
        <w:ind w:left="720" w:hanging="360"/>
      </w:pPr>
      <w:rPr>
        <w:rFonts w:hint="default"/>
      </w:rPr>
    </w:lvl>
    <w:lvl w:ilvl="1">
      <w:start w:val="1"/>
      <w:numFmt w:val="decimal"/>
      <w:isLgl/>
      <w:lvlText w:val="%1.%2"/>
      <w:lvlJc w:val="left"/>
      <w:pPr>
        <w:ind w:left="864" w:hanging="50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nsid w:val="60696FD7"/>
    <w:multiLevelType w:val="hybridMultilevel"/>
    <w:tmpl w:val="9EFA887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8">
    <w:nsid w:val="617E7AB1"/>
    <w:multiLevelType w:val="hybridMultilevel"/>
    <w:tmpl w:val="620A7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nsid w:val="63B15513"/>
    <w:multiLevelType w:val="hybridMultilevel"/>
    <w:tmpl w:val="EE0A7E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nsid w:val="65DB6063"/>
    <w:multiLevelType w:val="hybridMultilevel"/>
    <w:tmpl w:val="E3F2768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1">
    <w:nsid w:val="67B029BB"/>
    <w:multiLevelType w:val="hybridMultilevel"/>
    <w:tmpl w:val="377E634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2">
    <w:nsid w:val="691C37ED"/>
    <w:multiLevelType w:val="multilevel"/>
    <w:tmpl w:val="741E00A4"/>
    <w:lvl w:ilvl="0">
      <w:start w:val="2"/>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3">
    <w:nsid w:val="695F3035"/>
    <w:multiLevelType w:val="hybridMultilevel"/>
    <w:tmpl w:val="340E8AC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4">
    <w:nsid w:val="6A994F88"/>
    <w:multiLevelType w:val="hybridMultilevel"/>
    <w:tmpl w:val="B686DEA8"/>
    <w:lvl w:ilvl="0">
      <w:start w:val="1"/>
      <w:numFmt w:val="decimal"/>
      <w:lvlText w:val="%1.1"/>
      <w:lvlJc w:val="left"/>
      <w:pPr>
        <w:ind w:left="1085" w:hanging="360"/>
      </w:pPr>
      <w:rPr>
        <w:rFonts w:hint="default"/>
      </w:rPr>
    </w:lvl>
    <w:lvl w:ilvl="1" w:tentative="1">
      <w:start w:val="1"/>
      <w:numFmt w:val="lowerLetter"/>
      <w:lvlText w:val="%2."/>
      <w:lvlJc w:val="left"/>
      <w:pPr>
        <w:ind w:left="1805" w:hanging="360"/>
      </w:pPr>
    </w:lvl>
    <w:lvl w:ilvl="2" w:tentative="1">
      <w:start w:val="1"/>
      <w:numFmt w:val="lowerRoman"/>
      <w:lvlText w:val="%3."/>
      <w:lvlJc w:val="right"/>
      <w:pPr>
        <w:ind w:left="2525" w:hanging="180"/>
      </w:pPr>
    </w:lvl>
    <w:lvl w:ilvl="3" w:tentative="1">
      <w:start w:val="1"/>
      <w:numFmt w:val="decimal"/>
      <w:lvlText w:val="%4."/>
      <w:lvlJc w:val="left"/>
      <w:pPr>
        <w:ind w:left="3245" w:hanging="360"/>
      </w:pPr>
    </w:lvl>
    <w:lvl w:ilvl="4" w:tentative="1">
      <w:start w:val="1"/>
      <w:numFmt w:val="lowerLetter"/>
      <w:lvlText w:val="%5."/>
      <w:lvlJc w:val="left"/>
      <w:pPr>
        <w:ind w:left="3965" w:hanging="360"/>
      </w:pPr>
    </w:lvl>
    <w:lvl w:ilvl="5" w:tentative="1">
      <w:start w:val="1"/>
      <w:numFmt w:val="lowerRoman"/>
      <w:lvlText w:val="%6."/>
      <w:lvlJc w:val="right"/>
      <w:pPr>
        <w:ind w:left="4685" w:hanging="180"/>
      </w:pPr>
    </w:lvl>
    <w:lvl w:ilvl="6" w:tentative="1">
      <w:start w:val="1"/>
      <w:numFmt w:val="decimal"/>
      <w:lvlText w:val="%7."/>
      <w:lvlJc w:val="left"/>
      <w:pPr>
        <w:ind w:left="5405" w:hanging="360"/>
      </w:pPr>
    </w:lvl>
    <w:lvl w:ilvl="7" w:tentative="1">
      <w:start w:val="1"/>
      <w:numFmt w:val="lowerLetter"/>
      <w:lvlText w:val="%8."/>
      <w:lvlJc w:val="left"/>
      <w:pPr>
        <w:ind w:left="6125" w:hanging="360"/>
      </w:pPr>
    </w:lvl>
    <w:lvl w:ilvl="8" w:tentative="1">
      <w:start w:val="1"/>
      <w:numFmt w:val="lowerRoman"/>
      <w:lvlText w:val="%9."/>
      <w:lvlJc w:val="right"/>
      <w:pPr>
        <w:ind w:left="6845" w:hanging="180"/>
      </w:pPr>
    </w:lvl>
  </w:abstractNum>
  <w:abstractNum w:abstractNumId="55">
    <w:nsid w:val="6ABF7AA7"/>
    <w:multiLevelType w:val="hybridMultilevel"/>
    <w:tmpl w:val="41D859F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6">
    <w:nsid w:val="6DDC5BE0"/>
    <w:multiLevelType w:val="hybridMultilevel"/>
    <w:tmpl w:val="F56A9F1E"/>
    <w:lvl w:ilvl="0">
      <w:start w:val="2"/>
      <w:numFmt w:val="decimal"/>
      <w:lvlText w:val="%1."/>
      <w:lvlJc w:val="left"/>
      <w:pPr>
        <w:ind w:left="720" w:hanging="360"/>
      </w:pPr>
      <w:rPr>
        <w:rFonts w:hint="default"/>
        <w:color w:val="1F497D" w:themeColor="text2"/>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7">
    <w:nsid w:val="72340CEB"/>
    <w:multiLevelType w:val="hybridMultilevel"/>
    <w:tmpl w:val="9ABC926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8">
    <w:nsid w:val="72E873C5"/>
    <w:multiLevelType w:val="hybridMultilevel"/>
    <w:tmpl w:val="2466B84C"/>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59">
    <w:nsid w:val="753005D8"/>
    <w:multiLevelType w:val="multilevel"/>
    <w:tmpl w:val="BB1A8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75A216DE"/>
    <w:multiLevelType w:val="hybridMultilevel"/>
    <w:tmpl w:val="F788CCD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1">
    <w:nsid w:val="76D524BE"/>
    <w:multiLevelType w:val="hybridMultilevel"/>
    <w:tmpl w:val="968E5162"/>
    <w:lvl w:ilvl="0">
      <w:start w:val="1"/>
      <w:numFmt w:val="bullet"/>
      <w:lvlText w:val=""/>
      <w:lvlJc w:val="left"/>
      <w:pPr>
        <w:ind w:left="780" w:hanging="360"/>
      </w:pPr>
      <w:rPr>
        <w:rFonts w:ascii="Symbol" w:hAnsi="Symbol" w:hint="default"/>
      </w:rPr>
    </w:lvl>
    <w:lvl w:ilvl="1" w:tentative="1">
      <w:start w:val="1"/>
      <w:numFmt w:val="bullet"/>
      <w:lvlText w:val="o"/>
      <w:lvlJc w:val="left"/>
      <w:pPr>
        <w:ind w:left="1500" w:hanging="360"/>
      </w:pPr>
      <w:rPr>
        <w:rFonts w:ascii="Courier New" w:hAnsi="Courier New" w:cs="Courier New" w:hint="default"/>
      </w:rPr>
    </w:lvl>
    <w:lvl w:ilvl="2" w:tentative="1">
      <w:start w:val="1"/>
      <w:numFmt w:val="bullet"/>
      <w:lvlText w:val=""/>
      <w:lvlJc w:val="left"/>
      <w:pPr>
        <w:ind w:left="2220" w:hanging="360"/>
      </w:pPr>
      <w:rPr>
        <w:rFonts w:ascii="Wingdings" w:hAnsi="Wingdings" w:hint="default"/>
      </w:rPr>
    </w:lvl>
    <w:lvl w:ilvl="3" w:tentative="1">
      <w:start w:val="1"/>
      <w:numFmt w:val="bullet"/>
      <w:lvlText w:val=""/>
      <w:lvlJc w:val="left"/>
      <w:pPr>
        <w:ind w:left="2940" w:hanging="360"/>
      </w:pPr>
      <w:rPr>
        <w:rFonts w:ascii="Symbol" w:hAnsi="Symbol" w:hint="default"/>
      </w:rPr>
    </w:lvl>
    <w:lvl w:ilvl="4" w:tentative="1">
      <w:start w:val="1"/>
      <w:numFmt w:val="bullet"/>
      <w:lvlText w:val="o"/>
      <w:lvlJc w:val="left"/>
      <w:pPr>
        <w:ind w:left="3660" w:hanging="360"/>
      </w:pPr>
      <w:rPr>
        <w:rFonts w:ascii="Courier New" w:hAnsi="Courier New" w:cs="Courier New" w:hint="default"/>
      </w:rPr>
    </w:lvl>
    <w:lvl w:ilvl="5" w:tentative="1">
      <w:start w:val="1"/>
      <w:numFmt w:val="bullet"/>
      <w:lvlText w:val=""/>
      <w:lvlJc w:val="left"/>
      <w:pPr>
        <w:ind w:left="4380" w:hanging="360"/>
      </w:pPr>
      <w:rPr>
        <w:rFonts w:ascii="Wingdings" w:hAnsi="Wingdings" w:hint="default"/>
      </w:rPr>
    </w:lvl>
    <w:lvl w:ilvl="6" w:tentative="1">
      <w:start w:val="1"/>
      <w:numFmt w:val="bullet"/>
      <w:lvlText w:val=""/>
      <w:lvlJc w:val="left"/>
      <w:pPr>
        <w:ind w:left="5100" w:hanging="360"/>
      </w:pPr>
      <w:rPr>
        <w:rFonts w:ascii="Symbol" w:hAnsi="Symbol" w:hint="default"/>
      </w:rPr>
    </w:lvl>
    <w:lvl w:ilvl="7" w:tentative="1">
      <w:start w:val="1"/>
      <w:numFmt w:val="bullet"/>
      <w:lvlText w:val="o"/>
      <w:lvlJc w:val="left"/>
      <w:pPr>
        <w:ind w:left="5820" w:hanging="360"/>
      </w:pPr>
      <w:rPr>
        <w:rFonts w:ascii="Courier New" w:hAnsi="Courier New" w:cs="Courier New" w:hint="default"/>
      </w:rPr>
    </w:lvl>
    <w:lvl w:ilvl="8" w:tentative="1">
      <w:start w:val="1"/>
      <w:numFmt w:val="bullet"/>
      <w:lvlText w:val=""/>
      <w:lvlJc w:val="left"/>
      <w:pPr>
        <w:ind w:left="6540" w:hanging="360"/>
      </w:pPr>
      <w:rPr>
        <w:rFonts w:ascii="Wingdings" w:hAnsi="Wingdings" w:hint="default"/>
      </w:rPr>
    </w:lvl>
  </w:abstractNum>
  <w:abstractNum w:abstractNumId="62">
    <w:nsid w:val="775953D9"/>
    <w:multiLevelType w:val="hybridMultilevel"/>
    <w:tmpl w:val="CCAA3C7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Simplified Arabic Fixed" w:hAnsi="Simplified Arabic Fixed" w:cs="Simplified Arabic Fixed"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Simplified Arabic Fixed" w:hAnsi="Simplified Arabic Fixed" w:cs="Simplified Arabic Fixed"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Simplified Arabic Fixed" w:hAnsi="Simplified Arabic Fixed" w:cs="Simplified Arabic Fixed" w:hint="default"/>
      </w:rPr>
    </w:lvl>
    <w:lvl w:ilvl="8" w:tentative="1">
      <w:start w:val="1"/>
      <w:numFmt w:val="bullet"/>
      <w:lvlText w:val=""/>
      <w:lvlJc w:val="left"/>
      <w:pPr>
        <w:ind w:left="6480" w:hanging="360"/>
      </w:pPr>
      <w:rPr>
        <w:rFonts w:ascii="Wingdings" w:hAnsi="Wingdings" w:hint="default"/>
      </w:rPr>
    </w:lvl>
  </w:abstractNum>
  <w:abstractNum w:abstractNumId="63">
    <w:nsid w:val="782C7DCC"/>
    <w:multiLevelType w:val="hybridMultilevel"/>
    <w:tmpl w:val="A26A5D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78906D36"/>
    <w:multiLevelType w:val="hybridMultilevel"/>
    <w:tmpl w:val="FD146D6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5">
    <w:nsid w:val="7CEB1230"/>
    <w:multiLevelType w:val="multilevel"/>
    <w:tmpl w:val="BDCE2E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nsid w:val="7E500DB8"/>
    <w:multiLevelType w:val="hybridMultilevel"/>
    <w:tmpl w:val="DA9C151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7">
    <w:nsid w:val="7E530F13"/>
    <w:multiLevelType w:val="hybridMultilevel"/>
    <w:tmpl w:val="8FDA006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Simplified Arabic Fixed" w:hAnsi="Simplified Arabic Fixed" w:cs="Simplified Arabic Fixed"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Simplified Arabic Fixed" w:hAnsi="Simplified Arabic Fixed" w:cs="Simplified Arabic Fixed"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Simplified Arabic Fixed" w:hAnsi="Simplified Arabic Fixed" w:cs="Simplified Arabic Fixed" w:hint="default"/>
      </w:rPr>
    </w:lvl>
    <w:lvl w:ilvl="8" w:tentative="1">
      <w:start w:val="1"/>
      <w:numFmt w:val="bullet"/>
      <w:lvlText w:val=""/>
      <w:lvlJc w:val="left"/>
      <w:pPr>
        <w:ind w:left="6480" w:hanging="360"/>
      </w:pPr>
      <w:rPr>
        <w:rFonts w:ascii="Wingdings" w:hAnsi="Wingdings" w:hint="default"/>
      </w:rPr>
    </w:lvl>
  </w:abstractNum>
  <w:num w:numId="1">
    <w:abstractNumId w:val="10"/>
  </w:num>
  <w:num w:numId="2">
    <w:abstractNumId w:val="30"/>
  </w:num>
  <w:num w:numId="3">
    <w:abstractNumId w:val="31"/>
    <w:lvlOverride w:ilvl="0">
      <w:lvl w:ilvl="0">
        <w:start w:val="1"/>
        <w:numFmt w:val="decimal"/>
        <w:pStyle w:val="Nadpis11"/>
        <w:lvlText w:val="Strategický cíl %1."/>
        <w:lvlJc w:val="left"/>
        <w:pPr>
          <w:ind w:left="360" w:hanging="360"/>
        </w:pPr>
        <w:rPr>
          <w:rFonts w:hint="default"/>
          <w:b/>
        </w:rPr>
      </w:lvl>
    </w:lvlOverride>
  </w:num>
  <w:num w:numId="4">
    <w:abstractNumId w:val="19"/>
  </w:num>
  <w:num w:numId="5">
    <w:abstractNumId w:val="31"/>
  </w:num>
  <w:num w:numId="6">
    <w:abstractNumId w:val="34"/>
  </w:num>
  <w:num w:numId="7">
    <w:abstractNumId w:val="23"/>
  </w:num>
  <w:num w:numId="8">
    <w:abstractNumId w:val="21"/>
  </w:num>
  <w:num w:numId="9">
    <w:abstractNumId w:val="12"/>
  </w:num>
  <w:num w:numId="10">
    <w:abstractNumId w:val="41"/>
  </w:num>
  <w:num w:numId="11">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6"/>
  </w:num>
  <w:num w:numId="15">
    <w:abstractNumId w:val="59"/>
  </w:num>
  <w:num w:numId="16">
    <w:abstractNumId w:val="22"/>
  </w:num>
  <w:num w:numId="17">
    <w:abstractNumId w:val="32"/>
  </w:num>
  <w:num w:numId="18">
    <w:abstractNumId w:val="42"/>
  </w:num>
  <w:num w:numId="19">
    <w:abstractNumId w:val="16"/>
  </w:num>
  <w:num w:numId="20">
    <w:abstractNumId w:val="3"/>
  </w:num>
  <w:num w:numId="21">
    <w:abstractNumId w:val="13"/>
  </w:num>
  <w:num w:numId="22">
    <w:abstractNumId w:val="50"/>
  </w:num>
  <w:num w:numId="23">
    <w:abstractNumId w:val="51"/>
  </w:num>
  <w:num w:numId="24">
    <w:abstractNumId w:val="39"/>
  </w:num>
  <w:num w:numId="25">
    <w:abstractNumId w:val="20"/>
  </w:num>
  <w:num w:numId="26">
    <w:abstractNumId w:val="15"/>
  </w:num>
  <w:num w:numId="27">
    <w:abstractNumId w:val="47"/>
  </w:num>
  <w:num w:numId="28">
    <w:abstractNumId w:val="35"/>
  </w:num>
  <w:num w:numId="29">
    <w:abstractNumId w:val="37"/>
  </w:num>
  <w:num w:numId="30">
    <w:abstractNumId w:val="11"/>
  </w:num>
  <w:num w:numId="31">
    <w:abstractNumId w:val="17"/>
  </w:num>
  <w:num w:numId="32">
    <w:abstractNumId w:val="67"/>
  </w:num>
  <w:num w:numId="33">
    <w:abstractNumId w:val="62"/>
  </w:num>
  <w:num w:numId="34">
    <w:abstractNumId w:val="48"/>
  </w:num>
  <w:num w:numId="35">
    <w:abstractNumId w:val="9"/>
  </w:num>
  <w:num w:numId="36">
    <w:abstractNumId w:val="49"/>
  </w:num>
  <w:num w:numId="37">
    <w:abstractNumId w:val="63"/>
  </w:num>
  <w:num w:numId="38">
    <w:abstractNumId w:val="66"/>
  </w:num>
  <w:num w:numId="39">
    <w:abstractNumId w:val="25"/>
  </w:num>
  <w:num w:numId="40">
    <w:abstractNumId w:val="64"/>
  </w:num>
  <w:num w:numId="41">
    <w:abstractNumId w:val="0"/>
  </w:num>
  <w:num w:numId="42">
    <w:abstractNumId w:val="43"/>
  </w:num>
  <w:num w:numId="43">
    <w:abstractNumId w:val="52"/>
  </w:num>
  <w:num w:numId="44">
    <w:abstractNumId w:val="1"/>
  </w:num>
  <w:num w:numId="45">
    <w:abstractNumId w:val="56"/>
  </w:num>
  <w:num w:numId="46">
    <w:abstractNumId w:val="27"/>
  </w:num>
  <w:num w:numId="47">
    <w:abstractNumId w:val="54"/>
  </w:num>
  <w:num w:numId="48">
    <w:abstractNumId w:val="2"/>
  </w:num>
  <w:num w:numId="49">
    <w:abstractNumId w:val="6"/>
  </w:num>
  <w:num w:numId="50">
    <w:abstractNumId w:val="29"/>
  </w:num>
  <w:num w:numId="51">
    <w:abstractNumId w:val="60"/>
  </w:num>
  <w:num w:numId="52">
    <w:abstractNumId w:val="40"/>
  </w:num>
  <w:num w:numId="53">
    <w:abstractNumId w:val="44"/>
  </w:num>
  <w:num w:numId="54">
    <w:abstractNumId w:val="38"/>
  </w:num>
  <w:num w:numId="55">
    <w:abstractNumId w:val="18"/>
  </w:num>
  <w:num w:numId="56">
    <w:abstractNumId w:val="36"/>
  </w:num>
  <w:num w:numId="57">
    <w:abstractNumId w:val="53"/>
  </w:num>
  <w:num w:numId="58">
    <w:abstractNumId w:val="33"/>
  </w:num>
  <w:num w:numId="59">
    <w:abstractNumId w:val="61"/>
  </w:num>
  <w:num w:numId="60">
    <w:abstractNumId w:val="57"/>
  </w:num>
  <w:num w:numId="61">
    <w:abstractNumId w:val="7"/>
  </w:num>
  <w:num w:numId="62">
    <w:abstractNumId w:val="27"/>
  </w:num>
  <w:num w:numId="63">
    <w:abstractNumId w:val="27"/>
  </w:num>
  <w:num w:numId="64">
    <w:abstractNumId w:val="8"/>
  </w:num>
  <w:num w:numId="65">
    <w:abstractNumId w:val="55"/>
  </w:num>
  <w:num w:numId="66">
    <w:abstractNumId w:val="58"/>
  </w:num>
  <w:num w:numId="67">
    <w:abstractNumId w:val="23"/>
  </w:num>
  <w:num w:numId="68">
    <w:abstractNumId w:val="45"/>
  </w:num>
  <w:num w:numId="69">
    <w:abstractNumId w:val="4"/>
  </w:num>
  <w:num w:numId="70">
    <w:abstractNumId w:val="26"/>
  </w:num>
  <w:num w:numId="71">
    <w:abstractNumId w:val="24"/>
  </w:num>
  <w:num w:numId="72">
    <w:abstractNumId w:val="65"/>
  </w:num>
  <w:num w:numId="73">
    <w:abstractNumId w:val="27"/>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F08" w:allStyles="0" w:alternateStyleNames="0" w:clearFormatting="1" w:customStyles="0" w:directFormattingOnNumbering="1" w:directFormattingOnParagraphs="1" w:directFormattingOnRuns="1" w:directFormattingOnTables="1" w:headingStyles="0" w:latentStyles="0" w:numberingStyles="0" w:stylesInUse="1" w:tableStyles="0" w:top3HeadingStyles="0" w:visibleStyles="0"/>
  <w:defaultTabStop w:val="708"/>
  <w:hyphenationZone w:val="425"/>
  <w:drawingGridHorizontalSpacing w:val="108"/>
  <w:drawingGridVerticalSpacing w:val="181"/>
  <w:displayHorizontalDrawingGridEvery w:val="2"/>
  <w:displayVerticalDrawingGridEvery w:val="2"/>
  <w:characterSpacingControl w:val="doNotCompress"/>
  <w:footnotePr>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4C8A"/>
    <w:rsid w:val="00001226"/>
    <w:rsid w:val="00001328"/>
    <w:rsid w:val="000013E7"/>
    <w:rsid w:val="0000264F"/>
    <w:rsid w:val="00002CD1"/>
    <w:rsid w:val="00003D15"/>
    <w:rsid w:val="000041D2"/>
    <w:rsid w:val="00004686"/>
    <w:rsid w:val="000049F0"/>
    <w:rsid w:val="000072DD"/>
    <w:rsid w:val="0000753C"/>
    <w:rsid w:val="000078F8"/>
    <w:rsid w:val="00007AAC"/>
    <w:rsid w:val="00011A37"/>
    <w:rsid w:val="00014082"/>
    <w:rsid w:val="00014469"/>
    <w:rsid w:val="000145AC"/>
    <w:rsid w:val="00014E1E"/>
    <w:rsid w:val="00015190"/>
    <w:rsid w:val="00015417"/>
    <w:rsid w:val="0001692E"/>
    <w:rsid w:val="000172FF"/>
    <w:rsid w:val="0001785E"/>
    <w:rsid w:val="00021EEE"/>
    <w:rsid w:val="00023EA1"/>
    <w:rsid w:val="000251D8"/>
    <w:rsid w:val="000268DE"/>
    <w:rsid w:val="00026C00"/>
    <w:rsid w:val="00026E3F"/>
    <w:rsid w:val="000271C0"/>
    <w:rsid w:val="00033814"/>
    <w:rsid w:val="00033B45"/>
    <w:rsid w:val="0003416E"/>
    <w:rsid w:val="00034576"/>
    <w:rsid w:val="0003474B"/>
    <w:rsid w:val="00034976"/>
    <w:rsid w:val="000353B0"/>
    <w:rsid w:val="00035CBA"/>
    <w:rsid w:val="0003735F"/>
    <w:rsid w:val="000373D8"/>
    <w:rsid w:val="00037421"/>
    <w:rsid w:val="00037422"/>
    <w:rsid w:val="000400BA"/>
    <w:rsid w:val="0004018D"/>
    <w:rsid w:val="0004056E"/>
    <w:rsid w:val="00040FF5"/>
    <w:rsid w:val="0004115E"/>
    <w:rsid w:val="00041849"/>
    <w:rsid w:val="000419BD"/>
    <w:rsid w:val="00042959"/>
    <w:rsid w:val="000437B7"/>
    <w:rsid w:val="000437C4"/>
    <w:rsid w:val="000439B3"/>
    <w:rsid w:val="00043CD6"/>
    <w:rsid w:val="000445A5"/>
    <w:rsid w:val="00044F94"/>
    <w:rsid w:val="00044FFE"/>
    <w:rsid w:val="00045179"/>
    <w:rsid w:val="00046654"/>
    <w:rsid w:val="00046922"/>
    <w:rsid w:val="00047720"/>
    <w:rsid w:val="00047ECB"/>
    <w:rsid w:val="00047F0A"/>
    <w:rsid w:val="00050224"/>
    <w:rsid w:val="00050705"/>
    <w:rsid w:val="00050F99"/>
    <w:rsid w:val="00051F6C"/>
    <w:rsid w:val="00052303"/>
    <w:rsid w:val="00052458"/>
    <w:rsid w:val="00052A3C"/>
    <w:rsid w:val="00052A82"/>
    <w:rsid w:val="0005334F"/>
    <w:rsid w:val="00053738"/>
    <w:rsid w:val="00053E0C"/>
    <w:rsid w:val="00054331"/>
    <w:rsid w:val="000543B6"/>
    <w:rsid w:val="00055162"/>
    <w:rsid w:val="00055435"/>
    <w:rsid w:val="00055E91"/>
    <w:rsid w:val="00055F48"/>
    <w:rsid w:val="00056631"/>
    <w:rsid w:val="000566A5"/>
    <w:rsid w:val="00056C79"/>
    <w:rsid w:val="000571EE"/>
    <w:rsid w:val="000574F5"/>
    <w:rsid w:val="00057FD4"/>
    <w:rsid w:val="000609A9"/>
    <w:rsid w:val="00060CB6"/>
    <w:rsid w:val="000625F6"/>
    <w:rsid w:val="00063322"/>
    <w:rsid w:val="00064081"/>
    <w:rsid w:val="0006426B"/>
    <w:rsid w:val="00064C18"/>
    <w:rsid w:val="000672B8"/>
    <w:rsid w:val="000676E1"/>
    <w:rsid w:val="00067A99"/>
    <w:rsid w:val="00067D70"/>
    <w:rsid w:val="00070162"/>
    <w:rsid w:val="000702ED"/>
    <w:rsid w:val="00071A26"/>
    <w:rsid w:val="000725EB"/>
    <w:rsid w:val="000727AC"/>
    <w:rsid w:val="00072B62"/>
    <w:rsid w:val="00073B8B"/>
    <w:rsid w:val="00073E66"/>
    <w:rsid w:val="00074244"/>
    <w:rsid w:val="00074406"/>
    <w:rsid w:val="000760E4"/>
    <w:rsid w:val="000760F1"/>
    <w:rsid w:val="0007623C"/>
    <w:rsid w:val="000769D1"/>
    <w:rsid w:val="000775EF"/>
    <w:rsid w:val="00077910"/>
    <w:rsid w:val="000807CF"/>
    <w:rsid w:val="000819C0"/>
    <w:rsid w:val="0008216B"/>
    <w:rsid w:val="00083B49"/>
    <w:rsid w:val="000845BC"/>
    <w:rsid w:val="0008470F"/>
    <w:rsid w:val="00085260"/>
    <w:rsid w:val="00087812"/>
    <w:rsid w:val="00087D3D"/>
    <w:rsid w:val="00090C7E"/>
    <w:rsid w:val="00091ACA"/>
    <w:rsid w:val="00091E4B"/>
    <w:rsid w:val="00092046"/>
    <w:rsid w:val="00092584"/>
    <w:rsid w:val="00092D99"/>
    <w:rsid w:val="00093638"/>
    <w:rsid w:val="0009382D"/>
    <w:rsid w:val="00093D6D"/>
    <w:rsid w:val="00094F77"/>
    <w:rsid w:val="00096586"/>
    <w:rsid w:val="00096597"/>
    <w:rsid w:val="00096CA1"/>
    <w:rsid w:val="0009722E"/>
    <w:rsid w:val="000A10CC"/>
    <w:rsid w:val="000A1716"/>
    <w:rsid w:val="000A18F9"/>
    <w:rsid w:val="000A1F51"/>
    <w:rsid w:val="000A366E"/>
    <w:rsid w:val="000A36C3"/>
    <w:rsid w:val="000A3A24"/>
    <w:rsid w:val="000A4937"/>
    <w:rsid w:val="000A56E5"/>
    <w:rsid w:val="000A5C0A"/>
    <w:rsid w:val="000A66DE"/>
    <w:rsid w:val="000A6846"/>
    <w:rsid w:val="000A6D3F"/>
    <w:rsid w:val="000B0037"/>
    <w:rsid w:val="000B040E"/>
    <w:rsid w:val="000B11D8"/>
    <w:rsid w:val="000B30FA"/>
    <w:rsid w:val="000B31D8"/>
    <w:rsid w:val="000B748E"/>
    <w:rsid w:val="000C022E"/>
    <w:rsid w:val="000C0AE8"/>
    <w:rsid w:val="000C0BAE"/>
    <w:rsid w:val="000C0BB8"/>
    <w:rsid w:val="000C0C55"/>
    <w:rsid w:val="000C0C65"/>
    <w:rsid w:val="000C1834"/>
    <w:rsid w:val="000C1AE5"/>
    <w:rsid w:val="000C258D"/>
    <w:rsid w:val="000C38DD"/>
    <w:rsid w:val="000C3A74"/>
    <w:rsid w:val="000C3BB7"/>
    <w:rsid w:val="000C4017"/>
    <w:rsid w:val="000C406C"/>
    <w:rsid w:val="000C4E78"/>
    <w:rsid w:val="000C5642"/>
    <w:rsid w:val="000C5EC4"/>
    <w:rsid w:val="000C697D"/>
    <w:rsid w:val="000C7083"/>
    <w:rsid w:val="000C7728"/>
    <w:rsid w:val="000C785D"/>
    <w:rsid w:val="000D0CC6"/>
    <w:rsid w:val="000D1C3E"/>
    <w:rsid w:val="000D2CA3"/>
    <w:rsid w:val="000D304C"/>
    <w:rsid w:val="000D3516"/>
    <w:rsid w:val="000D3960"/>
    <w:rsid w:val="000D46C5"/>
    <w:rsid w:val="000D5004"/>
    <w:rsid w:val="000D5B32"/>
    <w:rsid w:val="000D6DC9"/>
    <w:rsid w:val="000D79A0"/>
    <w:rsid w:val="000D7CCA"/>
    <w:rsid w:val="000E138A"/>
    <w:rsid w:val="000E194D"/>
    <w:rsid w:val="000E1AD7"/>
    <w:rsid w:val="000E2317"/>
    <w:rsid w:val="000E2E1F"/>
    <w:rsid w:val="000E2F06"/>
    <w:rsid w:val="000E3B41"/>
    <w:rsid w:val="000E54E2"/>
    <w:rsid w:val="000E5846"/>
    <w:rsid w:val="000E6B8F"/>
    <w:rsid w:val="000E7B79"/>
    <w:rsid w:val="000F1410"/>
    <w:rsid w:val="000F14C2"/>
    <w:rsid w:val="000F2D1C"/>
    <w:rsid w:val="000F30A0"/>
    <w:rsid w:val="000F33AD"/>
    <w:rsid w:val="000F394D"/>
    <w:rsid w:val="000F3F39"/>
    <w:rsid w:val="000F4069"/>
    <w:rsid w:val="000F4185"/>
    <w:rsid w:val="000F5A9B"/>
    <w:rsid w:val="000F5F3C"/>
    <w:rsid w:val="000F68BB"/>
    <w:rsid w:val="00100F13"/>
    <w:rsid w:val="0010129E"/>
    <w:rsid w:val="00101D31"/>
    <w:rsid w:val="00102486"/>
    <w:rsid w:val="00102850"/>
    <w:rsid w:val="0010317C"/>
    <w:rsid w:val="00103636"/>
    <w:rsid w:val="00103DE3"/>
    <w:rsid w:val="0010437F"/>
    <w:rsid w:val="00104FA3"/>
    <w:rsid w:val="001057AE"/>
    <w:rsid w:val="00105B59"/>
    <w:rsid w:val="00105F40"/>
    <w:rsid w:val="001062FE"/>
    <w:rsid w:val="00106A37"/>
    <w:rsid w:val="00106EAD"/>
    <w:rsid w:val="001076B1"/>
    <w:rsid w:val="001079F9"/>
    <w:rsid w:val="00107A1A"/>
    <w:rsid w:val="00110AFE"/>
    <w:rsid w:val="00110F24"/>
    <w:rsid w:val="00111FE9"/>
    <w:rsid w:val="001124A4"/>
    <w:rsid w:val="00113AD8"/>
    <w:rsid w:val="001143E8"/>
    <w:rsid w:val="00114ABD"/>
    <w:rsid w:val="00114ED6"/>
    <w:rsid w:val="0011709E"/>
    <w:rsid w:val="0011748D"/>
    <w:rsid w:val="00117DA8"/>
    <w:rsid w:val="00120AC2"/>
    <w:rsid w:val="001227E4"/>
    <w:rsid w:val="00123507"/>
    <w:rsid w:val="001235CE"/>
    <w:rsid w:val="0012434E"/>
    <w:rsid w:val="00124697"/>
    <w:rsid w:val="0012523D"/>
    <w:rsid w:val="001258B4"/>
    <w:rsid w:val="00125C5E"/>
    <w:rsid w:val="0012684C"/>
    <w:rsid w:val="00126916"/>
    <w:rsid w:val="00130AC1"/>
    <w:rsid w:val="001311B7"/>
    <w:rsid w:val="0013299E"/>
    <w:rsid w:val="00133D92"/>
    <w:rsid w:val="001341D9"/>
    <w:rsid w:val="00142295"/>
    <w:rsid w:val="00142A85"/>
    <w:rsid w:val="001431EF"/>
    <w:rsid w:val="00144E52"/>
    <w:rsid w:val="00145619"/>
    <w:rsid w:val="00145B43"/>
    <w:rsid w:val="00146314"/>
    <w:rsid w:val="0014742A"/>
    <w:rsid w:val="001514C8"/>
    <w:rsid w:val="00151BB7"/>
    <w:rsid w:val="0015269B"/>
    <w:rsid w:val="001532DA"/>
    <w:rsid w:val="001538B1"/>
    <w:rsid w:val="0015425A"/>
    <w:rsid w:val="00154795"/>
    <w:rsid w:val="00154941"/>
    <w:rsid w:val="0015508C"/>
    <w:rsid w:val="00155B34"/>
    <w:rsid w:val="00155FC5"/>
    <w:rsid w:val="00157125"/>
    <w:rsid w:val="00157178"/>
    <w:rsid w:val="001571C8"/>
    <w:rsid w:val="001571EE"/>
    <w:rsid w:val="001601AD"/>
    <w:rsid w:val="00160533"/>
    <w:rsid w:val="00160709"/>
    <w:rsid w:val="00160CE8"/>
    <w:rsid w:val="00162018"/>
    <w:rsid w:val="001620D2"/>
    <w:rsid w:val="0016337D"/>
    <w:rsid w:val="00163C98"/>
    <w:rsid w:val="0016420B"/>
    <w:rsid w:val="0016461D"/>
    <w:rsid w:val="00165474"/>
    <w:rsid w:val="00165677"/>
    <w:rsid w:val="0016591F"/>
    <w:rsid w:val="00165FE2"/>
    <w:rsid w:val="00166D72"/>
    <w:rsid w:val="00167385"/>
    <w:rsid w:val="001700F2"/>
    <w:rsid w:val="00170DFA"/>
    <w:rsid w:val="00171288"/>
    <w:rsid w:val="001714BE"/>
    <w:rsid w:val="00171C52"/>
    <w:rsid w:val="00171F2E"/>
    <w:rsid w:val="001720F0"/>
    <w:rsid w:val="00172200"/>
    <w:rsid w:val="001726A4"/>
    <w:rsid w:val="001755FF"/>
    <w:rsid w:val="001756C1"/>
    <w:rsid w:val="00175AFC"/>
    <w:rsid w:val="0018249B"/>
    <w:rsid w:val="0018433E"/>
    <w:rsid w:val="00185745"/>
    <w:rsid w:val="00186CFC"/>
    <w:rsid w:val="001877DD"/>
    <w:rsid w:val="00190C45"/>
    <w:rsid w:val="00191C93"/>
    <w:rsid w:val="001922B0"/>
    <w:rsid w:val="00193C62"/>
    <w:rsid w:val="001942D0"/>
    <w:rsid w:val="0019482B"/>
    <w:rsid w:val="0019578E"/>
    <w:rsid w:val="0019581E"/>
    <w:rsid w:val="00195BEB"/>
    <w:rsid w:val="00196B40"/>
    <w:rsid w:val="00196F0F"/>
    <w:rsid w:val="00197605"/>
    <w:rsid w:val="00197E13"/>
    <w:rsid w:val="001A0477"/>
    <w:rsid w:val="001A076E"/>
    <w:rsid w:val="001A1CD4"/>
    <w:rsid w:val="001A2EB7"/>
    <w:rsid w:val="001A2FD3"/>
    <w:rsid w:val="001A528B"/>
    <w:rsid w:val="001A65D5"/>
    <w:rsid w:val="001A6CE6"/>
    <w:rsid w:val="001A7A87"/>
    <w:rsid w:val="001B0BF0"/>
    <w:rsid w:val="001B106B"/>
    <w:rsid w:val="001B1A27"/>
    <w:rsid w:val="001B1C5B"/>
    <w:rsid w:val="001B1D83"/>
    <w:rsid w:val="001B2CA4"/>
    <w:rsid w:val="001B2DFA"/>
    <w:rsid w:val="001B2F50"/>
    <w:rsid w:val="001B3E8A"/>
    <w:rsid w:val="001B7539"/>
    <w:rsid w:val="001C0946"/>
    <w:rsid w:val="001C1192"/>
    <w:rsid w:val="001C1232"/>
    <w:rsid w:val="001C1CBB"/>
    <w:rsid w:val="001C3B53"/>
    <w:rsid w:val="001C3EDF"/>
    <w:rsid w:val="001C406E"/>
    <w:rsid w:val="001C4C44"/>
    <w:rsid w:val="001C4D99"/>
    <w:rsid w:val="001C5B6F"/>
    <w:rsid w:val="001C5BD2"/>
    <w:rsid w:val="001C5BFE"/>
    <w:rsid w:val="001C5E3F"/>
    <w:rsid w:val="001C663D"/>
    <w:rsid w:val="001C671F"/>
    <w:rsid w:val="001C7552"/>
    <w:rsid w:val="001C766B"/>
    <w:rsid w:val="001D0697"/>
    <w:rsid w:val="001D06E0"/>
    <w:rsid w:val="001D0BA9"/>
    <w:rsid w:val="001D16A6"/>
    <w:rsid w:val="001D1C59"/>
    <w:rsid w:val="001D30EC"/>
    <w:rsid w:val="001D3469"/>
    <w:rsid w:val="001D3961"/>
    <w:rsid w:val="001D3D20"/>
    <w:rsid w:val="001D41D3"/>
    <w:rsid w:val="001D4840"/>
    <w:rsid w:val="001D4B0B"/>
    <w:rsid w:val="001D52BF"/>
    <w:rsid w:val="001D5396"/>
    <w:rsid w:val="001D553A"/>
    <w:rsid w:val="001D58B8"/>
    <w:rsid w:val="001D68A4"/>
    <w:rsid w:val="001D73B9"/>
    <w:rsid w:val="001D7C57"/>
    <w:rsid w:val="001E2022"/>
    <w:rsid w:val="001E3321"/>
    <w:rsid w:val="001E3B04"/>
    <w:rsid w:val="001E4C15"/>
    <w:rsid w:val="001E5A50"/>
    <w:rsid w:val="001E5FBB"/>
    <w:rsid w:val="001E7DD6"/>
    <w:rsid w:val="001F0A4E"/>
    <w:rsid w:val="001F2F29"/>
    <w:rsid w:val="001F3A1A"/>
    <w:rsid w:val="001F3B07"/>
    <w:rsid w:val="001F43E5"/>
    <w:rsid w:val="001F501B"/>
    <w:rsid w:val="001F568B"/>
    <w:rsid w:val="001F61CB"/>
    <w:rsid w:val="001F6393"/>
    <w:rsid w:val="001F6EE4"/>
    <w:rsid w:val="001F7015"/>
    <w:rsid w:val="0020065A"/>
    <w:rsid w:val="00202704"/>
    <w:rsid w:val="00202894"/>
    <w:rsid w:val="002028A3"/>
    <w:rsid w:val="00202C0E"/>
    <w:rsid w:val="0020332D"/>
    <w:rsid w:val="0020389B"/>
    <w:rsid w:val="0020434B"/>
    <w:rsid w:val="00204449"/>
    <w:rsid w:val="002050EE"/>
    <w:rsid w:val="00205377"/>
    <w:rsid w:val="0020565B"/>
    <w:rsid w:val="00206336"/>
    <w:rsid w:val="00206586"/>
    <w:rsid w:val="00211A61"/>
    <w:rsid w:val="00212240"/>
    <w:rsid w:val="0021239A"/>
    <w:rsid w:val="00212FB6"/>
    <w:rsid w:val="00215FE1"/>
    <w:rsid w:val="0021612D"/>
    <w:rsid w:val="002163A8"/>
    <w:rsid w:val="00216C1F"/>
    <w:rsid w:val="00216D3E"/>
    <w:rsid w:val="00216EB5"/>
    <w:rsid w:val="00216F7E"/>
    <w:rsid w:val="002203E2"/>
    <w:rsid w:val="00221396"/>
    <w:rsid w:val="002218A4"/>
    <w:rsid w:val="00221DFB"/>
    <w:rsid w:val="00222062"/>
    <w:rsid w:val="00222214"/>
    <w:rsid w:val="00222558"/>
    <w:rsid w:val="00222625"/>
    <w:rsid w:val="002235A1"/>
    <w:rsid w:val="00224863"/>
    <w:rsid w:val="00225882"/>
    <w:rsid w:val="00225F93"/>
    <w:rsid w:val="0022713E"/>
    <w:rsid w:val="00231540"/>
    <w:rsid w:val="00231BD7"/>
    <w:rsid w:val="00231C50"/>
    <w:rsid w:val="00232280"/>
    <w:rsid w:val="00232452"/>
    <w:rsid w:val="00232F69"/>
    <w:rsid w:val="00233882"/>
    <w:rsid w:val="00233F1B"/>
    <w:rsid w:val="00233F1F"/>
    <w:rsid w:val="00234DEC"/>
    <w:rsid w:val="002350B3"/>
    <w:rsid w:val="002351B0"/>
    <w:rsid w:val="00235BC9"/>
    <w:rsid w:val="0023603C"/>
    <w:rsid w:val="00236317"/>
    <w:rsid w:val="00236C68"/>
    <w:rsid w:val="00236CA6"/>
    <w:rsid w:val="002371BB"/>
    <w:rsid w:val="00237286"/>
    <w:rsid w:val="00237F85"/>
    <w:rsid w:val="002400F2"/>
    <w:rsid w:val="0024037A"/>
    <w:rsid w:val="00240B71"/>
    <w:rsid w:val="00240C96"/>
    <w:rsid w:val="00240D81"/>
    <w:rsid w:val="00241D2B"/>
    <w:rsid w:val="00242DF5"/>
    <w:rsid w:val="00243328"/>
    <w:rsid w:val="00244099"/>
    <w:rsid w:val="00244692"/>
    <w:rsid w:val="00244986"/>
    <w:rsid w:val="00244EE3"/>
    <w:rsid w:val="002450F0"/>
    <w:rsid w:val="00246637"/>
    <w:rsid w:val="00246D56"/>
    <w:rsid w:val="00246D6E"/>
    <w:rsid w:val="00250191"/>
    <w:rsid w:val="00251C86"/>
    <w:rsid w:val="00252982"/>
    <w:rsid w:val="00253050"/>
    <w:rsid w:val="00254C68"/>
    <w:rsid w:val="00255C4D"/>
    <w:rsid w:val="00255D77"/>
    <w:rsid w:val="00256F02"/>
    <w:rsid w:val="00257663"/>
    <w:rsid w:val="00260220"/>
    <w:rsid w:val="00260658"/>
    <w:rsid w:val="00260702"/>
    <w:rsid w:val="00260CD7"/>
    <w:rsid w:val="002616FA"/>
    <w:rsid w:val="00262778"/>
    <w:rsid w:val="00264595"/>
    <w:rsid w:val="00264BB3"/>
    <w:rsid w:val="00264BCE"/>
    <w:rsid w:val="00265008"/>
    <w:rsid w:val="00265409"/>
    <w:rsid w:val="002666E4"/>
    <w:rsid w:val="00267B61"/>
    <w:rsid w:val="00267EA5"/>
    <w:rsid w:val="0027137B"/>
    <w:rsid w:val="002713BD"/>
    <w:rsid w:val="00271588"/>
    <w:rsid w:val="00271C24"/>
    <w:rsid w:val="00272254"/>
    <w:rsid w:val="0027285D"/>
    <w:rsid w:val="00272E33"/>
    <w:rsid w:val="0027485F"/>
    <w:rsid w:val="0027546F"/>
    <w:rsid w:val="002761DD"/>
    <w:rsid w:val="0027701D"/>
    <w:rsid w:val="0027749F"/>
    <w:rsid w:val="00277536"/>
    <w:rsid w:val="0028028F"/>
    <w:rsid w:val="002817F9"/>
    <w:rsid w:val="0028185B"/>
    <w:rsid w:val="002819FC"/>
    <w:rsid w:val="00281D6C"/>
    <w:rsid w:val="002820EE"/>
    <w:rsid w:val="002831C0"/>
    <w:rsid w:val="00283AA2"/>
    <w:rsid w:val="00284461"/>
    <w:rsid w:val="0028512C"/>
    <w:rsid w:val="00285272"/>
    <w:rsid w:val="0028584A"/>
    <w:rsid w:val="002876D2"/>
    <w:rsid w:val="00290224"/>
    <w:rsid w:val="00290A19"/>
    <w:rsid w:val="00291691"/>
    <w:rsid w:val="0029270A"/>
    <w:rsid w:val="00292EB1"/>
    <w:rsid w:val="002932AF"/>
    <w:rsid w:val="002937DD"/>
    <w:rsid w:val="00293870"/>
    <w:rsid w:val="00294311"/>
    <w:rsid w:val="00295B3C"/>
    <w:rsid w:val="00296CB1"/>
    <w:rsid w:val="0029711E"/>
    <w:rsid w:val="00297F9D"/>
    <w:rsid w:val="002A1389"/>
    <w:rsid w:val="002A211B"/>
    <w:rsid w:val="002A2165"/>
    <w:rsid w:val="002A2858"/>
    <w:rsid w:val="002A31AF"/>
    <w:rsid w:val="002A6A14"/>
    <w:rsid w:val="002A70EA"/>
    <w:rsid w:val="002B1DE4"/>
    <w:rsid w:val="002B404B"/>
    <w:rsid w:val="002B4A3B"/>
    <w:rsid w:val="002B62F2"/>
    <w:rsid w:val="002B75FF"/>
    <w:rsid w:val="002C21D3"/>
    <w:rsid w:val="002C2D65"/>
    <w:rsid w:val="002C3751"/>
    <w:rsid w:val="002C375F"/>
    <w:rsid w:val="002C4402"/>
    <w:rsid w:val="002C4CCA"/>
    <w:rsid w:val="002C4DBE"/>
    <w:rsid w:val="002C4E17"/>
    <w:rsid w:val="002C6893"/>
    <w:rsid w:val="002C6EE5"/>
    <w:rsid w:val="002C6FC2"/>
    <w:rsid w:val="002C7AF5"/>
    <w:rsid w:val="002C7C3E"/>
    <w:rsid w:val="002C7C80"/>
    <w:rsid w:val="002C7C94"/>
    <w:rsid w:val="002D052E"/>
    <w:rsid w:val="002D06A5"/>
    <w:rsid w:val="002D1BFE"/>
    <w:rsid w:val="002D1D81"/>
    <w:rsid w:val="002D1DB5"/>
    <w:rsid w:val="002D2092"/>
    <w:rsid w:val="002D20E4"/>
    <w:rsid w:val="002D24BB"/>
    <w:rsid w:val="002D25E8"/>
    <w:rsid w:val="002D2F92"/>
    <w:rsid w:val="002D37E2"/>
    <w:rsid w:val="002D4FB6"/>
    <w:rsid w:val="002D68D7"/>
    <w:rsid w:val="002E146E"/>
    <w:rsid w:val="002E2047"/>
    <w:rsid w:val="002E3658"/>
    <w:rsid w:val="002E46E5"/>
    <w:rsid w:val="002E504A"/>
    <w:rsid w:val="002E50F1"/>
    <w:rsid w:val="002E5655"/>
    <w:rsid w:val="002E787D"/>
    <w:rsid w:val="002E78BF"/>
    <w:rsid w:val="002E79F2"/>
    <w:rsid w:val="002F026F"/>
    <w:rsid w:val="002F064E"/>
    <w:rsid w:val="002F20B9"/>
    <w:rsid w:val="002F2393"/>
    <w:rsid w:val="002F25A0"/>
    <w:rsid w:val="002F2B01"/>
    <w:rsid w:val="002F3009"/>
    <w:rsid w:val="002F4669"/>
    <w:rsid w:val="002F4A2C"/>
    <w:rsid w:val="002F5AFA"/>
    <w:rsid w:val="002F6E16"/>
    <w:rsid w:val="002F6E9E"/>
    <w:rsid w:val="002F7ED0"/>
    <w:rsid w:val="00300710"/>
    <w:rsid w:val="00300DA3"/>
    <w:rsid w:val="00302FD6"/>
    <w:rsid w:val="0030359F"/>
    <w:rsid w:val="00303FB0"/>
    <w:rsid w:val="00304ED9"/>
    <w:rsid w:val="00305521"/>
    <w:rsid w:val="003055F1"/>
    <w:rsid w:val="00305963"/>
    <w:rsid w:val="00305B01"/>
    <w:rsid w:val="00306732"/>
    <w:rsid w:val="00306752"/>
    <w:rsid w:val="00306999"/>
    <w:rsid w:val="00307254"/>
    <w:rsid w:val="003073C0"/>
    <w:rsid w:val="0031099F"/>
    <w:rsid w:val="00310C3E"/>
    <w:rsid w:val="00310D0C"/>
    <w:rsid w:val="00312041"/>
    <w:rsid w:val="00312766"/>
    <w:rsid w:val="00312DFC"/>
    <w:rsid w:val="00312EA6"/>
    <w:rsid w:val="00313289"/>
    <w:rsid w:val="00313680"/>
    <w:rsid w:val="00314078"/>
    <w:rsid w:val="00314DE3"/>
    <w:rsid w:val="00314FEA"/>
    <w:rsid w:val="0031576C"/>
    <w:rsid w:val="0031629E"/>
    <w:rsid w:val="003162CC"/>
    <w:rsid w:val="00316AC1"/>
    <w:rsid w:val="00316E15"/>
    <w:rsid w:val="00317B54"/>
    <w:rsid w:val="00317E1A"/>
    <w:rsid w:val="0032191C"/>
    <w:rsid w:val="0032346B"/>
    <w:rsid w:val="00323B38"/>
    <w:rsid w:val="00324D85"/>
    <w:rsid w:val="0032533B"/>
    <w:rsid w:val="00325E48"/>
    <w:rsid w:val="0032699B"/>
    <w:rsid w:val="00327507"/>
    <w:rsid w:val="00330032"/>
    <w:rsid w:val="00330877"/>
    <w:rsid w:val="003309A8"/>
    <w:rsid w:val="00330A50"/>
    <w:rsid w:val="00330BF6"/>
    <w:rsid w:val="00330FD9"/>
    <w:rsid w:val="00331BEC"/>
    <w:rsid w:val="003340D0"/>
    <w:rsid w:val="00334C37"/>
    <w:rsid w:val="00334F29"/>
    <w:rsid w:val="0033609A"/>
    <w:rsid w:val="00337F0D"/>
    <w:rsid w:val="003406D0"/>
    <w:rsid w:val="00340827"/>
    <w:rsid w:val="00340956"/>
    <w:rsid w:val="0034150C"/>
    <w:rsid w:val="00342321"/>
    <w:rsid w:val="003436BE"/>
    <w:rsid w:val="00343AF7"/>
    <w:rsid w:val="003442E5"/>
    <w:rsid w:val="00345CB7"/>
    <w:rsid w:val="003461C3"/>
    <w:rsid w:val="00346E6A"/>
    <w:rsid w:val="00350634"/>
    <w:rsid w:val="003507FA"/>
    <w:rsid w:val="00351F34"/>
    <w:rsid w:val="003523FB"/>
    <w:rsid w:val="003541C5"/>
    <w:rsid w:val="00354980"/>
    <w:rsid w:val="00355A2A"/>
    <w:rsid w:val="00356508"/>
    <w:rsid w:val="003565F9"/>
    <w:rsid w:val="003571FF"/>
    <w:rsid w:val="0035756A"/>
    <w:rsid w:val="0036019F"/>
    <w:rsid w:val="00361382"/>
    <w:rsid w:val="003624C0"/>
    <w:rsid w:val="003626D2"/>
    <w:rsid w:val="00363BEC"/>
    <w:rsid w:val="0036444F"/>
    <w:rsid w:val="0036446B"/>
    <w:rsid w:val="003644EE"/>
    <w:rsid w:val="00364CC3"/>
    <w:rsid w:val="00364F0A"/>
    <w:rsid w:val="003658A0"/>
    <w:rsid w:val="00366B49"/>
    <w:rsid w:val="00366C1E"/>
    <w:rsid w:val="00367A99"/>
    <w:rsid w:val="00367DD3"/>
    <w:rsid w:val="00370651"/>
    <w:rsid w:val="00370D7A"/>
    <w:rsid w:val="00370DF0"/>
    <w:rsid w:val="0037196E"/>
    <w:rsid w:val="003724B8"/>
    <w:rsid w:val="00372859"/>
    <w:rsid w:val="00373DE5"/>
    <w:rsid w:val="0037429B"/>
    <w:rsid w:val="00375231"/>
    <w:rsid w:val="003768C3"/>
    <w:rsid w:val="00376BC2"/>
    <w:rsid w:val="00376E84"/>
    <w:rsid w:val="0037774A"/>
    <w:rsid w:val="00377D99"/>
    <w:rsid w:val="00377F83"/>
    <w:rsid w:val="00380124"/>
    <w:rsid w:val="00380135"/>
    <w:rsid w:val="0038039D"/>
    <w:rsid w:val="00380DE1"/>
    <w:rsid w:val="00380E4F"/>
    <w:rsid w:val="00381B43"/>
    <w:rsid w:val="0038221C"/>
    <w:rsid w:val="00382A85"/>
    <w:rsid w:val="00382E82"/>
    <w:rsid w:val="003844D4"/>
    <w:rsid w:val="0038489C"/>
    <w:rsid w:val="00384ACF"/>
    <w:rsid w:val="00384D17"/>
    <w:rsid w:val="00385642"/>
    <w:rsid w:val="0038583B"/>
    <w:rsid w:val="00385A4F"/>
    <w:rsid w:val="00386302"/>
    <w:rsid w:val="003867C4"/>
    <w:rsid w:val="003867EF"/>
    <w:rsid w:val="00387036"/>
    <w:rsid w:val="00387234"/>
    <w:rsid w:val="0038768F"/>
    <w:rsid w:val="00387D65"/>
    <w:rsid w:val="00391275"/>
    <w:rsid w:val="003919AE"/>
    <w:rsid w:val="0039258F"/>
    <w:rsid w:val="003927E7"/>
    <w:rsid w:val="0039494D"/>
    <w:rsid w:val="00394D88"/>
    <w:rsid w:val="00395871"/>
    <w:rsid w:val="00396902"/>
    <w:rsid w:val="00396C31"/>
    <w:rsid w:val="003A11BF"/>
    <w:rsid w:val="003A2323"/>
    <w:rsid w:val="003A3A20"/>
    <w:rsid w:val="003A4A45"/>
    <w:rsid w:val="003A5C79"/>
    <w:rsid w:val="003A624D"/>
    <w:rsid w:val="003A67C1"/>
    <w:rsid w:val="003A6C5B"/>
    <w:rsid w:val="003B0688"/>
    <w:rsid w:val="003B08B6"/>
    <w:rsid w:val="003B0D2B"/>
    <w:rsid w:val="003B1A3E"/>
    <w:rsid w:val="003B2384"/>
    <w:rsid w:val="003B24CD"/>
    <w:rsid w:val="003B2504"/>
    <w:rsid w:val="003B2D92"/>
    <w:rsid w:val="003B2E55"/>
    <w:rsid w:val="003B4299"/>
    <w:rsid w:val="003B4526"/>
    <w:rsid w:val="003B5079"/>
    <w:rsid w:val="003B514D"/>
    <w:rsid w:val="003B54D0"/>
    <w:rsid w:val="003B6658"/>
    <w:rsid w:val="003B6F93"/>
    <w:rsid w:val="003C083B"/>
    <w:rsid w:val="003C1CC6"/>
    <w:rsid w:val="003C23E4"/>
    <w:rsid w:val="003C24A0"/>
    <w:rsid w:val="003C3190"/>
    <w:rsid w:val="003C33BE"/>
    <w:rsid w:val="003C4955"/>
    <w:rsid w:val="003C579F"/>
    <w:rsid w:val="003C6057"/>
    <w:rsid w:val="003C60D8"/>
    <w:rsid w:val="003C645A"/>
    <w:rsid w:val="003C6AE1"/>
    <w:rsid w:val="003C7557"/>
    <w:rsid w:val="003C7F59"/>
    <w:rsid w:val="003D144E"/>
    <w:rsid w:val="003D1C83"/>
    <w:rsid w:val="003D1F18"/>
    <w:rsid w:val="003D28C3"/>
    <w:rsid w:val="003D2961"/>
    <w:rsid w:val="003D2E65"/>
    <w:rsid w:val="003D417F"/>
    <w:rsid w:val="003D4AE8"/>
    <w:rsid w:val="003D502B"/>
    <w:rsid w:val="003D5415"/>
    <w:rsid w:val="003D5E99"/>
    <w:rsid w:val="003D6E1D"/>
    <w:rsid w:val="003D71A5"/>
    <w:rsid w:val="003D78C6"/>
    <w:rsid w:val="003D7A29"/>
    <w:rsid w:val="003D7F5B"/>
    <w:rsid w:val="003E0F8A"/>
    <w:rsid w:val="003E0FFC"/>
    <w:rsid w:val="003E1762"/>
    <w:rsid w:val="003E1B2E"/>
    <w:rsid w:val="003E35D0"/>
    <w:rsid w:val="003E4058"/>
    <w:rsid w:val="003E45DA"/>
    <w:rsid w:val="003E4862"/>
    <w:rsid w:val="003E50C2"/>
    <w:rsid w:val="003E5C22"/>
    <w:rsid w:val="003E5FDD"/>
    <w:rsid w:val="003E6535"/>
    <w:rsid w:val="003E6B0D"/>
    <w:rsid w:val="003E7043"/>
    <w:rsid w:val="003E709A"/>
    <w:rsid w:val="003E71AB"/>
    <w:rsid w:val="003E79E4"/>
    <w:rsid w:val="003E7C74"/>
    <w:rsid w:val="003E7EF0"/>
    <w:rsid w:val="003F044A"/>
    <w:rsid w:val="003F07F4"/>
    <w:rsid w:val="003F137A"/>
    <w:rsid w:val="003F2F95"/>
    <w:rsid w:val="003F3772"/>
    <w:rsid w:val="003F3F2E"/>
    <w:rsid w:val="003F6147"/>
    <w:rsid w:val="003F6CB1"/>
    <w:rsid w:val="003F6E58"/>
    <w:rsid w:val="003F72A2"/>
    <w:rsid w:val="004000B9"/>
    <w:rsid w:val="00400DEA"/>
    <w:rsid w:val="00401459"/>
    <w:rsid w:val="00401758"/>
    <w:rsid w:val="00401D3E"/>
    <w:rsid w:val="004023AC"/>
    <w:rsid w:val="00404EA9"/>
    <w:rsid w:val="00404F43"/>
    <w:rsid w:val="00406A5B"/>
    <w:rsid w:val="00406E04"/>
    <w:rsid w:val="00406EB2"/>
    <w:rsid w:val="00407C64"/>
    <w:rsid w:val="00410720"/>
    <w:rsid w:val="00410D75"/>
    <w:rsid w:val="004112B4"/>
    <w:rsid w:val="00411AFA"/>
    <w:rsid w:val="00412651"/>
    <w:rsid w:val="00412CE9"/>
    <w:rsid w:val="004130BA"/>
    <w:rsid w:val="004132C6"/>
    <w:rsid w:val="0041349B"/>
    <w:rsid w:val="00413849"/>
    <w:rsid w:val="00413E67"/>
    <w:rsid w:val="0041412A"/>
    <w:rsid w:val="0041446A"/>
    <w:rsid w:val="00414985"/>
    <w:rsid w:val="00415400"/>
    <w:rsid w:val="00416119"/>
    <w:rsid w:val="004165CE"/>
    <w:rsid w:val="004170F3"/>
    <w:rsid w:val="004200BE"/>
    <w:rsid w:val="00421024"/>
    <w:rsid w:val="0042393E"/>
    <w:rsid w:val="00423E19"/>
    <w:rsid w:val="00424099"/>
    <w:rsid w:val="004258B2"/>
    <w:rsid w:val="00425B59"/>
    <w:rsid w:val="00427F42"/>
    <w:rsid w:val="00430627"/>
    <w:rsid w:val="004308CB"/>
    <w:rsid w:val="00430B50"/>
    <w:rsid w:val="00432493"/>
    <w:rsid w:val="00434BDD"/>
    <w:rsid w:val="00434E5A"/>
    <w:rsid w:val="00434E95"/>
    <w:rsid w:val="0043578C"/>
    <w:rsid w:val="004362AC"/>
    <w:rsid w:val="00436859"/>
    <w:rsid w:val="00436997"/>
    <w:rsid w:val="0043709C"/>
    <w:rsid w:val="00437EBB"/>
    <w:rsid w:val="0044084F"/>
    <w:rsid w:val="0044103B"/>
    <w:rsid w:val="00441BBA"/>
    <w:rsid w:val="00443152"/>
    <w:rsid w:val="004433AF"/>
    <w:rsid w:val="004433F0"/>
    <w:rsid w:val="0044388C"/>
    <w:rsid w:val="00443A13"/>
    <w:rsid w:val="00443BC3"/>
    <w:rsid w:val="00443D49"/>
    <w:rsid w:val="00443E05"/>
    <w:rsid w:val="00444CA3"/>
    <w:rsid w:val="00444FB0"/>
    <w:rsid w:val="00445E5F"/>
    <w:rsid w:val="004463C5"/>
    <w:rsid w:val="00447364"/>
    <w:rsid w:val="004475FA"/>
    <w:rsid w:val="004476E3"/>
    <w:rsid w:val="00447A25"/>
    <w:rsid w:val="00451323"/>
    <w:rsid w:val="00451C89"/>
    <w:rsid w:val="00452469"/>
    <w:rsid w:val="00452510"/>
    <w:rsid w:val="00452B3A"/>
    <w:rsid w:val="00453660"/>
    <w:rsid w:val="004537D7"/>
    <w:rsid w:val="00454FB7"/>
    <w:rsid w:val="00455945"/>
    <w:rsid w:val="00455E3A"/>
    <w:rsid w:val="0045650F"/>
    <w:rsid w:val="00456A87"/>
    <w:rsid w:val="00457D1D"/>
    <w:rsid w:val="00460913"/>
    <w:rsid w:val="00461857"/>
    <w:rsid w:val="004622B4"/>
    <w:rsid w:val="00462949"/>
    <w:rsid w:val="00462F56"/>
    <w:rsid w:val="004630F2"/>
    <w:rsid w:val="004646C5"/>
    <w:rsid w:val="00465727"/>
    <w:rsid w:val="00465920"/>
    <w:rsid w:val="00465C3F"/>
    <w:rsid w:val="00466B0F"/>
    <w:rsid w:val="00470E35"/>
    <w:rsid w:val="004712FE"/>
    <w:rsid w:val="00471D51"/>
    <w:rsid w:val="004726FF"/>
    <w:rsid w:val="00472814"/>
    <w:rsid w:val="0047299C"/>
    <w:rsid w:val="00472D01"/>
    <w:rsid w:val="00472D56"/>
    <w:rsid w:val="00472DB7"/>
    <w:rsid w:val="00472EF2"/>
    <w:rsid w:val="00473535"/>
    <w:rsid w:val="004738E9"/>
    <w:rsid w:val="00473E0C"/>
    <w:rsid w:val="00474353"/>
    <w:rsid w:val="00474426"/>
    <w:rsid w:val="004747FA"/>
    <w:rsid w:val="00477820"/>
    <w:rsid w:val="00477A42"/>
    <w:rsid w:val="00477FBE"/>
    <w:rsid w:val="0048176D"/>
    <w:rsid w:val="0048191F"/>
    <w:rsid w:val="00481EAC"/>
    <w:rsid w:val="00482318"/>
    <w:rsid w:val="00482627"/>
    <w:rsid w:val="0048331C"/>
    <w:rsid w:val="004833B5"/>
    <w:rsid w:val="0048364E"/>
    <w:rsid w:val="00483B46"/>
    <w:rsid w:val="004840E8"/>
    <w:rsid w:val="00484AEB"/>
    <w:rsid w:val="00484D08"/>
    <w:rsid w:val="004859F3"/>
    <w:rsid w:val="00485B81"/>
    <w:rsid w:val="00485C24"/>
    <w:rsid w:val="00487191"/>
    <w:rsid w:val="004879B3"/>
    <w:rsid w:val="004879DF"/>
    <w:rsid w:val="0049274D"/>
    <w:rsid w:val="00492942"/>
    <w:rsid w:val="00492D35"/>
    <w:rsid w:val="00492E40"/>
    <w:rsid w:val="00492F6D"/>
    <w:rsid w:val="004950BB"/>
    <w:rsid w:val="004950ED"/>
    <w:rsid w:val="004965BC"/>
    <w:rsid w:val="00496833"/>
    <w:rsid w:val="004977FA"/>
    <w:rsid w:val="00497E17"/>
    <w:rsid w:val="004A0745"/>
    <w:rsid w:val="004A08DE"/>
    <w:rsid w:val="004A0C02"/>
    <w:rsid w:val="004A0EBE"/>
    <w:rsid w:val="004A0F16"/>
    <w:rsid w:val="004A10FE"/>
    <w:rsid w:val="004A1CBF"/>
    <w:rsid w:val="004A1D1A"/>
    <w:rsid w:val="004A2398"/>
    <w:rsid w:val="004A290C"/>
    <w:rsid w:val="004A33F7"/>
    <w:rsid w:val="004A39AB"/>
    <w:rsid w:val="004A4188"/>
    <w:rsid w:val="004A56B4"/>
    <w:rsid w:val="004A6B92"/>
    <w:rsid w:val="004A6E92"/>
    <w:rsid w:val="004A7335"/>
    <w:rsid w:val="004A7517"/>
    <w:rsid w:val="004A7839"/>
    <w:rsid w:val="004A7B80"/>
    <w:rsid w:val="004B03C5"/>
    <w:rsid w:val="004B1037"/>
    <w:rsid w:val="004B1094"/>
    <w:rsid w:val="004B22A9"/>
    <w:rsid w:val="004B2956"/>
    <w:rsid w:val="004B2D2A"/>
    <w:rsid w:val="004B2FDE"/>
    <w:rsid w:val="004B355B"/>
    <w:rsid w:val="004B44F6"/>
    <w:rsid w:val="004B4600"/>
    <w:rsid w:val="004B4D42"/>
    <w:rsid w:val="004B5714"/>
    <w:rsid w:val="004B5A30"/>
    <w:rsid w:val="004B5BE8"/>
    <w:rsid w:val="004B5C9A"/>
    <w:rsid w:val="004B5F54"/>
    <w:rsid w:val="004B6E13"/>
    <w:rsid w:val="004B7078"/>
    <w:rsid w:val="004C0CFB"/>
    <w:rsid w:val="004C27B6"/>
    <w:rsid w:val="004C3A4B"/>
    <w:rsid w:val="004C3B20"/>
    <w:rsid w:val="004C47A4"/>
    <w:rsid w:val="004C4E2F"/>
    <w:rsid w:val="004C56D8"/>
    <w:rsid w:val="004C59BC"/>
    <w:rsid w:val="004C5CB0"/>
    <w:rsid w:val="004C6081"/>
    <w:rsid w:val="004C6E93"/>
    <w:rsid w:val="004C7F85"/>
    <w:rsid w:val="004D150D"/>
    <w:rsid w:val="004D1606"/>
    <w:rsid w:val="004D1B1F"/>
    <w:rsid w:val="004D2180"/>
    <w:rsid w:val="004D2910"/>
    <w:rsid w:val="004D3CA0"/>
    <w:rsid w:val="004D434A"/>
    <w:rsid w:val="004D5479"/>
    <w:rsid w:val="004D7EF5"/>
    <w:rsid w:val="004E0590"/>
    <w:rsid w:val="004E0CDF"/>
    <w:rsid w:val="004E1FC2"/>
    <w:rsid w:val="004E2864"/>
    <w:rsid w:val="004E3BB3"/>
    <w:rsid w:val="004E46CE"/>
    <w:rsid w:val="004E4A4E"/>
    <w:rsid w:val="004E4EB9"/>
    <w:rsid w:val="004E5458"/>
    <w:rsid w:val="004E58F5"/>
    <w:rsid w:val="004E677B"/>
    <w:rsid w:val="004F1863"/>
    <w:rsid w:val="004F1DD9"/>
    <w:rsid w:val="004F34B6"/>
    <w:rsid w:val="004F358A"/>
    <w:rsid w:val="004F3786"/>
    <w:rsid w:val="004F3869"/>
    <w:rsid w:val="004F4AD4"/>
    <w:rsid w:val="004F565C"/>
    <w:rsid w:val="004F646E"/>
    <w:rsid w:val="004F6F56"/>
    <w:rsid w:val="004F7B30"/>
    <w:rsid w:val="005010E5"/>
    <w:rsid w:val="0050167E"/>
    <w:rsid w:val="00501B68"/>
    <w:rsid w:val="00502320"/>
    <w:rsid w:val="00502783"/>
    <w:rsid w:val="00502BF4"/>
    <w:rsid w:val="00503667"/>
    <w:rsid w:val="00503F6E"/>
    <w:rsid w:val="005045C6"/>
    <w:rsid w:val="005057CA"/>
    <w:rsid w:val="00505877"/>
    <w:rsid w:val="00505F59"/>
    <w:rsid w:val="0050758C"/>
    <w:rsid w:val="00507599"/>
    <w:rsid w:val="00507BD2"/>
    <w:rsid w:val="00510E2A"/>
    <w:rsid w:val="00510E40"/>
    <w:rsid w:val="00511538"/>
    <w:rsid w:val="005117EC"/>
    <w:rsid w:val="005118FB"/>
    <w:rsid w:val="00511ECE"/>
    <w:rsid w:val="005122C9"/>
    <w:rsid w:val="005134BF"/>
    <w:rsid w:val="005145A2"/>
    <w:rsid w:val="0051480C"/>
    <w:rsid w:val="005155BE"/>
    <w:rsid w:val="0051572D"/>
    <w:rsid w:val="0051576A"/>
    <w:rsid w:val="00515796"/>
    <w:rsid w:val="0051628C"/>
    <w:rsid w:val="00516341"/>
    <w:rsid w:val="00516AE2"/>
    <w:rsid w:val="005173D0"/>
    <w:rsid w:val="0052081D"/>
    <w:rsid w:val="00520F1D"/>
    <w:rsid w:val="0052168B"/>
    <w:rsid w:val="00521845"/>
    <w:rsid w:val="00521B5B"/>
    <w:rsid w:val="00521F27"/>
    <w:rsid w:val="00522037"/>
    <w:rsid w:val="00522623"/>
    <w:rsid w:val="00522A95"/>
    <w:rsid w:val="00524549"/>
    <w:rsid w:val="00524F00"/>
    <w:rsid w:val="0052626A"/>
    <w:rsid w:val="00526AAD"/>
    <w:rsid w:val="00530CC9"/>
    <w:rsid w:val="005315F5"/>
    <w:rsid w:val="00532A19"/>
    <w:rsid w:val="00532E63"/>
    <w:rsid w:val="005331FE"/>
    <w:rsid w:val="0053329D"/>
    <w:rsid w:val="00533A0A"/>
    <w:rsid w:val="005361D7"/>
    <w:rsid w:val="005367C6"/>
    <w:rsid w:val="00540501"/>
    <w:rsid w:val="005409D3"/>
    <w:rsid w:val="00540E9C"/>
    <w:rsid w:val="005417E7"/>
    <w:rsid w:val="00542063"/>
    <w:rsid w:val="005420AF"/>
    <w:rsid w:val="005436D9"/>
    <w:rsid w:val="005437E5"/>
    <w:rsid w:val="00543D94"/>
    <w:rsid w:val="005441AC"/>
    <w:rsid w:val="00545897"/>
    <w:rsid w:val="00545E75"/>
    <w:rsid w:val="00545F9E"/>
    <w:rsid w:val="005468C3"/>
    <w:rsid w:val="005475B0"/>
    <w:rsid w:val="005503B1"/>
    <w:rsid w:val="0055063D"/>
    <w:rsid w:val="005506D1"/>
    <w:rsid w:val="005507F5"/>
    <w:rsid w:val="005519E0"/>
    <w:rsid w:val="00552188"/>
    <w:rsid w:val="0055279C"/>
    <w:rsid w:val="00552ED5"/>
    <w:rsid w:val="00553540"/>
    <w:rsid w:val="00553BF7"/>
    <w:rsid w:val="00553E45"/>
    <w:rsid w:val="00554700"/>
    <w:rsid w:val="00554AAC"/>
    <w:rsid w:val="00555E91"/>
    <w:rsid w:val="00557ED3"/>
    <w:rsid w:val="0056077B"/>
    <w:rsid w:val="00560A61"/>
    <w:rsid w:val="0056132A"/>
    <w:rsid w:val="005615AF"/>
    <w:rsid w:val="00561926"/>
    <w:rsid w:val="00561D6B"/>
    <w:rsid w:val="0056238A"/>
    <w:rsid w:val="00562654"/>
    <w:rsid w:val="00562C2F"/>
    <w:rsid w:val="0056446D"/>
    <w:rsid w:val="00564638"/>
    <w:rsid w:val="0056473C"/>
    <w:rsid w:val="00564F73"/>
    <w:rsid w:val="0056567B"/>
    <w:rsid w:val="00565789"/>
    <w:rsid w:val="0056579E"/>
    <w:rsid w:val="0056642E"/>
    <w:rsid w:val="005664A3"/>
    <w:rsid w:val="00566505"/>
    <w:rsid w:val="0056733B"/>
    <w:rsid w:val="00567661"/>
    <w:rsid w:val="0056772B"/>
    <w:rsid w:val="00567C4C"/>
    <w:rsid w:val="0057032F"/>
    <w:rsid w:val="005705F7"/>
    <w:rsid w:val="00570B4F"/>
    <w:rsid w:val="00572050"/>
    <w:rsid w:val="00572AE0"/>
    <w:rsid w:val="005736A7"/>
    <w:rsid w:val="00574093"/>
    <w:rsid w:val="00574DDC"/>
    <w:rsid w:val="005773FC"/>
    <w:rsid w:val="00580940"/>
    <w:rsid w:val="00581945"/>
    <w:rsid w:val="00582308"/>
    <w:rsid w:val="005823D9"/>
    <w:rsid w:val="0058281E"/>
    <w:rsid w:val="005843F7"/>
    <w:rsid w:val="005860DF"/>
    <w:rsid w:val="00587188"/>
    <w:rsid w:val="00590A6F"/>
    <w:rsid w:val="00590DC2"/>
    <w:rsid w:val="00591A96"/>
    <w:rsid w:val="00591F37"/>
    <w:rsid w:val="00592268"/>
    <w:rsid w:val="00592B23"/>
    <w:rsid w:val="00594342"/>
    <w:rsid w:val="00594575"/>
    <w:rsid w:val="00594A18"/>
    <w:rsid w:val="00595615"/>
    <w:rsid w:val="00596345"/>
    <w:rsid w:val="005967AC"/>
    <w:rsid w:val="005973B7"/>
    <w:rsid w:val="00597CA0"/>
    <w:rsid w:val="005A22B7"/>
    <w:rsid w:val="005A25FA"/>
    <w:rsid w:val="005A311B"/>
    <w:rsid w:val="005A35D7"/>
    <w:rsid w:val="005A428B"/>
    <w:rsid w:val="005A46CA"/>
    <w:rsid w:val="005A48C3"/>
    <w:rsid w:val="005A4A9A"/>
    <w:rsid w:val="005B0517"/>
    <w:rsid w:val="005B0644"/>
    <w:rsid w:val="005B06C1"/>
    <w:rsid w:val="005B06F2"/>
    <w:rsid w:val="005B0D41"/>
    <w:rsid w:val="005B2655"/>
    <w:rsid w:val="005B2902"/>
    <w:rsid w:val="005B3882"/>
    <w:rsid w:val="005B398E"/>
    <w:rsid w:val="005B3AB9"/>
    <w:rsid w:val="005B5358"/>
    <w:rsid w:val="005B54E3"/>
    <w:rsid w:val="005B59D4"/>
    <w:rsid w:val="005B5A49"/>
    <w:rsid w:val="005B619D"/>
    <w:rsid w:val="005C2CDE"/>
    <w:rsid w:val="005C40AA"/>
    <w:rsid w:val="005C4116"/>
    <w:rsid w:val="005C46B3"/>
    <w:rsid w:val="005C49C5"/>
    <w:rsid w:val="005C7312"/>
    <w:rsid w:val="005D08B4"/>
    <w:rsid w:val="005D1A37"/>
    <w:rsid w:val="005D3CE5"/>
    <w:rsid w:val="005D4012"/>
    <w:rsid w:val="005D4151"/>
    <w:rsid w:val="005D4D73"/>
    <w:rsid w:val="005D56CF"/>
    <w:rsid w:val="005D6D9E"/>
    <w:rsid w:val="005D78FA"/>
    <w:rsid w:val="005E03BB"/>
    <w:rsid w:val="005E09D0"/>
    <w:rsid w:val="005E1320"/>
    <w:rsid w:val="005E1BC4"/>
    <w:rsid w:val="005E2A81"/>
    <w:rsid w:val="005E3406"/>
    <w:rsid w:val="005E34D9"/>
    <w:rsid w:val="005E3C43"/>
    <w:rsid w:val="005E4139"/>
    <w:rsid w:val="005E4339"/>
    <w:rsid w:val="005E441E"/>
    <w:rsid w:val="005E4509"/>
    <w:rsid w:val="005E453A"/>
    <w:rsid w:val="005E4B10"/>
    <w:rsid w:val="005E53BE"/>
    <w:rsid w:val="005E5756"/>
    <w:rsid w:val="005E62FB"/>
    <w:rsid w:val="005E6467"/>
    <w:rsid w:val="005E649D"/>
    <w:rsid w:val="005E69AB"/>
    <w:rsid w:val="005E6BD7"/>
    <w:rsid w:val="005E6DB7"/>
    <w:rsid w:val="005E6F53"/>
    <w:rsid w:val="005E72D6"/>
    <w:rsid w:val="005E737B"/>
    <w:rsid w:val="005E7911"/>
    <w:rsid w:val="005F062B"/>
    <w:rsid w:val="005F1EF6"/>
    <w:rsid w:val="005F1F1D"/>
    <w:rsid w:val="005F3482"/>
    <w:rsid w:val="005F367D"/>
    <w:rsid w:val="005F3AD2"/>
    <w:rsid w:val="005F4AFE"/>
    <w:rsid w:val="005F50C9"/>
    <w:rsid w:val="005F580A"/>
    <w:rsid w:val="005F5D7B"/>
    <w:rsid w:val="005F5FC5"/>
    <w:rsid w:val="005F74B9"/>
    <w:rsid w:val="005F775B"/>
    <w:rsid w:val="00603DF3"/>
    <w:rsid w:val="00604632"/>
    <w:rsid w:val="00605ACD"/>
    <w:rsid w:val="00606FB3"/>
    <w:rsid w:val="00607C4A"/>
    <w:rsid w:val="0061080E"/>
    <w:rsid w:val="00610E23"/>
    <w:rsid w:val="00611424"/>
    <w:rsid w:val="0061172C"/>
    <w:rsid w:val="0061177A"/>
    <w:rsid w:val="00611933"/>
    <w:rsid w:val="00611AE2"/>
    <w:rsid w:val="00612646"/>
    <w:rsid w:val="00613001"/>
    <w:rsid w:val="00613AAC"/>
    <w:rsid w:val="0061427D"/>
    <w:rsid w:val="00614444"/>
    <w:rsid w:val="0061629F"/>
    <w:rsid w:val="006167D9"/>
    <w:rsid w:val="00617659"/>
    <w:rsid w:val="006176F5"/>
    <w:rsid w:val="00622410"/>
    <w:rsid w:val="006225DB"/>
    <w:rsid w:val="006228E5"/>
    <w:rsid w:val="00622B16"/>
    <w:rsid w:val="006237AF"/>
    <w:rsid w:val="00623D36"/>
    <w:rsid w:val="00624187"/>
    <w:rsid w:val="006243A9"/>
    <w:rsid w:val="00624966"/>
    <w:rsid w:val="00624D72"/>
    <w:rsid w:val="0062656C"/>
    <w:rsid w:val="00626F7E"/>
    <w:rsid w:val="006273D5"/>
    <w:rsid w:val="006277E5"/>
    <w:rsid w:val="00631927"/>
    <w:rsid w:val="00631EA0"/>
    <w:rsid w:val="00631F27"/>
    <w:rsid w:val="0063307D"/>
    <w:rsid w:val="00633C2D"/>
    <w:rsid w:val="006341CB"/>
    <w:rsid w:val="006347B5"/>
    <w:rsid w:val="006366AD"/>
    <w:rsid w:val="00637494"/>
    <w:rsid w:val="00637511"/>
    <w:rsid w:val="00641113"/>
    <w:rsid w:val="00642BD9"/>
    <w:rsid w:val="00642FC4"/>
    <w:rsid w:val="006438D8"/>
    <w:rsid w:val="00643CA6"/>
    <w:rsid w:val="006441F0"/>
    <w:rsid w:val="0064431E"/>
    <w:rsid w:val="00645787"/>
    <w:rsid w:val="006461EF"/>
    <w:rsid w:val="0064631E"/>
    <w:rsid w:val="00646785"/>
    <w:rsid w:val="00646F12"/>
    <w:rsid w:val="00646F1A"/>
    <w:rsid w:val="006470D3"/>
    <w:rsid w:val="006501CB"/>
    <w:rsid w:val="006506DA"/>
    <w:rsid w:val="00650AA4"/>
    <w:rsid w:val="006525F3"/>
    <w:rsid w:val="0065267C"/>
    <w:rsid w:val="006530EB"/>
    <w:rsid w:val="00653104"/>
    <w:rsid w:val="00653244"/>
    <w:rsid w:val="00653847"/>
    <w:rsid w:val="00654487"/>
    <w:rsid w:val="006563C0"/>
    <w:rsid w:val="00656642"/>
    <w:rsid w:val="00656F49"/>
    <w:rsid w:val="00656FF3"/>
    <w:rsid w:val="00657349"/>
    <w:rsid w:val="0065745D"/>
    <w:rsid w:val="00657631"/>
    <w:rsid w:val="00662078"/>
    <w:rsid w:val="00662A8B"/>
    <w:rsid w:val="00662F69"/>
    <w:rsid w:val="00663192"/>
    <w:rsid w:val="00663B22"/>
    <w:rsid w:val="00663CEE"/>
    <w:rsid w:val="006641F9"/>
    <w:rsid w:val="0066525C"/>
    <w:rsid w:val="00665F6F"/>
    <w:rsid w:val="00667822"/>
    <w:rsid w:val="00667AA3"/>
    <w:rsid w:val="00667FC0"/>
    <w:rsid w:val="00670439"/>
    <w:rsid w:val="00670E0B"/>
    <w:rsid w:val="00673E12"/>
    <w:rsid w:val="00674161"/>
    <w:rsid w:val="00674DC2"/>
    <w:rsid w:val="00675CF9"/>
    <w:rsid w:val="00675E13"/>
    <w:rsid w:val="006765BD"/>
    <w:rsid w:val="00677AA3"/>
    <w:rsid w:val="00682352"/>
    <w:rsid w:val="00682708"/>
    <w:rsid w:val="00683896"/>
    <w:rsid w:val="006844D7"/>
    <w:rsid w:val="0068469D"/>
    <w:rsid w:val="00684A66"/>
    <w:rsid w:val="00684E42"/>
    <w:rsid w:val="00685CC8"/>
    <w:rsid w:val="00685CFA"/>
    <w:rsid w:val="00685D69"/>
    <w:rsid w:val="00686150"/>
    <w:rsid w:val="00686244"/>
    <w:rsid w:val="006863A2"/>
    <w:rsid w:val="00687659"/>
    <w:rsid w:val="00687D6B"/>
    <w:rsid w:val="006901EF"/>
    <w:rsid w:val="006907FB"/>
    <w:rsid w:val="00690B65"/>
    <w:rsid w:val="00690C6F"/>
    <w:rsid w:val="0069133D"/>
    <w:rsid w:val="0069178D"/>
    <w:rsid w:val="00691DD1"/>
    <w:rsid w:val="00693346"/>
    <w:rsid w:val="006933F3"/>
    <w:rsid w:val="00694322"/>
    <w:rsid w:val="00694C8A"/>
    <w:rsid w:val="00694EDD"/>
    <w:rsid w:val="00694FA1"/>
    <w:rsid w:val="00695870"/>
    <w:rsid w:val="00695ECC"/>
    <w:rsid w:val="006A0186"/>
    <w:rsid w:val="006A0483"/>
    <w:rsid w:val="006A089F"/>
    <w:rsid w:val="006A0C91"/>
    <w:rsid w:val="006A1092"/>
    <w:rsid w:val="006A1AF6"/>
    <w:rsid w:val="006A1D2C"/>
    <w:rsid w:val="006A2FCA"/>
    <w:rsid w:val="006A33B3"/>
    <w:rsid w:val="006A49C0"/>
    <w:rsid w:val="006A4E33"/>
    <w:rsid w:val="006A5191"/>
    <w:rsid w:val="006A536A"/>
    <w:rsid w:val="006A551F"/>
    <w:rsid w:val="006A5993"/>
    <w:rsid w:val="006A5A8B"/>
    <w:rsid w:val="006A5B43"/>
    <w:rsid w:val="006A5F0F"/>
    <w:rsid w:val="006B05D8"/>
    <w:rsid w:val="006B0651"/>
    <w:rsid w:val="006B1365"/>
    <w:rsid w:val="006B17BD"/>
    <w:rsid w:val="006B25D8"/>
    <w:rsid w:val="006B2BBC"/>
    <w:rsid w:val="006B2DD3"/>
    <w:rsid w:val="006B2E6F"/>
    <w:rsid w:val="006B346D"/>
    <w:rsid w:val="006B3ABC"/>
    <w:rsid w:val="006B4795"/>
    <w:rsid w:val="006B4A39"/>
    <w:rsid w:val="006B4ACD"/>
    <w:rsid w:val="006B4C3D"/>
    <w:rsid w:val="006B5A04"/>
    <w:rsid w:val="006B5DE2"/>
    <w:rsid w:val="006B7070"/>
    <w:rsid w:val="006B71B9"/>
    <w:rsid w:val="006B76B8"/>
    <w:rsid w:val="006C0361"/>
    <w:rsid w:val="006C13B8"/>
    <w:rsid w:val="006C1994"/>
    <w:rsid w:val="006C1D8E"/>
    <w:rsid w:val="006C2AF3"/>
    <w:rsid w:val="006C359E"/>
    <w:rsid w:val="006C3EF2"/>
    <w:rsid w:val="006C5B65"/>
    <w:rsid w:val="006C6489"/>
    <w:rsid w:val="006C7AF7"/>
    <w:rsid w:val="006D029E"/>
    <w:rsid w:val="006D046B"/>
    <w:rsid w:val="006D0A9B"/>
    <w:rsid w:val="006D0DD1"/>
    <w:rsid w:val="006D0F73"/>
    <w:rsid w:val="006D1162"/>
    <w:rsid w:val="006D20C0"/>
    <w:rsid w:val="006D2398"/>
    <w:rsid w:val="006D29D4"/>
    <w:rsid w:val="006D3FDA"/>
    <w:rsid w:val="006D44DC"/>
    <w:rsid w:val="006D5B46"/>
    <w:rsid w:val="006D64D5"/>
    <w:rsid w:val="006D660B"/>
    <w:rsid w:val="006D7D95"/>
    <w:rsid w:val="006E1A3D"/>
    <w:rsid w:val="006E22CF"/>
    <w:rsid w:val="006E3F97"/>
    <w:rsid w:val="006E4898"/>
    <w:rsid w:val="006E499E"/>
    <w:rsid w:val="006E6604"/>
    <w:rsid w:val="006F027A"/>
    <w:rsid w:val="006F05A2"/>
    <w:rsid w:val="006F0B8F"/>
    <w:rsid w:val="006F0F53"/>
    <w:rsid w:val="006F1041"/>
    <w:rsid w:val="006F11A4"/>
    <w:rsid w:val="006F13AC"/>
    <w:rsid w:val="006F16E1"/>
    <w:rsid w:val="006F1D5F"/>
    <w:rsid w:val="006F290E"/>
    <w:rsid w:val="006F2997"/>
    <w:rsid w:val="006F2AED"/>
    <w:rsid w:val="006F2B85"/>
    <w:rsid w:val="006F34ED"/>
    <w:rsid w:val="006F356E"/>
    <w:rsid w:val="006F35E9"/>
    <w:rsid w:val="006F3679"/>
    <w:rsid w:val="006F3901"/>
    <w:rsid w:val="006F4684"/>
    <w:rsid w:val="006F5937"/>
    <w:rsid w:val="006F7511"/>
    <w:rsid w:val="006F7C65"/>
    <w:rsid w:val="006F7CF7"/>
    <w:rsid w:val="00700CCD"/>
    <w:rsid w:val="0070160F"/>
    <w:rsid w:val="00702495"/>
    <w:rsid w:val="00702D2E"/>
    <w:rsid w:val="00703164"/>
    <w:rsid w:val="00707392"/>
    <w:rsid w:val="0070747B"/>
    <w:rsid w:val="007103DA"/>
    <w:rsid w:val="00711559"/>
    <w:rsid w:val="00711CE9"/>
    <w:rsid w:val="00714A09"/>
    <w:rsid w:val="00714D44"/>
    <w:rsid w:val="0071571A"/>
    <w:rsid w:val="00716062"/>
    <w:rsid w:val="0071692D"/>
    <w:rsid w:val="00716A44"/>
    <w:rsid w:val="0071715A"/>
    <w:rsid w:val="007173EB"/>
    <w:rsid w:val="007174EF"/>
    <w:rsid w:val="007179BA"/>
    <w:rsid w:val="00717F3C"/>
    <w:rsid w:val="0072040F"/>
    <w:rsid w:val="0072093C"/>
    <w:rsid w:val="00721370"/>
    <w:rsid w:val="0072167B"/>
    <w:rsid w:val="00722578"/>
    <w:rsid w:val="007226FB"/>
    <w:rsid w:val="00722F15"/>
    <w:rsid w:val="00723192"/>
    <w:rsid w:val="007232FD"/>
    <w:rsid w:val="007233C7"/>
    <w:rsid w:val="00723404"/>
    <w:rsid w:val="00723488"/>
    <w:rsid w:val="00724322"/>
    <w:rsid w:val="00725424"/>
    <w:rsid w:val="00725460"/>
    <w:rsid w:val="00725D3D"/>
    <w:rsid w:val="00725ECB"/>
    <w:rsid w:val="00725F5D"/>
    <w:rsid w:val="00727E1D"/>
    <w:rsid w:val="00730188"/>
    <w:rsid w:val="0073047E"/>
    <w:rsid w:val="00732C2F"/>
    <w:rsid w:val="007331C2"/>
    <w:rsid w:val="00733248"/>
    <w:rsid w:val="0073373D"/>
    <w:rsid w:val="0073420B"/>
    <w:rsid w:val="00734632"/>
    <w:rsid w:val="0073584F"/>
    <w:rsid w:val="00735A21"/>
    <w:rsid w:val="0073632A"/>
    <w:rsid w:val="00737017"/>
    <w:rsid w:val="00740074"/>
    <w:rsid w:val="00740135"/>
    <w:rsid w:val="00740643"/>
    <w:rsid w:val="00741878"/>
    <w:rsid w:val="007419A8"/>
    <w:rsid w:val="007419AD"/>
    <w:rsid w:val="00741CBA"/>
    <w:rsid w:val="007444A0"/>
    <w:rsid w:val="00746130"/>
    <w:rsid w:val="00746189"/>
    <w:rsid w:val="00746949"/>
    <w:rsid w:val="0074699F"/>
    <w:rsid w:val="00750E19"/>
    <w:rsid w:val="00751763"/>
    <w:rsid w:val="007523E6"/>
    <w:rsid w:val="00752664"/>
    <w:rsid w:val="00752E76"/>
    <w:rsid w:val="00754361"/>
    <w:rsid w:val="00754CF9"/>
    <w:rsid w:val="0075510B"/>
    <w:rsid w:val="00755732"/>
    <w:rsid w:val="00756319"/>
    <w:rsid w:val="007571AA"/>
    <w:rsid w:val="007571EB"/>
    <w:rsid w:val="0076023B"/>
    <w:rsid w:val="0076028D"/>
    <w:rsid w:val="00761027"/>
    <w:rsid w:val="00761412"/>
    <w:rsid w:val="00761595"/>
    <w:rsid w:val="00761A2C"/>
    <w:rsid w:val="00762CBD"/>
    <w:rsid w:val="00763369"/>
    <w:rsid w:val="00764B93"/>
    <w:rsid w:val="00766EA1"/>
    <w:rsid w:val="007671CD"/>
    <w:rsid w:val="0077361B"/>
    <w:rsid w:val="0077454B"/>
    <w:rsid w:val="00774DB5"/>
    <w:rsid w:val="0077505D"/>
    <w:rsid w:val="00775654"/>
    <w:rsid w:val="0077749E"/>
    <w:rsid w:val="007774A9"/>
    <w:rsid w:val="00777992"/>
    <w:rsid w:val="00777FD1"/>
    <w:rsid w:val="007801EC"/>
    <w:rsid w:val="007810A4"/>
    <w:rsid w:val="00781457"/>
    <w:rsid w:val="00781752"/>
    <w:rsid w:val="00781B26"/>
    <w:rsid w:val="00782755"/>
    <w:rsid w:val="00782902"/>
    <w:rsid w:val="00783650"/>
    <w:rsid w:val="00783C10"/>
    <w:rsid w:val="007849E1"/>
    <w:rsid w:val="007851B7"/>
    <w:rsid w:val="00787CC1"/>
    <w:rsid w:val="00787D37"/>
    <w:rsid w:val="00790908"/>
    <w:rsid w:val="00790ADC"/>
    <w:rsid w:val="00791DC5"/>
    <w:rsid w:val="0079222F"/>
    <w:rsid w:val="007926DD"/>
    <w:rsid w:val="007937E6"/>
    <w:rsid w:val="00794183"/>
    <w:rsid w:val="007941F6"/>
    <w:rsid w:val="007942BF"/>
    <w:rsid w:val="00795244"/>
    <w:rsid w:val="0079562C"/>
    <w:rsid w:val="00795ADB"/>
    <w:rsid w:val="00795EBB"/>
    <w:rsid w:val="007960F5"/>
    <w:rsid w:val="00797060"/>
    <w:rsid w:val="007A0826"/>
    <w:rsid w:val="007A0ABA"/>
    <w:rsid w:val="007A0DC9"/>
    <w:rsid w:val="007A13C4"/>
    <w:rsid w:val="007A15BA"/>
    <w:rsid w:val="007A1873"/>
    <w:rsid w:val="007A1D35"/>
    <w:rsid w:val="007A1F13"/>
    <w:rsid w:val="007A2623"/>
    <w:rsid w:val="007A2673"/>
    <w:rsid w:val="007A26D2"/>
    <w:rsid w:val="007A2B6C"/>
    <w:rsid w:val="007A2F48"/>
    <w:rsid w:val="007A5822"/>
    <w:rsid w:val="007A6344"/>
    <w:rsid w:val="007A635C"/>
    <w:rsid w:val="007A70E6"/>
    <w:rsid w:val="007A71CA"/>
    <w:rsid w:val="007A7537"/>
    <w:rsid w:val="007A7A5D"/>
    <w:rsid w:val="007A7BE7"/>
    <w:rsid w:val="007A7DDD"/>
    <w:rsid w:val="007B05AB"/>
    <w:rsid w:val="007B0BF4"/>
    <w:rsid w:val="007B1134"/>
    <w:rsid w:val="007B4D90"/>
    <w:rsid w:val="007B50FF"/>
    <w:rsid w:val="007B5AC3"/>
    <w:rsid w:val="007C07D2"/>
    <w:rsid w:val="007C1C63"/>
    <w:rsid w:val="007C2088"/>
    <w:rsid w:val="007C25CD"/>
    <w:rsid w:val="007C34BE"/>
    <w:rsid w:val="007C39AC"/>
    <w:rsid w:val="007C4710"/>
    <w:rsid w:val="007C6793"/>
    <w:rsid w:val="007C753D"/>
    <w:rsid w:val="007C7E89"/>
    <w:rsid w:val="007D0000"/>
    <w:rsid w:val="007D0678"/>
    <w:rsid w:val="007D07FF"/>
    <w:rsid w:val="007D1E48"/>
    <w:rsid w:val="007D2155"/>
    <w:rsid w:val="007D2D30"/>
    <w:rsid w:val="007D378C"/>
    <w:rsid w:val="007D4A68"/>
    <w:rsid w:val="007D4E94"/>
    <w:rsid w:val="007D5468"/>
    <w:rsid w:val="007D5B00"/>
    <w:rsid w:val="007D73CD"/>
    <w:rsid w:val="007D7CC2"/>
    <w:rsid w:val="007E0158"/>
    <w:rsid w:val="007E0946"/>
    <w:rsid w:val="007E3C5F"/>
    <w:rsid w:val="007E3FBE"/>
    <w:rsid w:val="007E49A2"/>
    <w:rsid w:val="007E597A"/>
    <w:rsid w:val="007E629C"/>
    <w:rsid w:val="007F118A"/>
    <w:rsid w:val="007F12A9"/>
    <w:rsid w:val="007F1488"/>
    <w:rsid w:val="007F1544"/>
    <w:rsid w:val="007F3D62"/>
    <w:rsid w:val="007F3D64"/>
    <w:rsid w:val="007F4298"/>
    <w:rsid w:val="007F4ABB"/>
    <w:rsid w:val="00800EE8"/>
    <w:rsid w:val="008010CA"/>
    <w:rsid w:val="00802500"/>
    <w:rsid w:val="00803121"/>
    <w:rsid w:val="00803419"/>
    <w:rsid w:val="0080446A"/>
    <w:rsid w:val="0080483A"/>
    <w:rsid w:val="00804B64"/>
    <w:rsid w:val="008051B6"/>
    <w:rsid w:val="008055A0"/>
    <w:rsid w:val="008059AA"/>
    <w:rsid w:val="0080615C"/>
    <w:rsid w:val="008071DE"/>
    <w:rsid w:val="008075C0"/>
    <w:rsid w:val="0080771C"/>
    <w:rsid w:val="0081262E"/>
    <w:rsid w:val="00812E4F"/>
    <w:rsid w:val="00813099"/>
    <w:rsid w:val="008139FF"/>
    <w:rsid w:val="00813C80"/>
    <w:rsid w:val="00813EFE"/>
    <w:rsid w:val="008149E1"/>
    <w:rsid w:val="008153B4"/>
    <w:rsid w:val="008155D5"/>
    <w:rsid w:val="00816058"/>
    <w:rsid w:val="008174BD"/>
    <w:rsid w:val="00820104"/>
    <w:rsid w:val="00820947"/>
    <w:rsid w:val="008211D8"/>
    <w:rsid w:val="008212AE"/>
    <w:rsid w:val="0082223C"/>
    <w:rsid w:val="00822510"/>
    <w:rsid w:val="008226A6"/>
    <w:rsid w:val="0082295A"/>
    <w:rsid w:val="00823A9F"/>
    <w:rsid w:val="008256C1"/>
    <w:rsid w:val="00825DE4"/>
    <w:rsid w:val="008270FB"/>
    <w:rsid w:val="00827FDB"/>
    <w:rsid w:val="00831030"/>
    <w:rsid w:val="008314E9"/>
    <w:rsid w:val="00831D8F"/>
    <w:rsid w:val="00831F43"/>
    <w:rsid w:val="008320AD"/>
    <w:rsid w:val="008323AB"/>
    <w:rsid w:val="00832449"/>
    <w:rsid w:val="00832E2E"/>
    <w:rsid w:val="00832E7E"/>
    <w:rsid w:val="00832F78"/>
    <w:rsid w:val="00832F88"/>
    <w:rsid w:val="00833331"/>
    <w:rsid w:val="00834016"/>
    <w:rsid w:val="00834210"/>
    <w:rsid w:val="00835331"/>
    <w:rsid w:val="00835D53"/>
    <w:rsid w:val="008365B5"/>
    <w:rsid w:val="00836C12"/>
    <w:rsid w:val="00836F97"/>
    <w:rsid w:val="008374FD"/>
    <w:rsid w:val="008379DB"/>
    <w:rsid w:val="00837ADE"/>
    <w:rsid w:val="00837D1A"/>
    <w:rsid w:val="008401F5"/>
    <w:rsid w:val="00840438"/>
    <w:rsid w:val="008408F9"/>
    <w:rsid w:val="00841673"/>
    <w:rsid w:val="008418DD"/>
    <w:rsid w:val="00842A9B"/>
    <w:rsid w:val="00843563"/>
    <w:rsid w:val="0084481F"/>
    <w:rsid w:val="00845300"/>
    <w:rsid w:val="0084595A"/>
    <w:rsid w:val="00846DC0"/>
    <w:rsid w:val="0084716D"/>
    <w:rsid w:val="00847E22"/>
    <w:rsid w:val="00847F8A"/>
    <w:rsid w:val="008501E4"/>
    <w:rsid w:val="00852B75"/>
    <w:rsid w:val="00853322"/>
    <w:rsid w:val="0085349F"/>
    <w:rsid w:val="00853EDA"/>
    <w:rsid w:val="00854CCB"/>
    <w:rsid w:val="008563EC"/>
    <w:rsid w:val="00856836"/>
    <w:rsid w:val="008569CF"/>
    <w:rsid w:val="008603FE"/>
    <w:rsid w:val="00860B24"/>
    <w:rsid w:val="0086180F"/>
    <w:rsid w:val="0086217D"/>
    <w:rsid w:val="00862551"/>
    <w:rsid w:val="00862D53"/>
    <w:rsid w:val="00863072"/>
    <w:rsid w:val="008631E6"/>
    <w:rsid w:val="00863C1C"/>
    <w:rsid w:val="00863EF1"/>
    <w:rsid w:val="00864553"/>
    <w:rsid w:val="008652C7"/>
    <w:rsid w:val="00865D90"/>
    <w:rsid w:val="00865EA4"/>
    <w:rsid w:val="00866016"/>
    <w:rsid w:val="008665B5"/>
    <w:rsid w:val="00866B81"/>
    <w:rsid w:val="0087079E"/>
    <w:rsid w:val="00871905"/>
    <w:rsid w:val="008726FE"/>
    <w:rsid w:val="008729A1"/>
    <w:rsid w:val="008739F2"/>
    <w:rsid w:val="0087404F"/>
    <w:rsid w:val="00874E18"/>
    <w:rsid w:val="0087572B"/>
    <w:rsid w:val="00877250"/>
    <w:rsid w:val="00877794"/>
    <w:rsid w:val="0088045B"/>
    <w:rsid w:val="00882B83"/>
    <w:rsid w:val="00882C65"/>
    <w:rsid w:val="00883C81"/>
    <w:rsid w:val="00884C79"/>
    <w:rsid w:val="0088542B"/>
    <w:rsid w:val="0088714B"/>
    <w:rsid w:val="008871C9"/>
    <w:rsid w:val="00887589"/>
    <w:rsid w:val="00887597"/>
    <w:rsid w:val="00887C20"/>
    <w:rsid w:val="00887D72"/>
    <w:rsid w:val="00887DB0"/>
    <w:rsid w:val="0089032F"/>
    <w:rsid w:val="008905F6"/>
    <w:rsid w:val="00890B44"/>
    <w:rsid w:val="00890DF6"/>
    <w:rsid w:val="00891B05"/>
    <w:rsid w:val="00891E0C"/>
    <w:rsid w:val="00892CDF"/>
    <w:rsid w:val="008938E2"/>
    <w:rsid w:val="00893A02"/>
    <w:rsid w:val="008946CF"/>
    <w:rsid w:val="00895421"/>
    <w:rsid w:val="0089547E"/>
    <w:rsid w:val="008955FF"/>
    <w:rsid w:val="0089581A"/>
    <w:rsid w:val="00896119"/>
    <w:rsid w:val="00896BBD"/>
    <w:rsid w:val="00896DCD"/>
    <w:rsid w:val="00897B7C"/>
    <w:rsid w:val="008A086F"/>
    <w:rsid w:val="008A0B29"/>
    <w:rsid w:val="008A119C"/>
    <w:rsid w:val="008A12F5"/>
    <w:rsid w:val="008A1A44"/>
    <w:rsid w:val="008A1D10"/>
    <w:rsid w:val="008A1F50"/>
    <w:rsid w:val="008A3CB3"/>
    <w:rsid w:val="008A4872"/>
    <w:rsid w:val="008A4B34"/>
    <w:rsid w:val="008A5445"/>
    <w:rsid w:val="008A5512"/>
    <w:rsid w:val="008A5861"/>
    <w:rsid w:val="008A5D09"/>
    <w:rsid w:val="008A5ED3"/>
    <w:rsid w:val="008A62BC"/>
    <w:rsid w:val="008A7231"/>
    <w:rsid w:val="008B0392"/>
    <w:rsid w:val="008B13E5"/>
    <w:rsid w:val="008B1455"/>
    <w:rsid w:val="008B1E34"/>
    <w:rsid w:val="008B316B"/>
    <w:rsid w:val="008B37D8"/>
    <w:rsid w:val="008B48AA"/>
    <w:rsid w:val="008B4A99"/>
    <w:rsid w:val="008B4BD8"/>
    <w:rsid w:val="008B5A4C"/>
    <w:rsid w:val="008B65F8"/>
    <w:rsid w:val="008B6627"/>
    <w:rsid w:val="008B6BAD"/>
    <w:rsid w:val="008B7B67"/>
    <w:rsid w:val="008C10BE"/>
    <w:rsid w:val="008C2322"/>
    <w:rsid w:val="008C25A4"/>
    <w:rsid w:val="008C2767"/>
    <w:rsid w:val="008C2A1A"/>
    <w:rsid w:val="008C36D0"/>
    <w:rsid w:val="008C4BB1"/>
    <w:rsid w:val="008C60C7"/>
    <w:rsid w:val="008C6160"/>
    <w:rsid w:val="008C63BF"/>
    <w:rsid w:val="008C6412"/>
    <w:rsid w:val="008C6476"/>
    <w:rsid w:val="008C66C6"/>
    <w:rsid w:val="008C748A"/>
    <w:rsid w:val="008C76C3"/>
    <w:rsid w:val="008C7994"/>
    <w:rsid w:val="008D2639"/>
    <w:rsid w:val="008D30D8"/>
    <w:rsid w:val="008D4F6D"/>
    <w:rsid w:val="008D625F"/>
    <w:rsid w:val="008D6756"/>
    <w:rsid w:val="008D693D"/>
    <w:rsid w:val="008D6FEC"/>
    <w:rsid w:val="008D7B42"/>
    <w:rsid w:val="008E09CD"/>
    <w:rsid w:val="008E0E34"/>
    <w:rsid w:val="008E0F2A"/>
    <w:rsid w:val="008E1B2B"/>
    <w:rsid w:val="008E2256"/>
    <w:rsid w:val="008E25DE"/>
    <w:rsid w:val="008E265E"/>
    <w:rsid w:val="008E3382"/>
    <w:rsid w:val="008E37C2"/>
    <w:rsid w:val="008E47B1"/>
    <w:rsid w:val="008E4CA4"/>
    <w:rsid w:val="008E4F32"/>
    <w:rsid w:val="008E5ACB"/>
    <w:rsid w:val="008E6B84"/>
    <w:rsid w:val="008E6C58"/>
    <w:rsid w:val="008E7895"/>
    <w:rsid w:val="008E7C25"/>
    <w:rsid w:val="008F0B97"/>
    <w:rsid w:val="008F1AC0"/>
    <w:rsid w:val="008F2CA4"/>
    <w:rsid w:val="008F2D38"/>
    <w:rsid w:val="008F388C"/>
    <w:rsid w:val="008F39A7"/>
    <w:rsid w:val="008F407C"/>
    <w:rsid w:val="008F41D6"/>
    <w:rsid w:val="008F47FA"/>
    <w:rsid w:val="008F495F"/>
    <w:rsid w:val="008F4C4C"/>
    <w:rsid w:val="008F50E5"/>
    <w:rsid w:val="008F5438"/>
    <w:rsid w:val="008F588E"/>
    <w:rsid w:val="008F5FD8"/>
    <w:rsid w:val="008F675C"/>
    <w:rsid w:val="008F6EEF"/>
    <w:rsid w:val="008F7648"/>
    <w:rsid w:val="0090073A"/>
    <w:rsid w:val="00901419"/>
    <w:rsid w:val="00901C66"/>
    <w:rsid w:val="00902133"/>
    <w:rsid w:val="00902DE3"/>
    <w:rsid w:val="00903166"/>
    <w:rsid w:val="00904604"/>
    <w:rsid w:val="00904853"/>
    <w:rsid w:val="0090696D"/>
    <w:rsid w:val="0091060B"/>
    <w:rsid w:val="009117E7"/>
    <w:rsid w:val="0091186F"/>
    <w:rsid w:val="00912F51"/>
    <w:rsid w:val="00913FCE"/>
    <w:rsid w:val="00914EA0"/>
    <w:rsid w:val="009168BD"/>
    <w:rsid w:val="0091728D"/>
    <w:rsid w:val="00917A10"/>
    <w:rsid w:val="00917DEA"/>
    <w:rsid w:val="00921067"/>
    <w:rsid w:val="0092228B"/>
    <w:rsid w:val="00922806"/>
    <w:rsid w:val="00923EDC"/>
    <w:rsid w:val="00923F27"/>
    <w:rsid w:val="00923FA2"/>
    <w:rsid w:val="00925A3B"/>
    <w:rsid w:val="00926524"/>
    <w:rsid w:val="00926565"/>
    <w:rsid w:val="00926AD5"/>
    <w:rsid w:val="00926EED"/>
    <w:rsid w:val="00926FCA"/>
    <w:rsid w:val="00927162"/>
    <w:rsid w:val="00931AF2"/>
    <w:rsid w:val="00932552"/>
    <w:rsid w:val="009331A2"/>
    <w:rsid w:val="009331E6"/>
    <w:rsid w:val="0093375D"/>
    <w:rsid w:val="00933906"/>
    <w:rsid w:val="00934358"/>
    <w:rsid w:val="009361B8"/>
    <w:rsid w:val="00936E99"/>
    <w:rsid w:val="00936F97"/>
    <w:rsid w:val="009374DE"/>
    <w:rsid w:val="00937591"/>
    <w:rsid w:val="00937593"/>
    <w:rsid w:val="00937AA0"/>
    <w:rsid w:val="00937DD3"/>
    <w:rsid w:val="00937DF3"/>
    <w:rsid w:val="00937F9C"/>
    <w:rsid w:val="009403A5"/>
    <w:rsid w:val="00940A4E"/>
    <w:rsid w:val="00940BF8"/>
    <w:rsid w:val="0094117D"/>
    <w:rsid w:val="00941CC1"/>
    <w:rsid w:val="00942E0C"/>
    <w:rsid w:val="00942E5A"/>
    <w:rsid w:val="00943015"/>
    <w:rsid w:val="009433B8"/>
    <w:rsid w:val="009447A8"/>
    <w:rsid w:val="009449F6"/>
    <w:rsid w:val="00945953"/>
    <w:rsid w:val="00945E86"/>
    <w:rsid w:val="00946864"/>
    <w:rsid w:val="009469F2"/>
    <w:rsid w:val="00946C42"/>
    <w:rsid w:val="00947A9A"/>
    <w:rsid w:val="0095004C"/>
    <w:rsid w:val="00950327"/>
    <w:rsid w:val="00950E91"/>
    <w:rsid w:val="0095100E"/>
    <w:rsid w:val="009512D0"/>
    <w:rsid w:val="0095205F"/>
    <w:rsid w:val="00952B0E"/>
    <w:rsid w:val="009532BD"/>
    <w:rsid w:val="0095331E"/>
    <w:rsid w:val="009535E0"/>
    <w:rsid w:val="0095458B"/>
    <w:rsid w:val="009557E0"/>
    <w:rsid w:val="00955AB4"/>
    <w:rsid w:val="00956F22"/>
    <w:rsid w:val="00956FA7"/>
    <w:rsid w:val="009572A5"/>
    <w:rsid w:val="009614EC"/>
    <w:rsid w:val="009621F6"/>
    <w:rsid w:val="00963DB5"/>
    <w:rsid w:val="009658C0"/>
    <w:rsid w:val="00965CED"/>
    <w:rsid w:val="00965EC1"/>
    <w:rsid w:val="0096625D"/>
    <w:rsid w:val="00967543"/>
    <w:rsid w:val="00972416"/>
    <w:rsid w:val="009726E3"/>
    <w:rsid w:val="00972CBF"/>
    <w:rsid w:val="0097328E"/>
    <w:rsid w:val="0097435B"/>
    <w:rsid w:val="00975053"/>
    <w:rsid w:val="009753C3"/>
    <w:rsid w:val="00975AD3"/>
    <w:rsid w:val="00976CFC"/>
    <w:rsid w:val="009779F2"/>
    <w:rsid w:val="00977C4A"/>
    <w:rsid w:val="00980C11"/>
    <w:rsid w:val="00981874"/>
    <w:rsid w:val="009818A6"/>
    <w:rsid w:val="00981965"/>
    <w:rsid w:val="009822A3"/>
    <w:rsid w:val="00982F48"/>
    <w:rsid w:val="00983562"/>
    <w:rsid w:val="00985B47"/>
    <w:rsid w:val="0098609E"/>
    <w:rsid w:val="009865CE"/>
    <w:rsid w:val="0098684E"/>
    <w:rsid w:val="0098780E"/>
    <w:rsid w:val="009900C8"/>
    <w:rsid w:val="00990294"/>
    <w:rsid w:val="009906CF"/>
    <w:rsid w:val="00990CD5"/>
    <w:rsid w:val="009912A3"/>
    <w:rsid w:val="00991784"/>
    <w:rsid w:val="009919DC"/>
    <w:rsid w:val="009929B8"/>
    <w:rsid w:val="00992D94"/>
    <w:rsid w:val="0099508B"/>
    <w:rsid w:val="00995E76"/>
    <w:rsid w:val="00996E35"/>
    <w:rsid w:val="009A0D32"/>
    <w:rsid w:val="009A12E0"/>
    <w:rsid w:val="009A1A6F"/>
    <w:rsid w:val="009A1AAC"/>
    <w:rsid w:val="009A1AC4"/>
    <w:rsid w:val="009A2F17"/>
    <w:rsid w:val="009A3E91"/>
    <w:rsid w:val="009A4625"/>
    <w:rsid w:val="009A528E"/>
    <w:rsid w:val="009A5C71"/>
    <w:rsid w:val="009A6375"/>
    <w:rsid w:val="009A6582"/>
    <w:rsid w:val="009A68D5"/>
    <w:rsid w:val="009A6DA7"/>
    <w:rsid w:val="009A79DC"/>
    <w:rsid w:val="009B00F1"/>
    <w:rsid w:val="009B04B1"/>
    <w:rsid w:val="009B09BB"/>
    <w:rsid w:val="009B1951"/>
    <w:rsid w:val="009B1D22"/>
    <w:rsid w:val="009B1E52"/>
    <w:rsid w:val="009B26EC"/>
    <w:rsid w:val="009B3EA3"/>
    <w:rsid w:val="009B40B7"/>
    <w:rsid w:val="009B4E15"/>
    <w:rsid w:val="009B5519"/>
    <w:rsid w:val="009B6947"/>
    <w:rsid w:val="009B72F6"/>
    <w:rsid w:val="009B72F7"/>
    <w:rsid w:val="009B786E"/>
    <w:rsid w:val="009B7E0E"/>
    <w:rsid w:val="009C03A8"/>
    <w:rsid w:val="009C0DF5"/>
    <w:rsid w:val="009C17F0"/>
    <w:rsid w:val="009C1FBB"/>
    <w:rsid w:val="009C2B28"/>
    <w:rsid w:val="009C2E77"/>
    <w:rsid w:val="009C2F98"/>
    <w:rsid w:val="009C35C7"/>
    <w:rsid w:val="009C4190"/>
    <w:rsid w:val="009C45F1"/>
    <w:rsid w:val="009C46C9"/>
    <w:rsid w:val="009C5523"/>
    <w:rsid w:val="009C5E59"/>
    <w:rsid w:val="009C642D"/>
    <w:rsid w:val="009C75A7"/>
    <w:rsid w:val="009C76B6"/>
    <w:rsid w:val="009D0420"/>
    <w:rsid w:val="009D04FD"/>
    <w:rsid w:val="009D1322"/>
    <w:rsid w:val="009D18D1"/>
    <w:rsid w:val="009D1960"/>
    <w:rsid w:val="009D1FB6"/>
    <w:rsid w:val="009D2048"/>
    <w:rsid w:val="009D243A"/>
    <w:rsid w:val="009D27B7"/>
    <w:rsid w:val="009D294C"/>
    <w:rsid w:val="009D3E9B"/>
    <w:rsid w:val="009D3F54"/>
    <w:rsid w:val="009D413C"/>
    <w:rsid w:val="009D4C4A"/>
    <w:rsid w:val="009D55AA"/>
    <w:rsid w:val="009D6C77"/>
    <w:rsid w:val="009D6DFF"/>
    <w:rsid w:val="009E13DA"/>
    <w:rsid w:val="009E1840"/>
    <w:rsid w:val="009E2349"/>
    <w:rsid w:val="009E2441"/>
    <w:rsid w:val="009E2E31"/>
    <w:rsid w:val="009E302F"/>
    <w:rsid w:val="009E4626"/>
    <w:rsid w:val="009E539D"/>
    <w:rsid w:val="009E56B7"/>
    <w:rsid w:val="009E58D6"/>
    <w:rsid w:val="009E5E01"/>
    <w:rsid w:val="009E624A"/>
    <w:rsid w:val="009E660D"/>
    <w:rsid w:val="009E6A27"/>
    <w:rsid w:val="009E772A"/>
    <w:rsid w:val="009F01A6"/>
    <w:rsid w:val="009F0EF5"/>
    <w:rsid w:val="009F13CC"/>
    <w:rsid w:val="009F294F"/>
    <w:rsid w:val="009F3AE7"/>
    <w:rsid w:val="009F3D35"/>
    <w:rsid w:val="009F4580"/>
    <w:rsid w:val="009F6FBF"/>
    <w:rsid w:val="009F7272"/>
    <w:rsid w:val="009F7B50"/>
    <w:rsid w:val="00A01802"/>
    <w:rsid w:val="00A01C45"/>
    <w:rsid w:val="00A01FA5"/>
    <w:rsid w:val="00A04A32"/>
    <w:rsid w:val="00A054E4"/>
    <w:rsid w:val="00A05A0D"/>
    <w:rsid w:val="00A05A17"/>
    <w:rsid w:val="00A06603"/>
    <w:rsid w:val="00A06DAB"/>
    <w:rsid w:val="00A07025"/>
    <w:rsid w:val="00A0795E"/>
    <w:rsid w:val="00A07CB9"/>
    <w:rsid w:val="00A12033"/>
    <w:rsid w:val="00A12247"/>
    <w:rsid w:val="00A13B91"/>
    <w:rsid w:val="00A1411C"/>
    <w:rsid w:val="00A14D18"/>
    <w:rsid w:val="00A150AC"/>
    <w:rsid w:val="00A15D74"/>
    <w:rsid w:val="00A1626C"/>
    <w:rsid w:val="00A163A6"/>
    <w:rsid w:val="00A164A3"/>
    <w:rsid w:val="00A17CDF"/>
    <w:rsid w:val="00A24181"/>
    <w:rsid w:val="00A2447B"/>
    <w:rsid w:val="00A248A8"/>
    <w:rsid w:val="00A24ACC"/>
    <w:rsid w:val="00A24E12"/>
    <w:rsid w:val="00A25876"/>
    <w:rsid w:val="00A26335"/>
    <w:rsid w:val="00A264E7"/>
    <w:rsid w:val="00A26A97"/>
    <w:rsid w:val="00A273FB"/>
    <w:rsid w:val="00A27AB9"/>
    <w:rsid w:val="00A30085"/>
    <w:rsid w:val="00A31894"/>
    <w:rsid w:val="00A31E5E"/>
    <w:rsid w:val="00A3263B"/>
    <w:rsid w:val="00A33060"/>
    <w:rsid w:val="00A33981"/>
    <w:rsid w:val="00A33FEA"/>
    <w:rsid w:val="00A34528"/>
    <w:rsid w:val="00A355F5"/>
    <w:rsid w:val="00A363B9"/>
    <w:rsid w:val="00A368F6"/>
    <w:rsid w:val="00A36C79"/>
    <w:rsid w:val="00A37E89"/>
    <w:rsid w:val="00A404CD"/>
    <w:rsid w:val="00A40509"/>
    <w:rsid w:val="00A41483"/>
    <w:rsid w:val="00A41E95"/>
    <w:rsid w:val="00A41EA4"/>
    <w:rsid w:val="00A42532"/>
    <w:rsid w:val="00A4339E"/>
    <w:rsid w:val="00A45241"/>
    <w:rsid w:val="00A4537E"/>
    <w:rsid w:val="00A458DB"/>
    <w:rsid w:val="00A45B19"/>
    <w:rsid w:val="00A46820"/>
    <w:rsid w:val="00A47B4C"/>
    <w:rsid w:val="00A50978"/>
    <w:rsid w:val="00A51DDF"/>
    <w:rsid w:val="00A52155"/>
    <w:rsid w:val="00A53FEE"/>
    <w:rsid w:val="00A5546D"/>
    <w:rsid w:val="00A55689"/>
    <w:rsid w:val="00A55E96"/>
    <w:rsid w:val="00A6005B"/>
    <w:rsid w:val="00A60D46"/>
    <w:rsid w:val="00A61126"/>
    <w:rsid w:val="00A6235F"/>
    <w:rsid w:val="00A633B7"/>
    <w:rsid w:val="00A64569"/>
    <w:rsid w:val="00A64763"/>
    <w:rsid w:val="00A6517D"/>
    <w:rsid w:val="00A6574D"/>
    <w:rsid w:val="00A65BDE"/>
    <w:rsid w:val="00A65F3C"/>
    <w:rsid w:val="00A66CA1"/>
    <w:rsid w:val="00A670F1"/>
    <w:rsid w:val="00A673E5"/>
    <w:rsid w:val="00A67465"/>
    <w:rsid w:val="00A71868"/>
    <w:rsid w:val="00A7241B"/>
    <w:rsid w:val="00A725C4"/>
    <w:rsid w:val="00A729F7"/>
    <w:rsid w:val="00A732A7"/>
    <w:rsid w:val="00A739B1"/>
    <w:rsid w:val="00A74123"/>
    <w:rsid w:val="00A75D1C"/>
    <w:rsid w:val="00A76456"/>
    <w:rsid w:val="00A767EF"/>
    <w:rsid w:val="00A77625"/>
    <w:rsid w:val="00A803CB"/>
    <w:rsid w:val="00A80CDD"/>
    <w:rsid w:val="00A81253"/>
    <w:rsid w:val="00A8149E"/>
    <w:rsid w:val="00A82C07"/>
    <w:rsid w:val="00A82C66"/>
    <w:rsid w:val="00A83280"/>
    <w:rsid w:val="00A83356"/>
    <w:rsid w:val="00A84632"/>
    <w:rsid w:val="00A85AD6"/>
    <w:rsid w:val="00A85D01"/>
    <w:rsid w:val="00A86531"/>
    <w:rsid w:val="00A86C22"/>
    <w:rsid w:val="00A86C2A"/>
    <w:rsid w:val="00A86D1C"/>
    <w:rsid w:val="00A86D8F"/>
    <w:rsid w:val="00A875E4"/>
    <w:rsid w:val="00A87D1D"/>
    <w:rsid w:val="00A87EF5"/>
    <w:rsid w:val="00A9018D"/>
    <w:rsid w:val="00A920CC"/>
    <w:rsid w:val="00A92235"/>
    <w:rsid w:val="00A9255C"/>
    <w:rsid w:val="00A928CD"/>
    <w:rsid w:val="00A92BE3"/>
    <w:rsid w:val="00A92E89"/>
    <w:rsid w:val="00A93A8B"/>
    <w:rsid w:val="00A94085"/>
    <w:rsid w:val="00A94D30"/>
    <w:rsid w:val="00A95092"/>
    <w:rsid w:val="00A95508"/>
    <w:rsid w:val="00A955AF"/>
    <w:rsid w:val="00A9561F"/>
    <w:rsid w:val="00A973F7"/>
    <w:rsid w:val="00A97483"/>
    <w:rsid w:val="00A9754A"/>
    <w:rsid w:val="00AA04A2"/>
    <w:rsid w:val="00AA09AF"/>
    <w:rsid w:val="00AA1123"/>
    <w:rsid w:val="00AA13FD"/>
    <w:rsid w:val="00AA18D5"/>
    <w:rsid w:val="00AA236A"/>
    <w:rsid w:val="00AA2C35"/>
    <w:rsid w:val="00AA3223"/>
    <w:rsid w:val="00AA3476"/>
    <w:rsid w:val="00AA5BBB"/>
    <w:rsid w:val="00AA71AD"/>
    <w:rsid w:val="00AA79A2"/>
    <w:rsid w:val="00AB0376"/>
    <w:rsid w:val="00AB07B5"/>
    <w:rsid w:val="00AB0969"/>
    <w:rsid w:val="00AB16BB"/>
    <w:rsid w:val="00AB249F"/>
    <w:rsid w:val="00AB270F"/>
    <w:rsid w:val="00AB2CCD"/>
    <w:rsid w:val="00AB2DB6"/>
    <w:rsid w:val="00AB3CFE"/>
    <w:rsid w:val="00AB4368"/>
    <w:rsid w:val="00AB48A9"/>
    <w:rsid w:val="00AB64D2"/>
    <w:rsid w:val="00AC0285"/>
    <w:rsid w:val="00AC09B1"/>
    <w:rsid w:val="00AC1F5D"/>
    <w:rsid w:val="00AC2449"/>
    <w:rsid w:val="00AC2A10"/>
    <w:rsid w:val="00AC3CBA"/>
    <w:rsid w:val="00AC4A34"/>
    <w:rsid w:val="00AC4DFD"/>
    <w:rsid w:val="00AC56E6"/>
    <w:rsid w:val="00AC5791"/>
    <w:rsid w:val="00AC5C3C"/>
    <w:rsid w:val="00AC66D5"/>
    <w:rsid w:val="00AC6BD0"/>
    <w:rsid w:val="00AC6BD8"/>
    <w:rsid w:val="00AC71FC"/>
    <w:rsid w:val="00AC772C"/>
    <w:rsid w:val="00AD039E"/>
    <w:rsid w:val="00AD08FA"/>
    <w:rsid w:val="00AD1B54"/>
    <w:rsid w:val="00AD28CD"/>
    <w:rsid w:val="00AD2E7F"/>
    <w:rsid w:val="00AD2EAE"/>
    <w:rsid w:val="00AD467E"/>
    <w:rsid w:val="00AD522B"/>
    <w:rsid w:val="00AD614B"/>
    <w:rsid w:val="00AD6613"/>
    <w:rsid w:val="00AD6661"/>
    <w:rsid w:val="00AD78CE"/>
    <w:rsid w:val="00AE04ED"/>
    <w:rsid w:val="00AE04F0"/>
    <w:rsid w:val="00AE082C"/>
    <w:rsid w:val="00AE135B"/>
    <w:rsid w:val="00AE16AE"/>
    <w:rsid w:val="00AE264E"/>
    <w:rsid w:val="00AE2BBA"/>
    <w:rsid w:val="00AE42DA"/>
    <w:rsid w:val="00AE5BD0"/>
    <w:rsid w:val="00AE5F68"/>
    <w:rsid w:val="00AE6A3C"/>
    <w:rsid w:val="00AE75A0"/>
    <w:rsid w:val="00AF028B"/>
    <w:rsid w:val="00AF0591"/>
    <w:rsid w:val="00AF3257"/>
    <w:rsid w:val="00AF3327"/>
    <w:rsid w:val="00AF5ED7"/>
    <w:rsid w:val="00AF65D5"/>
    <w:rsid w:val="00AF71DC"/>
    <w:rsid w:val="00AF77F6"/>
    <w:rsid w:val="00AF7860"/>
    <w:rsid w:val="00B0066F"/>
    <w:rsid w:val="00B00DE8"/>
    <w:rsid w:val="00B012DB"/>
    <w:rsid w:val="00B030E8"/>
    <w:rsid w:val="00B031B5"/>
    <w:rsid w:val="00B043E7"/>
    <w:rsid w:val="00B04D0D"/>
    <w:rsid w:val="00B05768"/>
    <w:rsid w:val="00B0621F"/>
    <w:rsid w:val="00B071ED"/>
    <w:rsid w:val="00B07367"/>
    <w:rsid w:val="00B104FB"/>
    <w:rsid w:val="00B106FC"/>
    <w:rsid w:val="00B10CC7"/>
    <w:rsid w:val="00B12C52"/>
    <w:rsid w:val="00B12D0F"/>
    <w:rsid w:val="00B1421E"/>
    <w:rsid w:val="00B1653F"/>
    <w:rsid w:val="00B17284"/>
    <w:rsid w:val="00B17EC4"/>
    <w:rsid w:val="00B200FC"/>
    <w:rsid w:val="00B20864"/>
    <w:rsid w:val="00B220E1"/>
    <w:rsid w:val="00B22B06"/>
    <w:rsid w:val="00B22B4B"/>
    <w:rsid w:val="00B24179"/>
    <w:rsid w:val="00B25451"/>
    <w:rsid w:val="00B25AD5"/>
    <w:rsid w:val="00B25FC6"/>
    <w:rsid w:val="00B26712"/>
    <w:rsid w:val="00B276CE"/>
    <w:rsid w:val="00B27AB3"/>
    <w:rsid w:val="00B31272"/>
    <w:rsid w:val="00B31B69"/>
    <w:rsid w:val="00B34506"/>
    <w:rsid w:val="00B34BCD"/>
    <w:rsid w:val="00B34D3D"/>
    <w:rsid w:val="00B34FF3"/>
    <w:rsid w:val="00B35D06"/>
    <w:rsid w:val="00B36309"/>
    <w:rsid w:val="00B365A1"/>
    <w:rsid w:val="00B365D6"/>
    <w:rsid w:val="00B37109"/>
    <w:rsid w:val="00B37DA7"/>
    <w:rsid w:val="00B401B0"/>
    <w:rsid w:val="00B4135D"/>
    <w:rsid w:val="00B4262C"/>
    <w:rsid w:val="00B43890"/>
    <w:rsid w:val="00B4440E"/>
    <w:rsid w:val="00B447ED"/>
    <w:rsid w:val="00B44B3E"/>
    <w:rsid w:val="00B44F3B"/>
    <w:rsid w:val="00B455F4"/>
    <w:rsid w:val="00B45737"/>
    <w:rsid w:val="00B45A00"/>
    <w:rsid w:val="00B46C2A"/>
    <w:rsid w:val="00B47773"/>
    <w:rsid w:val="00B51A77"/>
    <w:rsid w:val="00B52008"/>
    <w:rsid w:val="00B52A91"/>
    <w:rsid w:val="00B52C23"/>
    <w:rsid w:val="00B5344A"/>
    <w:rsid w:val="00B53FE5"/>
    <w:rsid w:val="00B544AB"/>
    <w:rsid w:val="00B5525B"/>
    <w:rsid w:val="00B552B9"/>
    <w:rsid w:val="00B55C91"/>
    <w:rsid w:val="00B56B1A"/>
    <w:rsid w:val="00B56D1E"/>
    <w:rsid w:val="00B56D4F"/>
    <w:rsid w:val="00B56D74"/>
    <w:rsid w:val="00B60A31"/>
    <w:rsid w:val="00B63FFC"/>
    <w:rsid w:val="00B64190"/>
    <w:rsid w:val="00B6419C"/>
    <w:rsid w:val="00B64580"/>
    <w:rsid w:val="00B64B57"/>
    <w:rsid w:val="00B65F45"/>
    <w:rsid w:val="00B6608A"/>
    <w:rsid w:val="00B678EF"/>
    <w:rsid w:val="00B700A3"/>
    <w:rsid w:val="00B70B9B"/>
    <w:rsid w:val="00B70CFF"/>
    <w:rsid w:val="00B70FC5"/>
    <w:rsid w:val="00B71533"/>
    <w:rsid w:val="00B71825"/>
    <w:rsid w:val="00B719C4"/>
    <w:rsid w:val="00B71A8D"/>
    <w:rsid w:val="00B71D68"/>
    <w:rsid w:val="00B737D3"/>
    <w:rsid w:val="00B74856"/>
    <w:rsid w:val="00B751D1"/>
    <w:rsid w:val="00B76DA1"/>
    <w:rsid w:val="00B8080B"/>
    <w:rsid w:val="00B808D3"/>
    <w:rsid w:val="00B80EBE"/>
    <w:rsid w:val="00B8177F"/>
    <w:rsid w:val="00B81EC5"/>
    <w:rsid w:val="00B82F88"/>
    <w:rsid w:val="00B8482E"/>
    <w:rsid w:val="00B856BF"/>
    <w:rsid w:val="00B85BD9"/>
    <w:rsid w:val="00B85DAE"/>
    <w:rsid w:val="00B85FE5"/>
    <w:rsid w:val="00B8609C"/>
    <w:rsid w:val="00B864A9"/>
    <w:rsid w:val="00B86D21"/>
    <w:rsid w:val="00B87BB2"/>
    <w:rsid w:val="00B90CE9"/>
    <w:rsid w:val="00B90F50"/>
    <w:rsid w:val="00B917F9"/>
    <w:rsid w:val="00B91EF2"/>
    <w:rsid w:val="00B9277F"/>
    <w:rsid w:val="00B92881"/>
    <w:rsid w:val="00B92D8C"/>
    <w:rsid w:val="00B936EE"/>
    <w:rsid w:val="00B93885"/>
    <w:rsid w:val="00B93A8A"/>
    <w:rsid w:val="00B94292"/>
    <w:rsid w:val="00B95117"/>
    <w:rsid w:val="00BA07B3"/>
    <w:rsid w:val="00BA0D31"/>
    <w:rsid w:val="00BA10FC"/>
    <w:rsid w:val="00BA1862"/>
    <w:rsid w:val="00BA23A4"/>
    <w:rsid w:val="00BA2683"/>
    <w:rsid w:val="00BA30D6"/>
    <w:rsid w:val="00BA36A1"/>
    <w:rsid w:val="00BA3BCA"/>
    <w:rsid w:val="00BA4645"/>
    <w:rsid w:val="00BA4773"/>
    <w:rsid w:val="00BA4CFC"/>
    <w:rsid w:val="00BA541E"/>
    <w:rsid w:val="00BA592C"/>
    <w:rsid w:val="00BA62F3"/>
    <w:rsid w:val="00BA79DC"/>
    <w:rsid w:val="00BA7AA5"/>
    <w:rsid w:val="00BB11FB"/>
    <w:rsid w:val="00BB13A6"/>
    <w:rsid w:val="00BB14C5"/>
    <w:rsid w:val="00BB1DA8"/>
    <w:rsid w:val="00BB1E56"/>
    <w:rsid w:val="00BB201C"/>
    <w:rsid w:val="00BB2137"/>
    <w:rsid w:val="00BB2E99"/>
    <w:rsid w:val="00BB3E80"/>
    <w:rsid w:val="00BB5CC1"/>
    <w:rsid w:val="00BB5EB2"/>
    <w:rsid w:val="00BB5FC1"/>
    <w:rsid w:val="00BB697B"/>
    <w:rsid w:val="00BB717C"/>
    <w:rsid w:val="00BB71D3"/>
    <w:rsid w:val="00BB7AB4"/>
    <w:rsid w:val="00BB7C6B"/>
    <w:rsid w:val="00BC057B"/>
    <w:rsid w:val="00BC0B8B"/>
    <w:rsid w:val="00BC0EFA"/>
    <w:rsid w:val="00BC36D1"/>
    <w:rsid w:val="00BC3ED9"/>
    <w:rsid w:val="00BC4ECD"/>
    <w:rsid w:val="00BC5234"/>
    <w:rsid w:val="00BC52AB"/>
    <w:rsid w:val="00BC55CD"/>
    <w:rsid w:val="00BC757A"/>
    <w:rsid w:val="00BD0BED"/>
    <w:rsid w:val="00BD1BD6"/>
    <w:rsid w:val="00BD2C2A"/>
    <w:rsid w:val="00BD39BB"/>
    <w:rsid w:val="00BD3A7D"/>
    <w:rsid w:val="00BD4727"/>
    <w:rsid w:val="00BD5277"/>
    <w:rsid w:val="00BD553F"/>
    <w:rsid w:val="00BD5C60"/>
    <w:rsid w:val="00BD6554"/>
    <w:rsid w:val="00BD6865"/>
    <w:rsid w:val="00BD6D7E"/>
    <w:rsid w:val="00BD7095"/>
    <w:rsid w:val="00BE1A1D"/>
    <w:rsid w:val="00BE1B86"/>
    <w:rsid w:val="00BE1E97"/>
    <w:rsid w:val="00BE2978"/>
    <w:rsid w:val="00BE3144"/>
    <w:rsid w:val="00BE3C63"/>
    <w:rsid w:val="00BE5BC9"/>
    <w:rsid w:val="00BE60C2"/>
    <w:rsid w:val="00BE6F92"/>
    <w:rsid w:val="00BE77DC"/>
    <w:rsid w:val="00BF07B0"/>
    <w:rsid w:val="00BF108D"/>
    <w:rsid w:val="00BF1557"/>
    <w:rsid w:val="00BF2667"/>
    <w:rsid w:val="00BF36A0"/>
    <w:rsid w:val="00BF3824"/>
    <w:rsid w:val="00BF3F84"/>
    <w:rsid w:val="00BF4CEA"/>
    <w:rsid w:val="00BF5449"/>
    <w:rsid w:val="00BF5500"/>
    <w:rsid w:val="00BF5E35"/>
    <w:rsid w:val="00BF632E"/>
    <w:rsid w:val="00BF66D8"/>
    <w:rsid w:val="00C00B08"/>
    <w:rsid w:val="00C0141F"/>
    <w:rsid w:val="00C016C5"/>
    <w:rsid w:val="00C01B88"/>
    <w:rsid w:val="00C02787"/>
    <w:rsid w:val="00C03825"/>
    <w:rsid w:val="00C03DB2"/>
    <w:rsid w:val="00C04F65"/>
    <w:rsid w:val="00C0555C"/>
    <w:rsid w:val="00C05B2C"/>
    <w:rsid w:val="00C06A06"/>
    <w:rsid w:val="00C07AD3"/>
    <w:rsid w:val="00C07B8F"/>
    <w:rsid w:val="00C10105"/>
    <w:rsid w:val="00C11240"/>
    <w:rsid w:val="00C118D7"/>
    <w:rsid w:val="00C11CAA"/>
    <w:rsid w:val="00C12256"/>
    <w:rsid w:val="00C12D94"/>
    <w:rsid w:val="00C12EFA"/>
    <w:rsid w:val="00C14732"/>
    <w:rsid w:val="00C16542"/>
    <w:rsid w:val="00C169E8"/>
    <w:rsid w:val="00C16F22"/>
    <w:rsid w:val="00C174D7"/>
    <w:rsid w:val="00C1774F"/>
    <w:rsid w:val="00C17CC2"/>
    <w:rsid w:val="00C20E27"/>
    <w:rsid w:val="00C20F64"/>
    <w:rsid w:val="00C22295"/>
    <w:rsid w:val="00C23071"/>
    <w:rsid w:val="00C23907"/>
    <w:rsid w:val="00C2450C"/>
    <w:rsid w:val="00C24F7A"/>
    <w:rsid w:val="00C25D6B"/>
    <w:rsid w:val="00C25EC0"/>
    <w:rsid w:val="00C25F63"/>
    <w:rsid w:val="00C26F79"/>
    <w:rsid w:val="00C27B57"/>
    <w:rsid w:val="00C3226B"/>
    <w:rsid w:val="00C32478"/>
    <w:rsid w:val="00C3373E"/>
    <w:rsid w:val="00C34858"/>
    <w:rsid w:val="00C34D4E"/>
    <w:rsid w:val="00C35155"/>
    <w:rsid w:val="00C36CC9"/>
    <w:rsid w:val="00C37291"/>
    <w:rsid w:val="00C37CAA"/>
    <w:rsid w:val="00C40092"/>
    <w:rsid w:val="00C40137"/>
    <w:rsid w:val="00C40151"/>
    <w:rsid w:val="00C40AF4"/>
    <w:rsid w:val="00C416EA"/>
    <w:rsid w:val="00C41DA5"/>
    <w:rsid w:val="00C420A2"/>
    <w:rsid w:val="00C427AF"/>
    <w:rsid w:val="00C42815"/>
    <w:rsid w:val="00C42F23"/>
    <w:rsid w:val="00C432D5"/>
    <w:rsid w:val="00C4363F"/>
    <w:rsid w:val="00C436BB"/>
    <w:rsid w:val="00C44A9B"/>
    <w:rsid w:val="00C450B4"/>
    <w:rsid w:val="00C46B87"/>
    <w:rsid w:val="00C477CD"/>
    <w:rsid w:val="00C5048F"/>
    <w:rsid w:val="00C50D3D"/>
    <w:rsid w:val="00C51AB9"/>
    <w:rsid w:val="00C5202F"/>
    <w:rsid w:val="00C5371D"/>
    <w:rsid w:val="00C53843"/>
    <w:rsid w:val="00C53CE3"/>
    <w:rsid w:val="00C54E39"/>
    <w:rsid w:val="00C5531E"/>
    <w:rsid w:val="00C553B5"/>
    <w:rsid w:val="00C5569E"/>
    <w:rsid w:val="00C56C97"/>
    <w:rsid w:val="00C56E6F"/>
    <w:rsid w:val="00C5736B"/>
    <w:rsid w:val="00C57C01"/>
    <w:rsid w:val="00C6072B"/>
    <w:rsid w:val="00C60C24"/>
    <w:rsid w:val="00C60E6E"/>
    <w:rsid w:val="00C61E21"/>
    <w:rsid w:val="00C61FFD"/>
    <w:rsid w:val="00C621AA"/>
    <w:rsid w:val="00C62827"/>
    <w:rsid w:val="00C630BD"/>
    <w:rsid w:val="00C63398"/>
    <w:rsid w:val="00C63672"/>
    <w:rsid w:val="00C645C7"/>
    <w:rsid w:val="00C6530A"/>
    <w:rsid w:val="00C658DC"/>
    <w:rsid w:val="00C65A1E"/>
    <w:rsid w:val="00C65F9F"/>
    <w:rsid w:val="00C6637B"/>
    <w:rsid w:val="00C6671C"/>
    <w:rsid w:val="00C71222"/>
    <w:rsid w:val="00C717C8"/>
    <w:rsid w:val="00C721CF"/>
    <w:rsid w:val="00C727A9"/>
    <w:rsid w:val="00C72E48"/>
    <w:rsid w:val="00C730DC"/>
    <w:rsid w:val="00C731A9"/>
    <w:rsid w:val="00C73B18"/>
    <w:rsid w:val="00C74A95"/>
    <w:rsid w:val="00C7552A"/>
    <w:rsid w:val="00C76077"/>
    <w:rsid w:val="00C76990"/>
    <w:rsid w:val="00C778EC"/>
    <w:rsid w:val="00C8185B"/>
    <w:rsid w:val="00C828D8"/>
    <w:rsid w:val="00C82C48"/>
    <w:rsid w:val="00C83F7D"/>
    <w:rsid w:val="00C866D2"/>
    <w:rsid w:val="00C874B0"/>
    <w:rsid w:val="00C878E4"/>
    <w:rsid w:val="00C9072F"/>
    <w:rsid w:val="00C90B8A"/>
    <w:rsid w:val="00C90BC4"/>
    <w:rsid w:val="00C90C68"/>
    <w:rsid w:val="00C91929"/>
    <w:rsid w:val="00C939ED"/>
    <w:rsid w:val="00C93C1D"/>
    <w:rsid w:val="00C9423B"/>
    <w:rsid w:val="00C94EA1"/>
    <w:rsid w:val="00C9511A"/>
    <w:rsid w:val="00C95A26"/>
    <w:rsid w:val="00C95F8E"/>
    <w:rsid w:val="00C962E3"/>
    <w:rsid w:val="00C96377"/>
    <w:rsid w:val="00C9647E"/>
    <w:rsid w:val="00CA103C"/>
    <w:rsid w:val="00CA1266"/>
    <w:rsid w:val="00CA12E0"/>
    <w:rsid w:val="00CA142E"/>
    <w:rsid w:val="00CA1710"/>
    <w:rsid w:val="00CA1959"/>
    <w:rsid w:val="00CA19BF"/>
    <w:rsid w:val="00CA1EA9"/>
    <w:rsid w:val="00CA2260"/>
    <w:rsid w:val="00CA23FA"/>
    <w:rsid w:val="00CA2AA9"/>
    <w:rsid w:val="00CA3626"/>
    <w:rsid w:val="00CA3A46"/>
    <w:rsid w:val="00CA43B8"/>
    <w:rsid w:val="00CA50AD"/>
    <w:rsid w:val="00CA5874"/>
    <w:rsid w:val="00CA67A2"/>
    <w:rsid w:val="00CA7031"/>
    <w:rsid w:val="00CB1B4A"/>
    <w:rsid w:val="00CB2D33"/>
    <w:rsid w:val="00CB339D"/>
    <w:rsid w:val="00CB33A2"/>
    <w:rsid w:val="00CB3C48"/>
    <w:rsid w:val="00CB3D53"/>
    <w:rsid w:val="00CB422B"/>
    <w:rsid w:val="00CB4ED1"/>
    <w:rsid w:val="00CB5AA3"/>
    <w:rsid w:val="00CB6F22"/>
    <w:rsid w:val="00CB6F5C"/>
    <w:rsid w:val="00CC0A9D"/>
    <w:rsid w:val="00CC116B"/>
    <w:rsid w:val="00CC24F5"/>
    <w:rsid w:val="00CC3F12"/>
    <w:rsid w:val="00CC4E20"/>
    <w:rsid w:val="00CC4EBC"/>
    <w:rsid w:val="00CC6140"/>
    <w:rsid w:val="00CC6AB1"/>
    <w:rsid w:val="00CC6CA8"/>
    <w:rsid w:val="00CC6D4A"/>
    <w:rsid w:val="00CC78EC"/>
    <w:rsid w:val="00CD0229"/>
    <w:rsid w:val="00CD0F18"/>
    <w:rsid w:val="00CD1998"/>
    <w:rsid w:val="00CD2401"/>
    <w:rsid w:val="00CD27A1"/>
    <w:rsid w:val="00CD3599"/>
    <w:rsid w:val="00CD390E"/>
    <w:rsid w:val="00CD43C4"/>
    <w:rsid w:val="00CD445E"/>
    <w:rsid w:val="00CD5A76"/>
    <w:rsid w:val="00CD67DB"/>
    <w:rsid w:val="00CD6D2D"/>
    <w:rsid w:val="00CD7636"/>
    <w:rsid w:val="00CE011B"/>
    <w:rsid w:val="00CE0AF4"/>
    <w:rsid w:val="00CE186F"/>
    <w:rsid w:val="00CE20FA"/>
    <w:rsid w:val="00CE2DAA"/>
    <w:rsid w:val="00CE2F22"/>
    <w:rsid w:val="00CE3C07"/>
    <w:rsid w:val="00CE4031"/>
    <w:rsid w:val="00CE4F7F"/>
    <w:rsid w:val="00CE5940"/>
    <w:rsid w:val="00CE6191"/>
    <w:rsid w:val="00CE6BCC"/>
    <w:rsid w:val="00CE6D92"/>
    <w:rsid w:val="00CE7078"/>
    <w:rsid w:val="00CF2971"/>
    <w:rsid w:val="00CF331C"/>
    <w:rsid w:val="00CF38AE"/>
    <w:rsid w:val="00CF464E"/>
    <w:rsid w:val="00CF48DE"/>
    <w:rsid w:val="00CF4916"/>
    <w:rsid w:val="00CF6286"/>
    <w:rsid w:val="00CF6FA3"/>
    <w:rsid w:val="00CF711A"/>
    <w:rsid w:val="00CF771A"/>
    <w:rsid w:val="00D006B7"/>
    <w:rsid w:val="00D007EC"/>
    <w:rsid w:val="00D01F3A"/>
    <w:rsid w:val="00D01FBE"/>
    <w:rsid w:val="00D03A27"/>
    <w:rsid w:val="00D03A74"/>
    <w:rsid w:val="00D04FFB"/>
    <w:rsid w:val="00D05C86"/>
    <w:rsid w:val="00D06557"/>
    <w:rsid w:val="00D077FD"/>
    <w:rsid w:val="00D07AEA"/>
    <w:rsid w:val="00D107B0"/>
    <w:rsid w:val="00D10A7B"/>
    <w:rsid w:val="00D1102B"/>
    <w:rsid w:val="00D113C8"/>
    <w:rsid w:val="00D11516"/>
    <w:rsid w:val="00D1202B"/>
    <w:rsid w:val="00D12262"/>
    <w:rsid w:val="00D1297D"/>
    <w:rsid w:val="00D13826"/>
    <w:rsid w:val="00D13C55"/>
    <w:rsid w:val="00D13DF0"/>
    <w:rsid w:val="00D13FED"/>
    <w:rsid w:val="00D14115"/>
    <w:rsid w:val="00D1498F"/>
    <w:rsid w:val="00D14A57"/>
    <w:rsid w:val="00D15C10"/>
    <w:rsid w:val="00D16FC5"/>
    <w:rsid w:val="00D171E9"/>
    <w:rsid w:val="00D20DE9"/>
    <w:rsid w:val="00D213E8"/>
    <w:rsid w:val="00D2162B"/>
    <w:rsid w:val="00D24735"/>
    <w:rsid w:val="00D248A4"/>
    <w:rsid w:val="00D27186"/>
    <w:rsid w:val="00D2750E"/>
    <w:rsid w:val="00D27C89"/>
    <w:rsid w:val="00D3015A"/>
    <w:rsid w:val="00D30F1B"/>
    <w:rsid w:val="00D313B5"/>
    <w:rsid w:val="00D31F8E"/>
    <w:rsid w:val="00D3233B"/>
    <w:rsid w:val="00D32466"/>
    <w:rsid w:val="00D33436"/>
    <w:rsid w:val="00D3519B"/>
    <w:rsid w:val="00D35220"/>
    <w:rsid w:val="00D3589E"/>
    <w:rsid w:val="00D3689C"/>
    <w:rsid w:val="00D36D3B"/>
    <w:rsid w:val="00D37617"/>
    <w:rsid w:val="00D37C6E"/>
    <w:rsid w:val="00D407F9"/>
    <w:rsid w:val="00D40D8F"/>
    <w:rsid w:val="00D4133F"/>
    <w:rsid w:val="00D428FB"/>
    <w:rsid w:val="00D4292D"/>
    <w:rsid w:val="00D43172"/>
    <w:rsid w:val="00D431D8"/>
    <w:rsid w:val="00D4418A"/>
    <w:rsid w:val="00D44AF9"/>
    <w:rsid w:val="00D450DE"/>
    <w:rsid w:val="00D465C4"/>
    <w:rsid w:val="00D4660A"/>
    <w:rsid w:val="00D46649"/>
    <w:rsid w:val="00D466F5"/>
    <w:rsid w:val="00D46D6C"/>
    <w:rsid w:val="00D501FD"/>
    <w:rsid w:val="00D50792"/>
    <w:rsid w:val="00D50A81"/>
    <w:rsid w:val="00D50A8C"/>
    <w:rsid w:val="00D50E34"/>
    <w:rsid w:val="00D5253D"/>
    <w:rsid w:val="00D525A5"/>
    <w:rsid w:val="00D535D3"/>
    <w:rsid w:val="00D53D2E"/>
    <w:rsid w:val="00D53E93"/>
    <w:rsid w:val="00D54BA3"/>
    <w:rsid w:val="00D562D6"/>
    <w:rsid w:val="00D56C04"/>
    <w:rsid w:val="00D61698"/>
    <w:rsid w:val="00D620DE"/>
    <w:rsid w:val="00D62FC6"/>
    <w:rsid w:val="00D63B35"/>
    <w:rsid w:val="00D662D8"/>
    <w:rsid w:val="00D66601"/>
    <w:rsid w:val="00D666E6"/>
    <w:rsid w:val="00D67944"/>
    <w:rsid w:val="00D67E37"/>
    <w:rsid w:val="00D70707"/>
    <w:rsid w:val="00D71888"/>
    <w:rsid w:val="00D72CA5"/>
    <w:rsid w:val="00D73821"/>
    <w:rsid w:val="00D74A77"/>
    <w:rsid w:val="00D75CA6"/>
    <w:rsid w:val="00D7631F"/>
    <w:rsid w:val="00D77675"/>
    <w:rsid w:val="00D802DA"/>
    <w:rsid w:val="00D8060E"/>
    <w:rsid w:val="00D809D1"/>
    <w:rsid w:val="00D809F6"/>
    <w:rsid w:val="00D815EC"/>
    <w:rsid w:val="00D819C3"/>
    <w:rsid w:val="00D82BE6"/>
    <w:rsid w:val="00D82FAB"/>
    <w:rsid w:val="00D83A11"/>
    <w:rsid w:val="00D83A63"/>
    <w:rsid w:val="00D84D29"/>
    <w:rsid w:val="00D852F8"/>
    <w:rsid w:val="00D9031C"/>
    <w:rsid w:val="00D90382"/>
    <w:rsid w:val="00D9086C"/>
    <w:rsid w:val="00D90B39"/>
    <w:rsid w:val="00D91B19"/>
    <w:rsid w:val="00D91E40"/>
    <w:rsid w:val="00D93F6D"/>
    <w:rsid w:val="00D9467F"/>
    <w:rsid w:val="00D94D44"/>
    <w:rsid w:val="00DA0F32"/>
    <w:rsid w:val="00DA1F34"/>
    <w:rsid w:val="00DA213E"/>
    <w:rsid w:val="00DA2998"/>
    <w:rsid w:val="00DA3D88"/>
    <w:rsid w:val="00DA492E"/>
    <w:rsid w:val="00DA5575"/>
    <w:rsid w:val="00DA5603"/>
    <w:rsid w:val="00DA5753"/>
    <w:rsid w:val="00DA5FDA"/>
    <w:rsid w:val="00DA6383"/>
    <w:rsid w:val="00DA6500"/>
    <w:rsid w:val="00DA76AF"/>
    <w:rsid w:val="00DA7AB0"/>
    <w:rsid w:val="00DB18AA"/>
    <w:rsid w:val="00DB220A"/>
    <w:rsid w:val="00DB39AF"/>
    <w:rsid w:val="00DB43E1"/>
    <w:rsid w:val="00DB482C"/>
    <w:rsid w:val="00DB48CE"/>
    <w:rsid w:val="00DB593E"/>
    <w:rsid w:val="00DB61E1"/>
    <w:rsid w:val="00DB6927"/>
    <w:rsid w:val="00DB750B"/>
    <w:rsid w:val="00DB7976"/>
    <w:rsid w:val="00DC1180"/>
    <w:rsid w:val="00DC1636"/>
    <w:rsid w:val="00DC17EF"/>
    <w:rsid w:val="00DC181D"/>
    <w:rsid w:val="00DC3872"/>
    <w:rsid w:val="00DC5653"/>
    <w:rsid w:val="00DC5A52"/>
    <w:rsid w:val="00DC5E34"/>
    <w:rsid w:val="00DC7634"/>
    <w:rsid w:val="00DC7C2C"/>
    <w:rsid w:val="00DD15F6"/>
    <w:rsid w:val="00DD1929"/>
    <w:rsid w:val="00DD22E6"/>
    <w:rsid w:val="00DD4D92"/>
    <w:rsid w:val="00DD57D2"/>
    <w:rsid w:val="00DD58D9"/>
    <w:rsid w:val="00DD58FB"/>
    <w:rsid w:val="00DD596F"/>
    <w:rsid w:val="00DD6E70"/>
    <w:rsid w:val="00DD6F2D"/>
    <w:rsid w:val="00DD7FFE"/>
    <w:rsid w:val="00DE0459"/>
    <w:rsid w:val="00DE0ACA"/>
    <w:rsid w:val="00DE33D8"/>
    <w:rsid w:val="00DE3867"/>
    <w:rsid w:val="00DE656C"/>
    <w:rsid w:val="00DE67B9"/>
    <w:rsid w:val="00DE6EA7"/>
    <w:rsid w:val="00DE71D1"/>
    <w:rsid w:val="00DE728C"/>
    <w:rsid w:val="00DE7522"/>
    <w:rsid w:val="00DE7F5A"/>
    <w:rsid w:val="00DF0480"/>
    <w:rsid w:val="00DF04D6"/>
    <w:rsid w:val="00DF14C9"/>
    <w:rsid w:val="00DF1631"/>
    <w:rsid w:val="00DF1B17"/>
    <w:rsid w:val="00DF3019"/>
    <w:rsid w:val="00DF3CC2"/>
    <w:rsid w:val="00DF5083"/>
    <w:rsid w:val="00DF52E1"/>
    <w:rsid w:val="00DF660B"/>
    <w:rsid w:val="00DF7FF4"/>
    <w:rsid w:val="00E0096D"/>
    <w:rsid w:val="00E00AF2"/>
    <w:rsid w:val="00E00E1B"/>
    <w:rsid w:val="00E01EB1"/>
    <w:rsid w:val="00E02978"/>
    <w:rsid w:val="00E04628"/>
    <w:rsid w:val="00E0532F"/>
    <w:rsid w:val="00E058F3"/>
    <w:rsid w:val="00E063F2"/>
    <w:rsid w:val="00E106F4"/>
    <w:rsid w:val="00E1158C"/>
    <w:rsid w:val="00E12BD7"/>
    <w:rsid w:val="00E13EBC"/>
    <w:rsid w:val="00E14BDA"/>
    <w:rsid w:val="00E14D8B"/>
    <w:rsid w:val="00E15D88"/>
    <w:rsid w:val="00E1684E"/>
    <w:rsid w:val="00E170E3"/>
    <w:rsid w:val="00E17D3B"/>
    <w:rsid w:val="00E211AC"/>
    <w:rsid w:val="00E215E5"/>
    <w:rsid w:val="00E222D8"/>
    <w:rsid w:val="00E226C1"/>
    <w:rsid w:val="00E22AEA"/>
    <w:rsid w:val="00E22AF8"/>
    <w:rsid w:val="00E22B62"/>
    <w:rsid w:val="00E22CD2"/>
    <w:rsid w:val="00E230FE"/>
    <w:rsid w:val="00E235B3"/>
    <w:rsid w:val="00E24E28"/>
    <w:rsid w:val="00E25211"/>
    <w:rsid w:val="00E2606C"/>
    <w:rsid w:val="00E279F6"/>
    <w:rsid w:val="00E30011"/>
    <w:rsid w:val="00E30497"/>
    <w:rsid w:val="00E30FA3"/>
    <w:rsid w:val="00E315D0"/>
    <w:rsid w:val="00E327C1"/>
    <w:rsid w:val="00E33395"/>
    <w:rsid w:val="00E33DE8"/>
    <w:rsid w:val="00E34444"/>
    <w:rsid w:val="00E3479B"/>
    <w:rsid w:val="00E34D52"/>
    <w:rsid w:val="00E3540D"/>
    <w:rsid w:val="00E364AF"/>
    <w:rsid w:val="00E378AA"/>
    <w:rsid w:val="00E379BF"/>
    <w:rsid w:val="00E40174"/>
    <w:rsid w:val="00E402CE"/>
    <w:rsid w:val="00E415AD"/>
    <w:rsid w:val="00E41A1C"/>
    <w:rsid w:val="00E420F5"/>
    <w:rsid w:val="00E42856"/>
    <w:rsid w:val="00E433CD"/>
    <w:rsid w:val="00E43CC8"/>
    <w:rsid w:val="00E44D97"/>
    <w:rsid w:val="00E44DAC"/>
    <w:rsid w:val="00E46D5D"/>
    <w:rsid w:val="00E4740A"/>
    <w:rsid w:val="00E47DE3"/>
    <w:rsid w:val="00E501F9"/>
    <w:rsid w:val="00E52AFA"/>
    <w:rsid w:val="00E52E27"/>
    <w:rsid w:val="00E52FD5"/>
    <w:rsid w:val="00E5389B"/>
    <w:rsid w:val="00E53B86"/>
    <w:rsid w:val="00E53E13"/>
    <w:rsid w:val="00E54E81"/>
    <w:rsid w:val="00E5544C"/>
    <w:rsid w:val="00E55B9E"/>
    <w:rsid w:val="00E568EA"/>
    <w:rsid w:val="00E56BEE"/>
    <w:rsid w:val="00E56D53"/>
    <w:rsid w:val="00E6030D"/>
    <w:rsid w:val="00E6030F"/>
    <w:rsid w:val="00E6092D"/>
    <w:rsid w:val="00E60DED"/>
    <w:rsid w:val="00E60F20"/>
    <w:rsid w:val="00E60FB9"/>
    <w:rsid w:val="00E632F1"/>
    <w:rsid w:val="00E64557"/>
    <w:rsid w:val="00E65DD5"/>
    <w:rsid w:val="00E661E6"/>
    <w:rsid w:val="00E717AB"/>
    <w:rsid w:val="00E72FFD"/>
    <w:rsid w:val="00E738AF"/>
    <w:rsid w:val="00E739AF"/>
    <w:rsid w:val="00E7424D"/>
    <w:rsid w:val="00E76448"/>
    <w:rsid w:val="00E82948"/>
    <w:rsid w:val="00E831DC"/>
    <w:rsid w:val="00E83458"/>
    <w:rsid w:val="00E85970"/>
    <w:rsid w:val="00E87DDF"/>
    <w:rsid w:val="00E9040D"/>
    <w:rsid w:val="00E90828"/>
    <w:rsid w:val="00E90A55"/>
    <w:rsid w:val="00E90E01"/>
    <w:rsid w:val="00E921B1"/>
    <w:rsid w:val="00E93A86"/>
    <w:rsid w:val="00E93F3E"/>
    <w:rsid w:val="00E93FFA"/>
    <w:rsid w:val="00E94270"/>
    <w:rsid w:val="00E948F9"/>
    <w:rsid w:val="00E94ADE"/>
    <w:rsid w:val="00E94C71"/>
    <w:rsid w:val="00E953C6"/>
    <w:rsid w:val="00E9651F"/>
    <w:rsid w:val="00E96863"/>
    <w:rsid w:val="00E9686D"/>
    <w:rsid w:val="00E971AE"/>
    <w:rsid w:val="00E97F2B"/>
    <w:rsid w:val="00EA0385"/>
    <w:rsid w:val="00EA06BA"/>
    <w:rsid w:val="00EA0976"/>
    <w:rsid w:val="00EA10BA"/>
    <w:rsid w:val="00EA2BE7"/>
    <w:rsid w:val="00EA2F53"/>
    <w:rsid w:val="00EA31B6"/>
    <w:rsid w:val="00EA3FFC"/>
    <w:rsid w:val="00EA4777"/>
    <w:rsid w:val="00EA5A2C"/>
    <w:rsid w:val="00EA629F"/>
    <w:rsid w:val="00EA6C17"/>
    <w:rsid w:val="00EA7D88"/>
    <w:rsid w:val="00EA7DB9"/>
    <w:rsid w:val="00EB0296"/>
    <w:rsid w:val="00EB1F0A"/>
    <w:rsid w:val="00EB3281"/>
    <w:rsid w:val="00EB3668"/>
    <w:rsid w:val="00EB4C43"/>
    <w:rsid w:val="00EB4F23"/>
    <w:rsid w:val="00EB508F"/>
    <w:rsid w:val="00EB6B6C"/>
    <w:rsid w:val="00EB6C93"/>
    <w:rsid w:val="00EB6CC8"/>
    <w:rsid w:val="00EB719B"/>
    <w:rsid w:val="00EB770C"/>
    <w:rsid w:val="00EB7B33"/>
    <w:rsid w:val="00EC1D8A"/>
    <w:rsid w:val="00EC1EED"/>
    <w:rsid w:val="00EC2133"/>
    <w:rsid w:val="00EC2E98"/>
    <w:rsid w:val="00EC3F0C"/>
    <w:rsid w:val="00EC4DA6"/>
    <w:rsid w:val="00EC63BF"/>
    <w:rsid w:val="00EC6473"/>
    <w:rsid w:val="00EC6A04"/>
    <w:rsid w:val="00EC6A8A"/>
    <w:rsid w:val="00EC74F2"/>
    <w:rsid w:val="00EC771C"/>
    <w:rsid w:val="00ED0099"/>
    <w:rsid w:val="00ED0EBC"/>
    <w:rsid w:val="00ED1C45"/>
    <w:rsid w:val="00ED26CD"/>
    <w:rsid w:val="00ED2753"/>
    <w:rsid w:val="00ED291A"/>
    <w:rsid w:val="00ED2AE1"/>
    <w:rsid w:val="00ED4829"/>
    <w:rsid w:val="00ED4F63"/>
    <w:rsid w:val="00ED7269"/>
    <w:rsid w:val="00ED72F5"/>
    <w:rsid w:val="00ED7A4B"/>
    <w:rsid w:val="00ED7B35"/>
    <w:rsid w:val="00EE0106"/>
    <w:rsid w:val="00EE0350"/>
    <w:rsid w:val="00EE036A"/>
    <w:rsid w:val="00EE1A4F"/>
    <w:rsid w:val="00EE1B0C"/>
    <w:rsid w:val="00EE2C3D"/>
    <w:rsid w:val="00EE39DA"/>
    <w:rsid w:val="00EE3B07"/>
    <w:rsid w:val="00EE3D20"/>
    <w:rsid w:val="00EE494A"/>
    <w:rsid w:val="00EE4B02"/>
    <w:rsid w:val="00EE5797"/>
    <w:rsid w:val="00EE57DE"/>
    <w:rsid w:val="00EE5D9B"/>
    <w:rsid w:val="00EE6777"/>
    <w:rsid w:val="00EE6A91"/>
    <w:rsid w:val="00EE6C97"/>
    <w:rsid w:val="00EE6CCB"/>
    <w:rsid w:val="00EF0119"/>
    <w:rsid w:val="00EF025D"/>
    <w:rsid w:val="00EF063A"/>
    <w:rsid w:val="00EF08E7"/>
    <w:rsid w:val="00EF1788"/>
    <w:rsid w:val="00EF1CBA"/>
    <w:rsid w:val="00EF1F50"/>
    <w:rsid w:val="00EF2817"/>
    <w:rsid w:val="00EF2940"/>
    <w:rsid w:val="00EF2B6A"/>
    <w:rsid w:val="00EF34D6"/>
    <w:rsid w:val="00EF43EF"/>
    <w:rsid w:val="00EF49D4"/>
    <w:rsid w:val="00EF5130"/>
    <w:rsid w:val="00EF694F"/>
    <w:rsid w:val="00EF720A"/>
    <w:rsid w:val="00EF723B"/>
    <w:rsid w:val="00EF73B1"/>
    <w:rsid w:val="00EF74F5"/>
    <w:rsid w:val="00F0158F"/>
    <w:rsid w:val="00F01E32"/>
    <w:rsid w:val="00F02117"/>
    <w:rsid w:val="00F029D1"/>
    <w:rsid w:val="00F0393E"/>
    <w:rsid w:val="00F03981"/>
    <w:rsid w:val="00F03ADF"/>
    <w:rsid w:val="00F03B47"/>
    <w:rsid w:val="00F04429"/>
    <w:rsid w:val="00F04F30"/>
    <w:rsid w:val="00F05C27"/>
    <w:rsid w:val="00F06198"/>
    <w:rsid w:val="00F0653D"/>
    <w:rsid w:val="00F06F9C"/>
    <w:rsid w:val="00F1078C"/>
    <w:rsid w:val="00F10C90"/>
    <w:rsid w:val="00F1138B"/>
    <w:rsid w:val="00F11BAA"/>
    <w:rsid w:val="00F11CB4"/>
    <w:rsid w:val="00F13FD3"/>
    <w:rsid w:val="00F14123"/>
    <w:rsid w:val="00F14763"/>
    <w:rsid w:val="00F16530"/>
    <w:rsid w:val="00F169E2"/>
    <w:rsid w:val="00F16FF7"/>
    <w:rsid w:val="00F179EA"/>
    <w:rsid w:val="00F17AF7"/>
    <w:rsid w:val="00F203AC"/>
    <w:rsid w:val="00F2046F"/>
    <w:rsid w:val="00F20FAF"/>
    <w:rsid w:val="00F2178A"/>
    <w:rsid w:val="00F21E81"/>
    <w:rsid w:val="00F23334"/>
    <w:rsid w:val="00F258C8"/>
    <w:rsid w:val="00F2734A"/>
    <w:rsid w:val="00F30DEB"/>
    <w:rsid w:val="00F30E02"/>
    <w:rsid w:val="00F313CB"/>
    <w:rsid w:val="00F31602"/>
    <w:rsid w:val="00F3167B"/>
    <w:rsid w:val="00F31D83"/>
    <w:rsid w:val="00F32199"/>
    <w:rsid w:val="00F33297"/>
    <w:rsid w:val="00F3390F"/>
    <w:rsid w:val="00F33D68"/>
    <w:rsid w:val="00F342E9"/>
    <w:rsid w:val="00F34FBA"/>
    <w:rsid w:val="00F35A7F"/>
    <w:rsid w:val="00F35DA3"/>
    <w:rsid w:val="00F36533"/>
    <w:rsid w:val="00F3682C"/>
    <w:rsid w:val="00F4188D"/>
    <w:rsid w:val="00F41E0B"/>
    <w:rsid w:val="00F4260F"/>
    <w:rsid w:val="00F43218"/>
    <w:rsid w:val="00F43686"/>
    <w:rsid w:val="00F439D2"/>
    <w:rsid w:val="00F43BE9"/>
    <w:rsid w:val="00F4624C"/>
    <w:rsid w:val="00F46FB2"/>
    <w:rsid w:val="00F471F3"/>
    <w:rsid w:val="00F47717"/>
    <w:rsid w:val="00F4798B"/>
    <w:rsid w:val="00F515D8"/>
    <w:rsid w:val="00F51C95"/>
    <w:rsid w:val="00F52604"/>
    <w:rsid w:val="00F53ECB"/>
    <w:rsid w:val="00F55088"/>
    <w:rsid w:val="00F55828"/>
    <w:rsid w:val="00F55A34"/>
    <w:rsid w:val="00F55CE2"/>
    <w:rsid w:val="00F56199"/>
    <w:rsid w:val="00F5720E"/>
    <w:rsid w:val="00F60044"/>
    <w:rsid w:val="00F60229"/>
    <w:rsid w:val="00F614DD"/>
    <w:rsid w:val="00F61D07"/>
    <w:rsid w:val="00F62339"/>
    <w:rsid w:val="00F63E76"/>
    <w:rsid w:val="00F648A3"/>
    <w:rsid w:val="00F64DB2"/>
    <w:rsid w:val="00F66446"/>
    <w:rsid w:val="00F66E69"/>
    <w:rsid w:val="00F67469"/>
    <w:rsid w:val="00F67EA7"/>
    <w:rsid w:val="00F7083C"/>
    <w:rsid w:val="00F70E85"/>
    <w:rsid w:val="00F714AB"/>
    <w:rsid w:val="00F71670"/>
    <w:rsid w:val="00F71C18"/>
    <w:rsid w:val="00F72155"/>
    <w:rsid w:val="00F72248"/>
    <w:rsid w:val="00F737FB"/>
    <w:rsid w:val="00F739BA"/>
    <w:rsid w:val="00F73A0C"/>
    <w:rsid w:val="00F74DE5"/>
    <w:rsid w:val="00F75290"/>
    <w:rsid w:val="00F75F90"/>
    <w:rsid w:val="00F77F89"/>
    <w:rsid w:val="00F80230"/>
    <w:rsid w:val="00F80A3F"/>
    <w:rsid w:val="00F8119E"/>
    <w:rsid w:val="00F81369"/>
    <w:rsid w:val="00F81744"/>
    <w:rsid w:val="00F81893"/>
    <w:rsid w:val="00F81994"/>
    <w:rsid w:val="00F81C4C"/>
    <w:rsid w:val="00F81FC4"/>
    <w:rsid w:val="00F86418"/>
    <w:rsid w:val="00F86E2A"/>
    <w:rsid w:val="00F87729"/>
    <w:rsid w:val="00F87E77"/>
    <w:rsid w:val="00F90218"/>
    <w:rsid w:val="00F9106F"/>
    <w:rsid w:val="00F91521"/>
    <w:rsid w:val="00F916CD"/>
    <w:rsid w:val="00F91F8C"/>
    <w:rsid w:val="00F920A2"/>
    <w:rsid w:val="00F921CA"/>
    <w:rsid w:val="00F92416"/>
    <w:rsid w:val="00F94263"/>
    <w:rsid w:val="00F94D4F"/>
    <w:rsid w:val="00F95949"/>
    <w:rsid w:val="00F96448"/>
    <w:rsid w:val="00F964BA"/>
    <w:rsid w:val="00F96707"/>
    <w:rsid w:val="00F968D2"/>
    <w:rsid w:val="00F97978"/>
    <w:rsid w:val="00FA01E2"/>
    <w:rsid w:val="00FA0E74"/>
    <w:rsid w:val="00FA1860"/>
    <w:rsid w:val="00FA18D7"/>
    <w:rsid w:val="00FA1B65"/>
    <w:rsid w:val="00FA2055"/>
    <w:rsid w:val="00FA2137"/>
    <w:rsid w:val="00FA24B4"/>
    <w:rsid w:val="00FA2A32"/>
    <w:rsid w:val="00FA2BBD"/>
    <w:rsid w:val="00FA3009"/>
    <w:rsid w:val="00FA3065"/>
    <w:rsid w:val="00FA32D4"/>
    <w:rsid w:val="00FA4386"/>
    <w:rsid w:val="00FA481E"/>
    <w:rsid w:val="00FA4AD9"/>
    <w:rsid w:val="00FA62AF"/>
    <w:rsid w:val="00FA6712"/>
    <w:rsid w:val="00FA6C36"/>
    <w:rsid w:val="00FA76A0"/>
    <w:rsid w:val="00FA7788"/>
    <w:rsid w:val="00FA7ED8"/>
    <w:rsid w:val="00FB04A4"/>
    <w:rsid w:val="00FB07AA"/>
    <w:rsid w:val="00FB1879"/>
    <w:rsid w:val="00FB1E59"/>
    <w:rsid w:val="00FB1F0D"/>
    <w:rsid w:val="00FB2052"/>
    <w:rsid w:val="00FB2285"/>
    <w:rsid w:val="00FB3CB6"/>
    <w:rsid w:val="00FB4533"/>
    <w:rsid w:val="00FB47D4"/>
    <w:rsid w:val="00FB4A87"/>
    <w:rsid w:val="00FB4D30"/>
    <w:rsid w:val="00FB4D76"/>
    <w:rsid w:val="00FB55F3"/>
    <w:rsid w:val="00FB5EE7"/>
    <w:rsid w:val="00FB7D87"/>
    <w:rsid w:val="00FB7EDB"/>
    <w:rsid w:val="00FC1313"/>
    <w:rsid w:val="00FC132E"/>
    <w:rsid w:val="00FC2DCD"/>
    <w:rsid w:val="00FC4F1F"/>
    <w:rsid w:val="00FC5921"/>
    <w:rsid w:val="00FC59A5"/>
    <w:rsid w:val="00FC5DCD"/>
    <w:rsid w:val="00FC7A6C"/>
    <w:rsid w:val="00FC7C81"/>
    <w:rsid w:val="00FD0DDC"/>
    <w:rsid w:val="00FD15DE"/>
    <w:rsid w:val="00FD1670"/>
    <w:rsid w:val="00FD1DCA"/>
    <w:rsid w:val="00FD2AD2"/>
    <w:rsid w:val="00FD2F34"/>
    <w:rsid w:val="00FD3B77"/>
    <w:rsid w:val="00FD3B9D"/>
    <w:rsid w:val="00FD50F0"/>
    <w:rsid w:val="00FD59FF"/>
    <w:rsid w:val="00FD5EF7"/>
    <w:rsid w:val="00FD5FD8"/>
    <w:rsid w:val="00FD6E0E"/>
    <w:rsid w:val="00FE0523"/>
    <w:rsid w:val="00FE1172"/>
    <w:rsid w:val="00FE157E"/>
    <w:rsid w:val="00FE1AC8"/>
    <w:rsid w:val="00FE2CCB"/>
    <w:rsid w:val="00FE2F9E"/>
    <w:rsid w:val="00FE4B47"/>
    <w:rsid w:val="00FE61B6"/>
    <w:rsid w:val="00FE6216"/>
    <w:rsid w:val="00FE6D3B"/>
    <w:rsid w:val="00FE6DF4"/>
    <w:rsid w:val="00FE7224"/>
    <w:rsid w:val="00FE7649"/>
    <w:rsid w:val="00FF0351"/>
    <w:rsid w:val="00FF08F2"/>
    <w:rsid w:val="00FF0AA8"/>
    <w:rsid w:val="00FF0D17"/>
    <w:rsid w:val="00FF23E3"/>
    <w:rsid w:val="00FF2AF3"/>
    <w:rsid w:val="00FF311D"/>
    <w:rsid w:val="00FF41F8"/>
    <w:rsid w:val="00FF4653"/>
    <w:rsid w:val="00FF46B9"/>
    <w:rsid w:val="00FF5A37"/>
    <w:rsid w:val="00FF5B79"/>
    <w:rsid w:val="00FF6537"/>
    <w:rsid w:val="00FF6F1F"/>
    <w:rsid w:val="00FF7FBF"/>
    <w:rsid w:val="036156BA"/>
    <w:rsid w:val="03B59B71"/>
    <w:rsid w:val="03D56ABC"/>
    <w:rsid w:val="0501A75A"/>
    <w:rsid w:val="057F03AA"/>
    <w:rsid w:val="06339645"/>
    <w:rsid w:val="07BB2EA9"/>
    <w:rsid w:val="08044C81"/>
    <w:rsid w:val="082545A6"/>
    <w:rsid w:val="088EE536"/>
    <w:rsid w:val="0A29B058"/>
    <w:rsid w:val="0B1F10C1"/>
    <w:rsid w:val="0C4C2D0D"/>
    <w:rsid w:val="0D4C4CA9"/>
    <w:rsid w:val="0DBB3FBA"/>
    <w:rsid w:val="0FFC2AAF"/>
    <w:rsid w:val="10143D69"/>
    <w:rsid w:val="1061A3C5"/>
    <w:rsid w:val="10A9B47C"/>
    <w:rsid w:val="116A4631"/>
    <w:rsid w:val="122FE5AF"/>
    <w:rsid w:val="1295568C"/>
    <w:rsid w:val="1327F488"/>
    <w:rsid w:val="138D900D"/>
    <w:rsid w:val="13C2855F"/>
    <w:rsid w:val="15313107"/>
    <w:rsid w:val="15671906"/>
    <w:rsid w:val="176FA0F0"/>
    <w:rsid w:val="17F0CE8C"/>
    <w:rsid w:val="180B54A1"/>
    <w:rsid w:val="18365935"/>
    <w:rsid w:val="185B8593"/>
    <w:rsid w:val="190D161B"/>
    <w:rsid w:val="199D6B47"/>
    <w:rsid w:val="19EDE9F1"/>
    <w:rsid w:val="1AFCA5A7"/>
    <w:rsid w:val="1C510E69"/>
    <w:rsid w:val="1CBA163B"/>
    <w:rsid w:val="1F42379D"/>
    <w:rsid w:val="227C99A1"/>
    <w:rsid w:val="22B9D668"/>
    <w:rsid w:val="22EA4CCA"/>
    <w:rsid w:val="2477F336"/>
    <w:rsid w:val="24AAD665"/>
    <w:rsid w:val="24B76861"/>
    <w:rsid w:val="265632CA"/>
    <w:rsid w:val="26A38C60"/>
    <w:rsid w:val="27A1148F"/>
    <w:rsid w:val="2ABA3B8B"/>
    <w:rsid w:val="2B219D1D"/>
    <w:rsid w:val="2B9F0F9B"/>
    <w:rsid w:val="2C5307C0"/>
    <w:rsid w:val="2CBB04A7"/>
    <w:rsid w:val="2DA65478"/>
    <w:rsid w:val="2DF3BEBF"/>
    <w:rsid w:val="2E4A8890"/>
    <w:rsid w:val="2F61A66F"/>
    <w:rsid w:val="31C17A44"/>
    <w:rsid w:val="329CC399"/>
    <w:rsid w:val="32A3D150"/>
    <w:rsid w:val="33887350"/>
    <w:rsid w:val="33A4D97F"/>
    <w:rsid w:val="3835D11C"/>
    <w:rsid w:val="38828907"/>
    <w:rsid w:val="3AA36DAD"/>
    <w:rsid w:val="3AF5AA02"/>
    <w:rsid w:val="3B2880C3"/>
    <w:rsid w:val="3B4F58DC"/>
    <w:rsid w:val="3BC766AE"/>
    <w:rsid w:val="3C824C36"/>
    <w:rsid w:val="3E386EB0"/>
    <w:rsid w:val="3F3DEDEE"/>
    <w:rsid w:val="3F562AA7"/>
    <w:rsid w:val="3FB65DA6"/>
    <w:rsid w:val="42D76787"/>
    <w:rsid w:val="44440250"/>
    <w:rsid w:val="44F5EF99"/>
    <w:rsid w:val="45170FA7"/>
    <w:rsid w:val="456A197A"/>
    <w:rsid w:val="4594DCB0"/>
    <w:rsid w:val="464CC228"/>
    <w:rsid w:val="481694EF"/>
    <w:rsid w:val="483010B7"/>
    <w:rsid w:val="48318CD2"/>
    <w:rsid w:val="4837DBFB"/>
    <w:rsid w:val="49719F86"/>
    <w:rsid w:val="49761DE3"/>
    <w:rsid w:val="4A0F4469"/>
    <w:rsid w:val="4A82F574"/>
    <w:rsid w:val="4DBA09D2"/>
    <w:rsid w:val="4E09CE48"/>
    <w:rsid w:val="4F95C560"/>
    <w:rsid w:val="4FC0777D"/>
    <w:rsid w:val="515F21E3"/>
    <w:rsid w:val="5235D9C4"/>
    <w:rsid w:val="53AE59B5"/>
    <w:rsid w:val="54206C01"/>
    <w:rsid w:val="5464A96D"/>
    <w:rsid w:val="560B7E67"/>
    <w:rsid w:val="596ED992"/>
    <w:rsid w:val="5A2823B7"/>
    <w:rsid w:val="5AEAE0D2"/>
    <w:rsid w:val="5B153A6D"/>
    <w:rsid w:val="5C058DAF"/>
    <w:rsid w:val="5D7A7CBC"/>
    <w:rsid w:val="5D95E880"/>
    <w:rsid w:val="5ED08700"/>
    <w:rsid w:val="5FE2D299"/>
    <w:rsid w:val="611415E2"/>
    <w:rsid w:val="622E442C"/>
    <w:rsid w:val="62EC16D1"/>
    <w:rsid w:val="630398E7"/>
    <w:rsid w:val="63AF5010"/>
    <w:rsid w:val="63C1204A"/>
    <w:rsid w:val="65B6EDB1"/>
    <w:rsid w:val="65C36706"/>
    <w:rsid w:val="6639BE3F"/>
    <w:rsid w:val="663DE9A2"/>
    <w:rsid w:val="672FF4CC"/>
    <w:rsid w:val="6762A6A9"/>
    <w:rsid w:val="684CB8A3"/>
    <w:rsid w:val="6905FF04"/>
    <w:rsid w:val="69A2815B"/>
    <w:rsid w:val="6A9B6563"/>
    <w:rsid w:val="6B6D2063"/>
    <w:rsid w:val="6BC2B9A1"/>
    <w:rsid w:val="6C248DFD"/>
    <w:rsid w:val="6C282043"/>
    <w:rsid w:val="6CC80519"/>
    <w:rsid w:val="6DD79C75"/>
    <w:rsid w:val="6E7FA9C0"/>
    <w:rsid w:val="6EAA5568"/>
    <w:rsid w:val="6ECFCF1B"/>
    <w:rsid w:val="6F745E6B"/>
    <w:rsid w:val="70585770"/>
    <w:rsid w:val="70AE4FBD"/>
    <w:rsid w:val="70FAD676"/>
    <w:rsid w:val="7202F8DB"/>
    <w:rsid w:val="7257C512"/>
    <w:rsid w:val="75B52533"/>
    <w:rsid w:val="76C0A1FD"/>
    <w:rsid w:val="7744A04E"/>
    <w:rsid w:val="7795BF88"/>
    <w:rsid w:val="77CFA693"/>
    <w:rsid w:val="782D4999"/>
    <w:rsid w:val="79CE5F2B"/>
    <w:rsid w:val="7AAA5F87"/>
    <w:rsid w:val="7B8900B9"/>
    <w:rsid w:val="7CCC4D32"/>
    <w:rsid w:val="7FC00078"/>
  </w:rsids>
  <m:mathPr>
    <m:mathFont m:val="Cambria Math"/>
  </m:mathPr>
  <w:themeFontLang w:val="cs-CZ" w:eastAsia="ja-JP" w:bidi="ar-SA"/>
  <w:clrSchemeMapping w:bg1="light1" w:t1="dark1" w:bg2="light2" w:t2="dark2" w:accent1="accent1" w:accent2="accent2" w:accent3="accent3" w:accent4="accent4" w:accent5="accent5" w:accent6="accent6" w:hyperlink="hyperlink" w:followedHyperlink="followedHyperlink"/>
  <w14:docId w14:val="5FAC0C32"/>
  <w15:docId w15:val="{36F4C6FD-0D6F-4119-BF78-A144F0A89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cs-CZ"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1B5B"/>
    <w:pPr>
      <w:spacing w:before="120" w:line="240" w:lineRule="auto"/>
      <w:jc w:val="both"/>
    </w:pPr>
    <w:rPr>
      <w:color w:val="212121"/>
      <w:sz w:val="22"/>
    </w:rPr>
  </w:style>
  <w:style w:type="paragraph" w:styleId="Heading1">
    <w:name w:val="heading 1"/>
    <w:aliases w:val="NA1"/>
    <w:basedOn w:val="Normal"/>
    <w:next w:val="N2"/>
    <w:link w:val="Nadpis1Char"/>
    <w:uiPriority w:val="9"/>
    <w:qFormat/>
    <w:rsid w:val="00222214"/>
    <w:pPr>
      <w:keepNext/>
      <w:keepLines/>
      <w:numPr>
        <w:numId w:val="10"/>
      </w:numPr>
      <w:jc w:val="left"/>
      <w:outlineLvl w:val="0"/>
    </w:pPr>
    <w:rPr>
      <w:rFonts w:ascii="Calibri" w:hAnsi="Calibri" w:eastAsiaTheme="majorEastAsia" w:cstheme="majorBidi"/>
      <w:b/>
      <w:color w:val="205493"/>
      <w:sz w:val="36"/>
      <w:szCs w:val="32"/>
    </w:rPr>
  </w:style>
  <w:style w:type="paragraph" w:styleId="Heading2">
    <w:name w:val="heading 2"/>
    <w:basedOn w:val="Heading1"/>
    <w:next w:val="Normal"/>
    <w:link w:val="Nadpis2Char"/>
    <w:uiPriority w:val="9"/>
    <w:unhideWhenUsed/>
    <w:qFormat/>
    <w:rsid w:val="00D006B7"/>
    <w:pPr>
      <w:numPr>
        <w:ilvl w:val="1"/>
      </w:numPr>
      <w:outlineLvl w:val="1"/>
    </w:pPr>
    <w:rPr>
      <w:sz w:val="28"/>
      <w:szCs w:val="28"/>
    </w:rPr>
  </w:style>
  <w:style w:type="paragraph" w:styleId="Heading3">
    <w:name w:val="heading 3"/>
    <w:basedOn w:val="Normal"/>
    <w:next w:val="Normal"/>
    <w:link w:val="Nadpis3Char"/>
    <w:uiPriority w:val="9"/>
    <w:unhideWhenUsed/>
    <w:qFormat/>
    <w:rsid w:val="00364F0A"/>
    <w:pPr>
      <w:keepNext/>
      <w:keepLines/>
      <w:numPr>
        <w:ilvl w:val="2"/>
        <w:numId w:val="10"/>
      </w:numPr>
      <w:outlineLvl w:val="2"/>
    </w:pPr>
    <w:rPr>
      <w:rFonts w:asciiTheme="majorHAnsi" w:eastAsiaTheme="majorEastAsia" w:hAnsiTheme="majorHAnsi" w:cstheme="majorBidi"/>
      <w:color w:val="205489"/>
      <w:sz w:val="26"/>
      <w:szCs w:val="26"/>
    </w:rPr>
  </w:style>
  <w:style w:type="paragraph" w:styleId="Heading4">
    <w:name w:val="heading 4"/>
    <w:basedOn w:val="Normal"/>
    <w:next w:val="Normal"/>
    <w:link w:val="Nadpis4Char"/>
    <w:uiPriority w:val="9"/>
    <w:unhideWhenUsed/>
    <w:qFormat/>
    <w:rsid w:val="003B514D"/>
    <w:pPr>
      <w:keepNext/>
      <w:keepLines/>
      <w:widowControl w:val="0"/>
      <w:numPr>
        <w:ilvl w:val="3"/>
        <w:numId w:val="10"/>
      </w:numPr>
      <w:spacing w:after="100" w:afterAutospacing="1"/>
      <w:outlineLvl w:val="3"/>
    </w:pPr>
    <w:rPr>
      <w:rFonts w:asciiTheme="majorHAnsi" w:eastAsiaTheme="majorEastAsia" w:hAnsiTheme="majorHAnsi" w:cstheme="majorBidi"/>
      <w:b/>
      <w:color w:val="365F91" w:themeColor="accent1" w:themeShade="BF"/>
      <w:sz w:val="24"/>
      <w:szCs w:val="28"/>
    </w:rPr>
  </w:style>
  <w:style w:type="paragraph" w:styleId="Heading5">
    <w:name w:val="heading 5"/>
    <w:basedOn w:val="Normal"/>
    <w:next w:val="Normal"/>
    <w:link w:val="Nadpis5Char"/>
    <w:uiPriority w:val="9"/>
    <w:semiHidden/>
    <w:unhideWhenUsed/>
    <w:qFormat/>
    <w:rsid w:val="003E1B2E"/>
    <w:pPr>
      <w:keepNext/>
      <w:keepLines/>
      <w:numPr>
        <w:ilvl w:val="4"/>
        <w:numId w:val="10"/>
      </w:numPr>
      <w:spacing w:before="40" w:after="0"/>
      <w:outlineLvl w:val="4"/>
    </w:pPr>
    <w:rPr>
      <w:rFonts w:asciiTheme="majorHAnsi" w:eastAsiaTheme="majorEastAsia" w:hAnsiTheme="majorHAnsi" w:cstheme="majorBidi"/>
      <w:color w:val="1F497D" w:themeColor="text2"/>
      <w:szCs w:val="22"/>
    </w:rPr>
  </w:style>
  <w:style w:type="paragraph" w:styleId="Heading6">
    <w:name w:val="heading 6"/>
    <w:basedOn w:val="Normal"/>
    <w:next w:val="Normal"/>
    <w:link w:val="Nadpis6Char"/>
    <w:uiPriority w:val="9"/>
    <w:semiHidden/>
    <w:unhideWhenUsed/>
    <w:qFormat/>
    <w:rsid w:val="003E1B2E"/>
    <w:pPr>
      <w:keepNext/>
      <w:keepLines/>
      <w:numPr>
        <w:ilvl w:val="5"/>
        <w:numId w:val="10"/>
      </w:numPr>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Nadpis7Char"/>
    <w:uiPriority w:val="9"/>
    <w:semiHidden/>
    <w:unhideWhenUsed/>
    <w:qFormat/>
    <w:rsid w:val="003E1B2E"/>
    <w:pPr>
      <w:keepNext/>
      <w:keepLines/>
      <w:numPr>
        <w:ilvl w:val="6"/>
        <w:numId w:val="10"/>
      </w:numPr>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Nadpis8Char"/>
    <w:uiPriority w:val="9"/>
    <w:semiHidden/>
    <w:unhideWhenUsed/>
    <w:qFormat/>
    <w:rsid w:val="003E1B2E"/>
    <w:pPr>
      <w:keepNext/>
      <w:keepLines/>
      <w:numPr>
        <w:ilvl w:val="7"/>
        <w:numId w:val="10"/>
      </w:numPr>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Nadpis9Char"/>
    <w:uiPriority w:val="9"/>
    <w:semiHidden/>
    <w:unhideWhenUsed/>
    <w:qFormat/>
    <w:rsid w:val="003E1B2E"/>
    <w:pPr>
      <w:keepNext/>
      <w:keepLines/>
      <w:numPr>
        <w:ilvl w:val="8"/>
        <w:numId w:val="10"/>
      </w:numPr>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adpis1Char">
    <w:name w:val="Nadpis 1 Char"/>
    <w:aliases w:val="NA1 Char"/>
    <w:basedOn w:val="DefaultParagraphFont"/>
    <w:link w:val="Heading1"/>
    <w:uiPriority w:val="9"/>
    <w:rsid w:val="00222214"/>
    <w:rPr>
      <w:rFonts w:ascii="Calibri" w:hAnsi="Calibri" w:eastAsiaTheme="majorEastAsia" w:cstheme="majorBidi"/>
      <w:b/>
      <w:color w:val="205493"/>
      <w:sz w:val="36"/>
      <w:szCs w:val="32"/>
    </w:rPr>
  </w:style>
  <w:style w:type="character" w:customStyle="1" w:styleId="Nadpis2Char">
    <w:name w:val="Nadpis 2 Char"/>
    <w:basedOn w:val="DefaultParagraphFont"/>
    <w:link w:val="Heading2"/>
    <w:uiPriority w:val="9"/>
    <w:rsid w:val="00D006B7"/>
    <w:rPr>
      <w:rFonts w:ascii="Calibri" w:hAnsi="Calibri" w:eastAsiaTheme="majorEastAsia" w:cstheme="majorBidi"/>
      <w:b/>
      <w:color w:val="205493"/>
      <w:sz w:val="28"/>
      <w:szCs w:val="28"/>
    </w:rPr>
  </w:style>
  <w:style w:type="character" w:customStyle="1" w:styleId="Nadpis3Char">
    <w:name w:val="Nadpis 3 Char"/>
    <w:basedOn w:val="DefaultParagraphFont"/>
    <w:link w:val="Heading3"/>
    <w:uiPriority w:val="9"/>
    <w:rsid w:val="00364F0A"/>
    <w:rPr>
      <w:rFonts w:asciiTheme="majorHAnsi" w:eastAsiaTheme="majorEastAsia" w:hAnsiTheme="majorHAnsi" w:cstheme="majorBidi"/>
      <w:color w:val="205489"/>
      <w:sz w:val="26"/>
      <w:szCs w:val="26"/>
    </w:rPr>
  </w:style>
  <w:style w:type="character" w:customStyle="1" w:styleId="Nadpis4Char">
    <w:name w:val="Nadpis 4 Char"/>
    <w:basedOn w:val="DefaultParagraphFont"/>
    <w:link w:val="Heading4"/>
    <w:uiPriority w:val="9"/>
    <w:rsid w:val="003B514D"/>
    <w:rPr>
      <w:rFonts w:asciiTheme="majorHAnsi" w:eastAsiaTheme="majorEastAsia" w:hAnsiTheme="majorHAnsi" w:cstheme="majorBidi"/>
      <w:b/>
      <w:color w:val="365F91" w:themeColor="accent1" w:themeShade="BF"/>
      <w:szCs w:val="28"/>
    </w:rPr>
  </w:style>
  <w:style w:type="character" w:customStyle="1" w:styleId="Nadpis5Char">
    <w:name w:val="Nadpis 5 Char"/>
    <w:basedOn w:val="DefaultParagraphFont"/>
    <w:link w:val="Heading5"/>
    <w:uiPriority w:val="9"/>
    <w:semiHidden/>
    <w:rsid w:val="003E1B2E"/>
    <w:rPr>
      <w:rFonts w:asciiTheme="majorHAnsi" w:eastAsiaTheme="majorEastAsia" w:hAnsiTheme="majorHAnsi" w:cstheme="majorBidi"/>
      <w:color w:val="1F497D" w:themeColor="text2"/>
      <w:sz w:val="22"/>
      <w:szCs w:val="22"/>
    </w:rPr>
  </w:style>
  <w:style w:type="character" w:customStyle="1" w:styleId="Nadpis6Char">
    <w:name w:val="Nadpis 6 Char"/>
    <w:basedOn w:val="DefaultParagraphFont"/>
    <w:link w:val="Heading6"/>
    <w:uiPriority w:val="9"/>
    <w:semiHidden/>
    <w:rsid w:val="003E1B2E"/>
    <w:rPr>
      <w:rFonts w:asciiTheme="majorHAnsi" w:eastAsiaTheme="majorEastAsia" w:hAnsiTheme="majorHAnsi" w:cstheme="majorBidi"/>
      <w:i/>
      <w:iCs/>
      <w:color w:val="1F497D" w:themeColor="text2"/>
      <w:sz w:val="21"/>
      <w:szCs w:val="21"/>
    </w:rPr>
  </w:style>
  <w:style w:type="character" w:customStyle="1" w:styleId="Nadpis7Char">
    <w:name w:val="Nadpis 7 Char"/>
    <w:basedOn w:val="DefaultParagraphFont"/>
    <w:link w:val="Heading7"/>
    <w:uiPriority w:val="9"/>
    <w:semiHidden/>
    <w:rsid w:val="003E1B2E"/>
    <w:rPr>
      <w:rFonts w:asciiTheme="majorHAnsi" w:eastAsiaTheme="majorEastAsia" w:hAnsiTheme="majorHAnsi" w:cstheme="majorBidi"/>
      <w:i/>
      <w:iCs/>
      <w:color w:val="244061" w:themeColor="accent1" w:themeShade="80"/>
      <w:sz w:val="21"/>
      <w:szCs w:val="21"/>
    </w:rPr>
  </w:style>
  <w:style w:type="character" w:customStyle="1" w:styleId="Nadpis8Char">
    <w:name w:val="Nadpis 8 Char"/>
    <w:basedOn w:val="DefaultParagraphFont"/>
    <w:link w:val="Heading8"/>
    <w:uiPriority w:val="9"/>
    <w:semiHidden/>
    <w:rsid w:val="003E1B2E"/>
    <w:rPr>
      <w:rFonts w:asciiTheme="majorHAnsi" w:eastAsiaTheme="majorEastAsia" w:hAnsiTheme="majorHAnsi" w:cstheme="majorBidi"/>
      <w:b/>
      <w:bCs/>
      <w:color w:val="1F497D" w:themeColor="text2"/>
      <w:sz w:val="22"/>
    </w:rPr>
  </w:style>
  <w:style w:type="character" w:customStyle="1" w:styleId="Nadpis9Char">
    <w:name w:val="Nadpis 9 Char"/>
    <w:basedOn w:val="DefaultParagraphFont"/>
    <w:link w:val="Heading9"/>
    <w:uiPriority w:val="9"/>
    <w:semiHidden/>
    <w:rsid w:val="003E1B2E"/>
    <w:rPr>
      <w:rFonts w:asciiTheme="majorHAnsi" w:eastAsiaTheme="majorEastAsia" w:hAnsiTheme="majorHAnsi" w:cstheme="majorBidi"/>
      <w:b/>
      <w:bCs/>
      <w:i/>
      <w:iCs/>
      <w:color w:val="1F497D" w:themeColor="text2"/>
      <w:sz w:val="22"/>
    </w:rPr>
  </w:style>
  <w:style w:type="paragraph" w:styleId="ListParagraph">
    <w:name w:val="List Paragraph"/>
    <w:aliases w:val="Conclusion de partie,List Paragraph1,List Paragraph2,Nad,Nad1,Nad2,Odstavec_muj,Odstavec_muj1,Odstavec_muj10,Odstavec_muj2,Odstavec_muj3,Odstavec_muj4,Odstavec_muj5,Odstavec_muj6,Odstavec_muj7,Odstavec_muj8,Odstavec_muj9,References"/>
    <w:basedOn w:val="Normal"/>
    <w:link w:val="OdstavecseseznamemChar"/>
    <w:uiPriority w:val="34"/>
    <w:qFormat/>
    <w:rsid w:val="001C1232"/>
    <w:pPr>
      <w:numPr>
        <w:numId w:val="7"/>
      </w:numPr>
      <w:autoSpaceDE w:val="0"/>
      <w:autoSpaceDN w:val="0"/>
      <w:adjustRightInd w:val="0"/>
    </w:pPr>
    <w:rPr>
      <w:bCs/>
      <w:szCs w:val="22"/>
    </w:rPr>
  </w:style>
  <w:style w:type="paragraph" w:styleId="Caption">
    <w:name w:val="caption"/>
    <w:basedOn w:val="Normal"/>
    <w:next w:val="Normal"/>
    <w:uiPriority w:val="35"/>
    <w:unhideWhenUsed/>
    <w:qFormat/>
    <w:rsid w:val="003E1B2E"/>
    <w:rPr>
      <w:b/>
      <w:bCs/>
      <w:smallCaps/>
      <w:spacing w:val="6"/>
    </w:rPr>
  </w:style>
  <w:style w:type="paragraph" w:styleId="Title">
    <w:name w:val="Title"/>
    <w:basedOn w:val="Normal"/>
    <w:next w:val="Normal"/>
    <w:link w:val="NzevChar"/>
    <w:uiPriority w:val="10"/>
    <w:qFormat/>
    <w:rsid w:val="00662F69"/>
    <w:pPr>
      <w:spacing w:before="240" w:after="240"/>
      <w:contextualSpacing/>
    </w:pPr>
    <w:rPr>
      <w:rFonts w:asciiTheme="majorHAnsi" w:eastAsiaTheme="majorEastAsia" w:hAnsiTheme="majorHAnsi" w:cstheme="majorBidi"/>
      <w:color w:val="4472C4"/>
      <w:spacing w:val="-10"/>
      <w:sz w:val="56"/>
      <w:szCs w:val="56"/>
    </w:rPr>
  </w:style>
  <w:style w:type="character" w:customStyle="1" w:styleId="NzevChar">
    <w:name w:val="Název Char"/>
    <w:basedOn w:val="DefaultParagraphFont"/>
    <w:link w:val="Title"/>
    <w:uiPriority w:val="10"/>
    <w:rsid w:val="00662F69"/>
    <w:rPr>
      <w:rFonts w:asciiTheme="majorHAnsi" w:eastAsiaTheme="majorEastAsia" w:hAnsiTheme="majorHAnsi" w:cstheme="majorBidi"/>
      <w:color w:val="4472C4"/>
      <w:spacing w:val="-10"/>
      <w:sz w:val="56"/>
      <w:szCs w:val="56"/>
    </w:rPr>
  </w:style>
  <w:style w:type="paragraph" w:styleId="Subtitle">
    <w:name w:val="Subtitle"/>
    <w:basedOn w:val="Normal"/>
    <w:next w:val="Normal"/>
    <w:link w:val="PodnadpisChar"/>
    <w:qFormat/>
    <w:rsid w:val="003E1B2E"/>
    <w:pPr>
      <w:numPr>
        <w:ilvl w:val="1"/>
      </w:numPr>
    </w:pPr>
    <w:rPr>
      <w:rFonts w:asciiTheme="majorHAnsi" w:eastAsiaTheme="majorEastAsia" w:hAnsiTheme="majorHAnsi" w:cstheme="majorBidi"/>
    </w:rPr>
  </w:style>
  <w:style w:type="character" w:customStyle="1" w:styleId="PodnadpisChar">
    <w:name w:val="Podnadpis Char"/>
    <w:basedOn w:val="DefaultParagraphFont"/>
    <w:link w:val="Subtitle"/>
    <w:rsid w:val="003E1B2E"/>
    <w:rPr>
      <w:rFonts w:asciiTheme="majorHAnsi" w:eastAsiaTheme="majorEastAsia" w:hAnsiTheme="majorHAnsi" w:cstheme="majorBidi"/>
      <w:sz w:val="24"/>
      <w:szCs w:val="24"/>
    </w:rPr>
  </w:style>
  <w:style w:type="character" w:styleId="Strong">
    <w:name w:val="Strong"/>
    <w:basedOn w:val="DefaultParagraphFont"/>
    <w:uiPriority w:val="22"/>
    <w:qFormat/>
    <w:rsid w:val="003E1B2E"/>
    <w:rPr>
      <w:b/>
      <w:bCs/>
    </w:rPr>
  </w:style>
  <w:style w:type="character" w:styleId="Emphasis">
    <w:name w:val="Emphasis"/>
    <w:basedOn w:val="DefaultParagraphFont"/>
    <w:uiPriority w:val="20"/>
    <w:qFormat/>
    <w:rsid w:val="003E1B2E"/>
    <w:rPr>
      <w:i/>
      <w:iCs/>
    </w:rPr>
  </w:style>
  <w:style w:type="paragraph" w:styleId="NoSpacing">
    <w:name w:val="No Spacing"/>
    <w:link w:val="BezmezerChar"/>
    <w:uiPriority w:val="1"/>
    <w:qFormat/>
    <w:rsid w:val="003E1B2E"/>
    <w:pPr>
      <w:spacing w:after="0" w:line="240" w:lineRule="auto"/>
    </w:pPr>
  </w:style>
  <w:style w:type="paragraph" w:styleId="Quote">
    <w:name w:val="Quote"/>
    <w:basedOn w:val="Normal"/>
    <w:next w:val="Normal"/>
    <w:link w:val="CittChar"/>
    <w:uiPriority w:val="29"/>
    <w:qFormat/>
    <w:rsid w:val="003E1B2E"/>
    <w:pPr>
      <w:spacing w:before="160"/>
      <w:ind w:left="720" w:right="720"/>
    </w:pPr>
    <w:rPr>
      <w:i/>
      <w:iCs/>
      <w:color w:val="404040" w:themeColor="text1" w:themeTint="BF"/>
    </w:rPr>
  </w:style>
  <w:style w:type="character" w:customStyle="1" w:styleId="CittChar">
    <w:name w:val="Citát Char"/>
    <w:basedOn w:val="DefaultParagraphFont"/>
    <w:link w:val="Quote"/>
    <w:uiPriority w:val="29"/>
    <w:rsid w:val="003E1B2E"/>
    <w:rPr>
      <w:i/>
      <w:iCs/>
      <w:color w:val="404040" w:themeColor="text1" w:themeTint="BF"/>
    </w:rPr>
  </w:style>
  <w:style w:type="paragraph" w:styleId="IntenseQuote">
    <w:name w:val="Intense Quote"/>
    <w:basedOn w:val="Normal"/>
    <w:next w:val="Normal"/>
    <w:link w:val="VrazncittChar"/>
    <w:uiPriority w:val="30"/>
    <w:qFormat/>
    <w:rsid w:val="003E1B2E"/>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VrazncittChar">
    <w:name w:val="Výrazný citát Char"/>
    <w:basedOn w:val="DefaultParagraphFont"/>
    <w:link w:val="IntenseQuote"/>
    <w:uiPriority w:val="30"/>
    <w:rsid w:val="003E1B2E"/>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3E1B2E"/>
    <w:rPr>
      <w:i/>
      <w:iCs/>
      <w:color w:val="404040" w:themeColor="text1" w:themeTint="BF"/>
    </w:rPr>
  </w:style>
  <w:style w:type="character" w:styleId="IntenseEmphasis">
    <w:name w:val="Intense Emphasis"/>
    <w:basedOn w:val="DefaultParagraphFont"/>
    <w:uiPriority w:val="21"/>
    <w:qFormat/>
    <w:rsid w:val="003E1B2E"/>
    <w:rPr>
      <w:b/>
      <w:bCs/>
      <w:i/>
      <w:iCs/>
    </w:rPr>
  </w:style>
  <w:style w:type="character" w:styleId="SubtleReference">
    <w:name w:val="Subtle Reference"/>
    <w:basedOn w:val="DefaultParagraphFont"/>
    <w:uiPriority w:val="31"/>
    <w:qFormat/>
    <w:rsid w:val="003E1B2E"/>
    <w:rPr>
      <w:smallCaps/>
      <w:color w:val="404040" w:themeColor="text1" w:themeTint="BF"/>
      <w:u w:val="single" w:color="7F7F7F"/>
    </w:rPr>
  </w:style>
  <w:style w:type="character" w:styleId="IntenseReference">
    <w:name w:val="Intense Reference"/>
    <w:basedOn w:val="DefaultParagraphFont"/>
    <w:uiPriority w:val="32"/>
    <w:qFormat/>
    <w:rsid w:val="003E1B2E"/>
    <w:rPr>
      <w:b/>
      <w:bCs/>
      <w:smallCaps/>
      <w:spacing w:val="5"/>
      <w:u w:val="single"/>
    </w:rPr>
  </w:style>
  <w:style w:type="character" w:styleId="BookTitle">
    <w:name w:val="Book Title"/>
    <w:basedOn w:val="DefaultParagraphFont"/>
    <w:uiPriority w:val="33"/>
    <w:qFormat/>
    <w:rsid w:val="003E1B2E"/>
    <w:rPr>
      <w:b/>
      <w:bCs/>
      <w:smallCaps/>
    </w:rPr>
  </w:style>
  <w:style w:type="paragraph" w:styleId="TOCHeading">
    <w:name w:val="TOC Heading"/>
    <w:basedOn w:val="Heading1"/>
    <w:next w:val="Normal"/>
    <w:uiPriority w:val="39"/>
    <w:unhideWhenUsed/>
    <w:qFormat/>
    <w:rsid w:val="003E1B2E"/>
    <w:pPr>
      <w:outlineLvl w:val="9"/>
    </w:pPr>
  </w:style>
  <w:style w:type="paragraph" w:styleId="Header">
    <w:name w:val="header"/>
    <w:basedOn w:val="Normal"/>
    <w:link w:val="ZhlavChar"/>
    <w:uiPriority w:val="99"/>
    <w:unhideWhenUsed/>
    <w:rsid w:val="003E1B2E"/>
    <w:pPr>
      <w:tabs>
        <w:tab w:val="center" w:pos="4536"/>
        <w:tab w:val="right" w:pos="9072"/>
      </w:tabs>
      <w:spacing w:after="0"/>
    </w:pPr>
  </w:style>
  <w:style w:type="character" w:customStyle="1" w:styleId="ZhlavChar">
    <w:name w:val="Záhlaví Char"/>
    <w:basedOn w:val="DefaultParagraphFont"/>
    <w:link w:val="Header"/>
    <w:uiPriority w:val="99"/>
    <w:rsid w:val="003E1B2E"/>
  </w:style>
  <w:style w:type="paragraph" w:styleId="Footer">
    <w:name w:val="footer"/>
    <w:basedOn w:val="Normal"/>
    <w:link w:val="ZpatChar"/>
    <w:uiPriority w:val="99"/>
    <w:unhideWhenUsed/>
    <w:rsid w:val="003E1B2E"/>
    <w:pPr>
      <w:tabs>
        <w:tab w:val="center" w:pos="4536"/>
        <w:tab w:val="right" w:pos="9072"/>
      </w:tabs>
      <w:spacing w:after="0"/>
    </w:pPr>
  </w:style>
  <w:style w:type="character" w:customStyle="1" w:styleId="ZpatChar">
    <w:name w:val="Zápatí Char"/>
    <w:basedOn w:val="DefaultParagraphFont"/>
    <w:link w:val="Footer"/>
    <w:uiPriority w:val="99"/>
    <w:rsid w:val="003E1B2E"/>
  </w:style>
  <w:style w:type="character" w:customStyle="1" w:styleId="BezmezerChar">
    <w:name w:val="Bez mezer Char"/>
    <w:basedOn w:val="DefaultParagraphFont"/>
    <w:link w:val="NoSpacing"/>
    <w:uiPriority w:val="1"/>
    <w:rsid w:val="006641F9"/>
  </w:style>
  <w:style w:type="character" w:customStyle="1" w:styleId="apple-converted-space">
    <w:name w:val="apple-converted-space"/>
    <w:basedOn w:val="DefaultParagraphFont"/>
    <w:rsid w:val="00D06557"/>
  </w:style>
  <w:style w:type="paragraph" w:styleId="TOC1">
    <w:name w:val="toc 1"/>
    <w:basedOn w:val="Normal"/>
    <w:next w:val="Normal"/>
    <w:autoRedefine/>
    <w:uiPriority w:val="39"/>
    <w:unhideWhenUsed/>
    <w:qFormat/>
    <w:rsid w:val="00B46C2A"/>
    <w:pPr>
      <w:tabs>
        <w:tab w:val="left" w:pos="284"/>
        <w:tab w:val="right" w:leader="dot" w:pos="9072"/>
      </w:tabs>
      <w:spacing w:before="0" w:after="0"/>
      <w:ind w:hanging="567"/>
      <w:jc w:val="left"/>
    </w:pPr>
  </w:style>
  <w:style w:type="character" w:styleId="Hyperlink">
    <w:name w:val="Hyperlink"/>
    <w:basedOn w:val="DefaultParagraphFont"/>
    <w:uiPriority w:val="99"/>
    <w:unhideWhenUsed/>
    <w:rsid w:val="002C3751"/>
    <w:rPr>
      <w:noProof/>
      <w:color w:val="0000FF" w:themeColor="hyperlink"/>
      <w:u w:val="single"/>
    </w:rPr>
  </w:style>
  <w:style w:type="paragraph" w:styleId="TOC2">
    <w:name w:val="toc 2"/>
    <w:basedOn w:val="Normal"/>
    <w:next w:val="Normal"/>
    <w:autoRedefine/>
    <w:uiPriority w:val="39"/>
    <w:unhideWhenUsed/>
    <w:qFormat/>
    <w:rsid w:val="00926AD5"/>
    <w:pPr>
      <w:tabs>
        <w:tab w:val="left" w:pos="960"/>
        <w:tab w:val="right" w:leader="dot" w:pos="9072"/>
      </w:tabs>
      <w:spacing w:before="0" w:after="0"/>
      <w:ind w:left="993" w:hanging="709"/>
      <w:contextualSpacing/>
      <w:jc w:val="left"/>
    </w:pPr>
  </w:style>
  <w:style w:type="paragraph" w:customStyle="1" w:styleId="Normlnpom">
    <w:name w:val="Normální pom"/>
    <w:basedOn w:val="Normal"/>
    <w:link w:val="NormlnpomChar"/>
    <w:qFormat/>
    <w:rsid w:val="00204449"/>
    <w:rPr>
      <w:rFonts w:ascii="Calibri Light" w:eastAsia="MS Mincho" w:hAnsi="Calibri Light" w:cs="Times New Roman"/>
      <w:color w:val="08A484"/>
      <w:sz w:val="28"/>
      <w:szCs w:val="28"/>
    </w:rPr>
  </w:style>
  <w:style w:type="character" w:customStyle="1" w:styleId="NormlnpomChar">
    <w:name w:val="Normální pom Char"/>
    <w:basedOn w:val="DefaultParagraphFont"/>
    <w:link w:val="Normlnpom"/>
    <w:rsid w:val="00204449"/>
    <w:rPr>
      <w:rFonts w:ascii="Calibri Light" w:eastAsia="MS Mincho" w:hAnsi="Calibri Light" w:cs="Times New Roman"/>
      <w:color w:val="08A484"/>
      <w:sz w:val="28"/>
      <w:szCs w:val="28"/>
    </w:rPr>
  </w:style>
  <w:style w:type="paragraph" w:styleId="BalloonText">
    <w:name w:val="Balloon Text"/>
    <w:basedOn w:val="Normal"/>
    <w:link w:val="TextbublinyChar"/>
    <w:uiPriority w:val="99"/>
    <w:semiHidden/>
    <w:unhideWhenUsed/>
    <w:rsid w:val="0027485F"/>
    <w:pPr>
      <w:spacing w:before="0" w:after="0"/>
    </w:pPr>
    <w:rPr>
      <w:rFonts w:ascii="Tahoma" w:hAnsi="Tahoma" w:cs="Tahoma"/>
      <w:sz w:val="16"/>
      <w:szCs w:val="16"/>
    </w:rPr>
  </w:style>
  <w:style w:type="character" w:customStyle="1" w:styleId="TextbublinyChar">
    <w:name w:val="Text bubliny Char"/>
    <w:basedOn w:val="DefaultParagraphFont"/>
    <w:link w:val="BalloonText"/>
    <w:uiPriority w:val="99"/>
    <w:semiHidden/>
    <w:rsid w:val="0027485F"/>
    <w:rPr>
      <w:rFonts w:ascii="Tahoma" w:hAnsi="Tahoma" w:cs="Tahoma"/>
      <w:color w:val="212121"/>
      <w:sz w:val="16"/>
      <w:szCs w:val="16"/>
    </w:rPr>
  </w:style>
  <w:style w:type="character" w:customStyle="1" w:styleId="TextpoznpodarouChar1">
    <w:name w:val="Text pozn. pod čarou Char1"/>
    <w:aliases w:val="Char Char Char1 Char,Char Char1 Char,Char Char2,Char1 Char1,Footnote Text Char Char1,Footnote Text Char1 Char1 Char Char,Schriftart: 10 pt Char1,Schriftart: 8 pt Char1,Schriftart: 9 pt Char1,c obr Char,fn Char"/>
    <w:basedOn w:val="DefaultParagraphFont"/>
    <w:link w:val="FootnoteText"/>
    <w:rsid w:val="00412CE9"/>
    <w:rPr>
      <w:rFonts w:ascii="Calibri" w:eastAsia="Times New Roman" w:hAnsi="Calibri" w:cs="Times New Roman"/>
      <w:sz w:val="22"/>
      <w:szCs w:val="20"/>
      <w:lang w:val="en-US"/>
    </w:rPr>
  </w:style>
  <w:style w:type="character" w:styleId="FootnoteReference">
    <w:name w:val="footnote reference"/>
    <w:aliases w:val="Appel note de bas de p,Appel note de bas de page,BVI fnr,Char Car Car Car Car,Exposant 3 Point,Footnote Reference Superscript,Footnote reference number,Footnote symbol,Légende,PGI Fußnote Ziffer,R,Times 10 Point,Voetnootverwijzing"/>
    <w:basedOn w:val="DefaultParagraphFont"/>
    <w:link w:val="FootnotesymbolCarZchn"/>
    <w:unhideWhenUsed/>
    <w:qFormat/>
    <w:rsid w:val="0027485F"/>
    <w:rPr>
      <w:vertAlign w:val="superscript"/>
    </w:rPr>
  </w:style>
  <w:style w:type="paragraph" w:styleId="FootnoteText">
    <w:name w:val="footnote text"/>
    <w:aliases w:val="Char,Char Char Char1,Char Char1,Char1,Footnote Text Char,Footnote Text Char Char,Footnote Text Char Char Char Char,Footnote Text Char1 Char1 Char,Footnote Text1 Char,Schriftart: 10 pt,Schriftart: 8 pt,Schriftart: 9 pt,c obr,fn"/>
    <w:basedOn w:val="Normal"/>
    <w:link w:val="TextpoznpodarouChar1"/>
    <w:unhideWhenUsed/>
    <w:qFormat/>
    <w:rsid w:val="00412CE9"/>
    <w:pPr>
      <w:suppressAutoHyphens/>
      <w:spacing w:before="0" w:after="0"/>
      <w:jc w:val="center"/>
    </w:pPr>
    <w:rPr>
      <w:rFonts w:ascii="Calibri" w:eastAsia="Times New Roman" w:hAnsi="Calibri" w:cs="Times New Roman"/>
      <w:color w:val="auto"/>
      <w:szCs w:val="20"/>
      <w:lang w:val="en-US"/>
    </w:rPr>
  </w:style>
  <w:style w:type="character" w:customStyle="1" w:styleId="FootnoteTextChar1">
    <w:name w:val="Footnote Text Char1"/>
    <w:basedOn w:val="DefaultParagraphFont"/>
    <w:uiPriority w:val="99"/>
    <w:semiHidden/>
    <w:rsid w:val="0027485F"/>
    <w:rPr>
      <w:color w:val="212121"/>
    </w:rPr>
  </w:style>
  <w:style w:type="paragraph" w:customStyle="1" w:styleId="texttabulka">
    <w:name w:val="text tabulka"/>
    <w:basedOn w:val="ListParagraph"/>
    <w:uiPriority w:val="99"/>
    <w:qFormat/>
    <w:rsid w:val="0027485F"/>
    <w:pPr>
      <w:suppressAutoHyphens/>
      <w:spacing w:before="0"/>
      <w:ind w:left="0"/>
    </w:pPr>
    <w:rPr>
      <w:rFonts w:ascii="Times New Roman" w:eastAsia="Times New Roman" w:hAnsi="Times New Roman" w:cs="Times New Roman"/>
      <w:color w:val="auto"/>
      <w:sz w:val="20"/>
      <w:lang w:val="en-US"/>
    </w:rPr>
  </w:style>
  <w:style w:type="table" w:styleId="TableGrid">
    <w:name w:val="Table Grid"/>
    <w:basedOn w:val="TableNormal"/>
    <w:uiPriority w:val="59"/>
    <w:rsid w:val="0027485F"/>
    <w:pPr>
      <w:spacing w:after="0" w:line="240" w:lineRule="auto"/>
    </w:pPr>
    <w:rPr>
      <w:rFonts w:eastAsiaTheme="minorHAns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malnadpis">
    <w:name w:val="d malý nadpis"/>
    <w:basedOn w:val="ListParagraph"/>
    <w:link w:val="dmalnadpisChar"/>
    <w:qFormat/>
    <w:rsid w:val="00975AD3"/>
    <w:pPr>
      <w:numPr>
        <w:numId w:val="0"/>
      </w:numPr>
      <w:suppressAutoHyphens/>
      <w:spacing w:before="240" w:after="240"/>
      <w:jc w:val="left"/>
    </w:pPr>
    <w:rPr>
      <w:rFonts w:ascii="Calibri" w:eastAsia="Times New Roman" w:hAnsi="Calibri" w:cs="Times New Roman"/>
      <w:b/>
      <w:color w:val="auto"/>
      <w:sz w:val="24"/>
    </w:rPr>
  </w:style>
  <w:style w:type="character" w:customStyle="1" w:styleId="dmalnadpisChar">
    <w:name w:val="d malý nadpis Char"/>
    <w:basedOn w:val="DefaultParagraphFont"/>
    <w:link w:val="dmalnadpis"/>
    <w:rsid w:val="00975AD3"/>
    <w:rPr>
      <w:rFonts w:ascii="Calibri" w:eastAsia="Times New Roman" w:hAnsi="Calibri" w:cs="Times New Roman"/>
      <w:b/>
      <w:bCs/>
      <w:szCs w:val="22"/>
    </w:rPr>
  </w:style>
  <w:style w:type="paragraph" w:customStyle="1" w:styleId="Podkapitola11">
    <w:name w:val="Podkapitola 1.1."/>
    <w:basedOn w:val="Heading1"/>
    <w:link w:val="Podkapitola11Char"/>
    <w:autoRedefine/>
    <w:qFormat/>
    <w:rsid w:val="005A46CA"/>
    <w:pPr>
      <w:numPr>
        <w:numId w:val="46"/>
      </w:numPr>
    </w:pPr>
    <w:rPr>
      <w:sz w:val="32"/>
    </w:rPr>
  </w:style>
  <w:style w:type="paragraph" w:customStyle="1" w:styleId="Podkapitola111opaten">
    <w:name w:val="Podkapitola 1.1.1./opatření"/>
    <w:basedOn w:val="Podkapitola11"/>
    <w:link w:val="Podkapitola111opatenChar"/>
    <w:qFormat/>
    <w:rsid w:val="0027485F"/>
    <w:rPr>
      <w:b w:val="0"/>
      <w:sz w:val="24"/>
    </w:rPr>
  </w:style>
  <w:style w:type="character" w:customStyle="1" w:styleId="Podkapitola11Char">
    <w:name w:val="Podkapitola 1.1. Char"/>
    <w:basedOn w:val="dmalnadpisChar"/>
    <w:link w:val="Podkapitola11"/>
    <w:rsid w:val="005A46CA"/>
    <w:rPr>
      <w:rFonts w:ascii="Calibri" w:hAnsi="Calibri" w:eastAsiaTheme="majorEastAsia" w:cstheme="majorBidi"/>
      <w:b/>
      <w:bCs w:val="0"/>
      <w:color w:val="205493"/>
      <w:sz w:val="32"/>
      <w:szCs w:val="32"/>
    </w:rPr>
  </w:style>
  <w:style w:type="paragraph" w:customStyle="1" w:styleId="Podkapitola1111">
    <w:name w:val="Podkapitola 1.1.1.1."/>
    <w:basedOn w:val="Podkapitola111opaten"/>
    <w:link w:val="Podkapitola1111Char"/>
    <w:qFormat/>
    <w:rsid w:val="0027485F"/>
    <w:pPr>
      <w:numPr>
        <w:ilvl w:val="3"/>
      </w:numPr>
      <w:ind w:left="1283"/>
    </w:pPr>
    <w:rPr>
      <w:b/>
    </w:rPr>
  </w:style>
  <w:style w:type="character" w:customStyle="1" w:styleId="Podkapitola111opatenChar">
    <w:name w:val="Podkapitola 1.1.1./opatření Char"/>
    <w:basedOn w:val="Podkapitola11Char"/>
    <w:link w:val="Podkapitola111opaten"/>
    <w:rsid w:val="0064631E"/>
    <w:rPr>
      <w:rFonts w:ascii="Calibri" w:hAnsi="Calibri" w:eastAsiaTheme="majorEastAsia" w:cstheme="majorBidi"/>
      <w:b w:val="0"/>
      <w:bCs w:val="0"/>
      <w:color w:val="205493"/>
      <w:sz w:val="32"/>
      <w:szCs w:val="32"/>
    </w:rPr>
  </w:style>
  <w:style w:type="character" w:customStyle="1" w:styleId="OdstavecseseznamemChar">
    <w:name w:val="Odstavec se seznamem Char"/>
    <w:aliases w:val="Conclusion de partie Char,List Paragraph1 Char,List Paragraph2 Char,Nad Char,Nad1 Char,Nad2 Char,Odstavec_muj Char,Odstavec_muj1 Char,Odstavec_muj2 Char,Odstavec_muj3 Char,Odstavec_muj4 Char,Odstavec_muj5 Char,References Char"/>
    <w:basedOn w:val="DefaultParagraphFont"/>
    <w:link w:val="ListParagraph"/>
    <w:uiPriority w:val="34"/>
    <w:qFormat/>
    <w:rsid w:val="001C1232"/>
    <w:rPr>
      <w:bCs/>
      <w:color w:val="212121"/>
      <w:sz w:val="22"/>
      <w:szCs w:val="22"/>
    </w:rPr>
  </w:style>
  <w:style w:type="character" w:customStyle="1" w:styleId="Podkapitola1111Char">
    <w:name w:val="Podkapitola 1.1.1.1. Char"/>
    <w:basedOn w:val="Podkapitola111opatenChar"/>
    <w:link w:val="Podkapitola1111"/>
    <w:rsid w:val="00FD3B77"/>
    <w:rPr>
      <w:rFonts w:ascii="Calibri" w:hAnsi="Calibri" w:eastAsiaTheme="majorEastAsia" w:cstheme="majorBidi"/>
      <w:b/>
      <w:bCs w:val="0"/>
      <w:color w:val="205493"/>
      <w:sz w:val="32"/>
      <w:szCs w:val="32"/>
    </w:rPr>
  </w:style>
  <w:style w:type="character" w:styleId="CommentReference">
    <w:name w:val="annotation reference"/>
    <w:basedOn w:val="DefaultParagraphFont"/>
    <w:uiPriority w:val="99"/>
    <w:unhideWhenUsed/>
    <w:rsid w:val="00316AC1"/>
    <w:rPr>
      <w:sz w:val="16"/>
      <w:szCs w:val="16"/>
    </w:rPr>
  </w:style>
  <w:style w:type="paragraph" w:styleId="TOC3">
    <w:name w:val="toc 3"/>
    <w:basedOn w:val="Normal"/>
    <w:next w:val="Normal"/>
    <w:autoRedefine/>
    <w:uiPriority w:val="39"/>
    <w:unhideWhenUsed/>
    <w:qFormat/>
    <w:rsid w:val="00316AC1"/>
    <w:pPr>
      <w:spacing w:after="100"/>
      <w:ind w:left="480"/>
    </w:pPr>
  </w:style>
  <w:style w:type="paragraph" w:customStyle="1" w:styleId="Bntext">
    <w:name w:val="Běžný text"/>
    <w:basedOn w:val="BodyTextIndent2"/>
    <w:link w:val="BntextChar"/>
    <w:qFormat/>
    <w:rsid w:val="00E93A86"/>
    <w:pPr>
      <w:spacing w:line="276" w:lineRule="auto"/>
      <w:ind w:left="0" w:firstLine="578"/>
    </w:pPr>
    <w:rPr>
      <w:rFonts w:ascii="Calibri" w:eastAsia="Times New Roman" w:hAnsi="Calibri" w:cs="Times New Roman"/>
      <w:lang w:val="en-US" w:eastAsia="cs-CZ"/>
    </w:rPr>
  </w:style>
  <w:style w:type="character" w:customStyle="1" w:styleId="BntextChar">
    <w:name w:val="Běžný text Char"/>
    <w:basedOn w:val="Zkladntextodsazen2Char"/>
    <w:link w:val="Bntext"/>
    <w:rsid w:val="00E93A86"/>
    <w:rPr>
      <w:rFonts w:ascii="Calibri" w:eastAsia="Times New Roman" w:hAnsi="Calibri" w:cs="Times New Roman"/>
      <w:color w:val="212121"/>
      <w:sz w:val="22"/>
      <w:szCs w:val="24"/>
      <w:lang w:val="en-US" w:eastAsia="cs-CZ"/>
    </w:rPr>
  </w:style>
  <w:style w:type="paragraph" w:styleId="BodyTextIndent2">
    <w:name w:val="Body Text Indent 2"/>
    <w:basedOn w:val="Normal"/>
    <w:link w:val="Zkladntextodsazen2Char"/>
    <w:uiPriority w:val="99"/>
    <w:semiHidden/>
    <w:unhideWhenUsed/>
    <w:rsid w:val="001D3961"/>
    <w:pPr>
      <w:spacing w:line="480" w:lineRule="auto"/>
      <w:ind w:left="283"/>
    </w:pPr>
  </w:style>
  <w:style w:type="character" w:customStyle="1" w:styleId="Zkladntextodsazen2Char">
    <w:name w:val="Základní text odsazený 2 Char"/>
    <w:basedOn w:val="DefaultParagraphFont"/>
    <w:link w:val="BodyTextIndent2"/>
    <w:uiPriority w:val="99"/>
    <w:semiHidden/>
    <w:rsid w:val="001D3961"/>
    <w:rPr>
      <w:color w:val="212121"/>
      <w:sz w:val="24"/>
      <w:szCs w:val="24"/>
    </w:rPr>
  </w:style>
  <w:style w:type="character" w:customStyle="1" w:styleId="TextkomenteChar">
    <w:name w:val="Text komentáře Char"/>
    <w:basedOn w:val="DefaultParagraphFont"/>
    <w:link w:val="CommentText"/>
    <w:uiPriority w:val="99"/>
    <w:rsid w:val="00BD2C2A"/>
    <w:rPr>
      <w:rFonts w:ascii="Times New Roman" w:eastAsia="Times New Roman" w:hAnsi="Times New Roman" w:cs="Times New Roman"/>
      <w:lang w:val="en-US"/>
    </w:rPr>
  </w:style>
  <w:style w:type="paragraph" w:styleId="CommentText">
    <w:name w:val="annotation text"/>
    <w:basedOn w:val="Normal"/>
    <w:link w:val="TextkomenteChar"/>
    <w:uiPriority w:val="99"/>
    <w:unhideWhenUsed/>
    <w:rsid w:val="00BD2C2A"/>
    <w:pPr>
      <w:suppressAutoHyphens/>
      <w:spacing w:before="0" w:after="0"/>
      <w:jc w:val="left"/>
    </w:pPr>
    <w:rPr>
      <w:rFonts w:ascii="Times New Roman" w:eastAsia="Times New Roman" w:hAnsi="Times New Roman" w:cs="Times New Roman"/>
      <w:color w:val="auto"/>
      <w:sz w:val="20"/>
      <w:szCs w:val="20"/>
      <w:lang w:val="en-US"/>
    </w:rPr>
  </w:style>
  <w:style w:type="character" w:customStyle="1" w:styleId="CommentTextChar1">
    <w:name w:val="Comment Text Char1"/>
    <w:basedOn w:val="DefaultParagraphFont"/>
    <w:uiPriority w:val="99"/>
    <w:semiHidden/>
    <w:rsid w:val="00BD2C2A"/>
    <w:rPr>
      <w:color w:val="212121"/>
    </w:rPr>
  </w:style>
  <w:style w:type="paragraph" w:customStyle="1" w:styleId="Nadpis21pom">
    <w:name w:val="Nadpis 21pom"/>
    <w:basedOn w:val="Normal"/>
    <w:link w:val="Nadpis21pomChar"/>
    <w:qFormat/>
    <w:rsid w:val="004C4E2F"/>
    <w:pPr>
      <w:keepNext/>
      <w:keepLines/>
      <w:tabs>
        <w:tab w:val="left" w:pos="1843"/>
      </w:tabs>
      <w:spacing w:before="240"/>
      <w:ind w:left="357" w:hanging="357"/>
      <w:jc w:val="left"/>
      <w:outlineLvl w:val="1"/>
    </w:pPr>
    <w:rPr>
      <w:rFonts w:ascii="Calibri Light" w:eastAsia="MS Gothic" w:hAnsi="Calibri Light" w:cs="Times New Roman"/>
      <w:color w:val="2E74B5"/>
      <w:sz w:val="26"/>
      <w:szCs w:val="26"/>
    </w:rPr>
  </w:style>
  <w:style w:type="character" w:customStyle="1" w:styleId="Nadpis21pomChar">
    <w:name w:val="Nadpis 21pom Char"/>
    <w:basedOn w:val="DefaultParagraphFont"/>
    <w:link w:val="Nadpis21pom"/>
    <w:rsid w:val="004C4E2F"/>
    <w:rPr>
      <w:rFonts w:ascii="Calibri Light" w:eastAsia="MS Gothic" w:hAnsi="Calibri Light" w:cs="Times New Roman"/>
      <w:color w:val="2E74B5"/>
      <w:sz w:val="26"/>
      <w:szCs w:val="26"/>
    </w:rPr>
  </w:style>
  <w:style w:type="paragraph" w:customStyle="1" w:styleId="1">
    <w:name w:val="1"/>
    <w:basedOn w:val="Normal"/>
    <w:link w:val="1Char"/>
    <w:qFormat/>
    <w:rsid w:val="00240B71"/>
    <w:pPr>
      <w:keepNext/>
      <w:keepLines/>
      <w:widowControl w:val="0"/>
      <w:spacing w:before="240" w:after="60"/>
    </w:pPr>
    <w:rPr>
      <w:rFonts w:ascii="Calibri" w:eastAsia="MS Mincho" w:hAnsi="Calibri" w:cs="Times New Roman"/>
      <w:b/>
      <w:color w:val="365F91" w:themeColor="accent1" w:themeShade="BF"/>
      <w:sz w:val="36"/>
    </w:rPr>
  </w:style>
  <w:style w:type="character" w:customStyle="1" w:styleId="1Char">
    <w:name w:val="1 Char"/>
    <w:basedOn w:val="DefaultParagraphFont"/>
    <w:link w:val="1"/>
    <w:rsid w:val="00240B71"/>
    <w:rPr>
      <w:rFonts w:ascii="Calibri" w:eastAsia="MS Mincho" w:hAnsi="Calibri" w:cs="Times New Roman"/>
      <w:b/>
      <w:color w:val="365F91" w:themeColor="accent1" w:themeShade="BF"/>
      <w:sz w:val="36"/>
    </w:rPr>
  </w:style>
  <w:style w:type="paragraph" w:customStyle="1" w:styleId="Opaten">
    <w:name w:val="Opatření"/>
    <w:basedOn w:val="Normal"/>
    <w:link w:val="OpatenChar"/>
    <w:qFormat/>
    <w:rsid w:val="00D9467F"/>
    <w:pPr>
      <w:keepNext/>
      <w:keepLines/>
      <w:tabs>
        <w:tab w:val="left" w:pos="1560"/>
      </w:tabs>
      <w:spacing w:before="240"/>
      <w:ind w:left="357" w:hanging="357"/>
      <w:jc w:val="left"/>
      <w:outlineLvl w:val="3"/>
    </w:pPr>
    <w:rPr>
      <w:rFonts w:ascii="Calibri Light" w:eastAsia="MS Gothic" w:hAnsi="Calibri Light" w:cs="Times New Roman"/>
      <w:color w:val="1F4D78"/>
    </w:rPr>
  </w:style>
  <w:style w:type="character" w:customStyle="1" w:styleId="OpatenChar">
    <w:name w:val="Opatření Char"/>
    <w:basedOn w:val="DefaultParagraphFont"/>
    <w:link w:val="Opaten"/>
    <w:rsid w:val="00D9467F"/>
    <w:rPr>
      <w:rFonts w:ascii="Calibri Light" w:eastAsia="MS Gothic" w:hAnsi="Calibri Light" w:cs="Times New Roman"/>
      <w:color w:val="1F4D78"/>
      <w:sz w:val="24"/>
      <w:szCs w:val="24"/>
    </w:rPr>
  </w:style>
  <w:style w:type="paragraph" w:customStyle="1" w:styleId="NA10">
    <w:name w:val="NA1."/>
    <w:basedOn w:val="Normlnpom"/>
    <w:link w:val="NA1Char0"/>
    <w:qFormat/>
    <w:rsid w:val="000C1834"/>
    <w:pPr>
      <w:widowControl w:val="0"/>
      <w:spacing w:before="240" w:after="60"/>
    </w:pPr>
    <w:rPr>
      <w:b/>
      <w:sz w:val="24"/>
      <w:szCs w:val="24"/>
    </w:rPr>
  </w:style>
  <w:style w:type="character" w:customStyle="1" w:styleId="NA1Char0">
    <w:name w:val="NA1. Char"/>
    <w:basedOn w:val="NormlnpomChar"/>
    <w:link w:val="NA10"/>
    <w:rsid w:val="000C1834"/>
    <w:rPr>
      <w:rFonts w:ascii="Calibri Light" w:eastAsia="MS Mincho" w:hAnsi="Calibri Light" w:cs="Times New Roman"/>
      <w:b/>
      <w:color w:val="08A484"/>
      <w:sz w:val="24"/>
      <w:szCs w:val="24"/>
    </w:rPr>
  </w:style>
  <w:style w:type="paragraph" w:customStyle="1" w:styleId="2">
    <w:name w:val="2"/>
    <w:basedOn w:val="ListParagraph"/>
    <w:link w:val="2Char"/>
    <w:qFormat/>
    <w:rsid w:val="00E93A86"/>
    <w:pPr>
      <w:keepNext/>
      <w:widowControl w:val="0"/>
      <w:numPr>
        <w:numId w:val="0"/>
      </w:numPr>
      <w:outlineLvl w:val="4"/>
    </w:pPr>
    <w:rPr>
      <w:rFonts w:ascii="Calibri" w:hAnsi="Calibri"/>
      <w:b/>
      <w:color w:val="4F81BD" w:themeColor="accent1"/>
      <w:sz w:val="28"/>
    </w:rPr>
  </w:style>
  <w:style w:type="paragraph" w:styleId="TOC4">
    <w:name w:val="toc 4"/>
    <w:basedOn w:val="Normal"/>
    <w:next w:val="Normal"/>
    <w:autoRedefine/>
    <w:uiPriority w:val="39"/>
    <w:unhideWhenUsed/>
    <w:rsid w:val="008051B6"/>
    <w:pPr>
      <w:spacing w:after="100"/>
      <w:ind w:left="720"/>
    </w:pPr>
  </w:style>
  <w:style w:type="character" w:customStyle="1" w:styleId="2Char">
    <w:name w:val="2 Char"/>
    <w:basedOn w:val="OdstavecseseznamemChar"/>
    <w:link w:val="2"/>
    <w:rsid w:val="00E93A86"/>
    <w:rPr>
      <w:rFonts w:ascii="Calibri" w:hAnsi="Calibri"/>
      <w:b/>
      <w:bCs/>
      <w:color w:val="4F81BD" w:themeColor="accent1"/>
      <w:sz w:val="28"/>
      <w:szCs w:val="22"/>
    </w:rPr>
  </w:style>
  <w:style w:type="paragraph" w:styleId="CommentSubject">
    <w:name w:val="annotation subject"/>
    <w:basedOn w:val="CommentText"/>
    <w:next w:val="CommentText"/>
    <w:link w:val="PedmtkomenteChar"/>
    <w:uiPriority w:val="99"/>
    <w:semiHidden/>
    <w:unhideWhenUsed/>
    <w:rsid w:val="00216F7E"/>
    <w:pPr>
      <w:suppressAutoHyphens w:val="0"/>
      <w:spacing w:before="360" w:after="360"/>
      <w:jc w:val="both"/>
    </w:pPr>
    <w:rPr>
      <w:rFonts w:asciiTheme="minorHAnsi" w:eastAsiaTheme="minorEastAsia" w:hAnsiTheme="minorHAnsi" w:cstheme="minorBidi"/>
      <w:b/>
      <w:bCs/>
      <w:color w:val="212121"/>
      <w:lang w:val="cs-CZ"/>
    </w:rPr>
  </w:style>
  <w:style w:type="character" w:customStyle="1" w:styleId="PedmtkomenteChar">
    <w:name w:val="Předmět komentáře Char"/>
    <w:basedOn w:val="TextkomenteChar"/>
    <w:link w:val="CommentSubject"/>
    <w:uiPriority w:val="99"/>
    <w:semiHidden/>
    <w:rsid w:val="00216F7E"/>
    <w:rPr>
      <w:rFonts w:ascii="Times New Roman" w:eastAsia="Times New Roman" w:hAnsi="Times New Roman" w:cs="Times New Roman"/>
      <w:b/>
      <w:bCs/>
      <w:color w:val="212121"/>
      <w:lang w:val="en-US"/>
    </w:rPr>
  </w:style>
  <w:style w:type="table" w:customStyle="1" w:styleId="TableGrid1">
    <w:name w:val="Table Grid1"/>
    <w:basedOn w:val="TableNormal"/>
    <w:next w:val="TableGrid"/>
    <w:uiPriority w:val="59"/>
    <w:rsid w:val="00CD3599"/>
    <w:pPr>
      <w:spacing w:after="0" w:line="240" w:lineRule="auto"/>
    </w:pPr>
    <w:rPr>
      <w:rFonts w:eastAsia="Calibr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D3599"/>
    <w:pPr>
      <w:spacing w:after="0" w:line="240" w:lineRule="auto"/>
    </w:pPr>
    <w:rPr>
      <w:rFonts w:eastAsia="Calibr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textovodkaz1">
    <w:name w:val="Hypertextový odkaz1"/>
    <w:basedOn w:val="DefaultParagraphFont"/>
    <w:rsid w:val="00387234"/>
    <w:rPr>
      <w:color w:val="0563C1"/>
      <w:u w:val="single"/>
    </w:rPr>
  </w:style>
  <w:style w:type="paragraph" w:customStyle="1" w:styleId="Textpoznpodarou1">
    <w:name w:val="Text pozn. pod čarou1"/>
    <w:basedOn w:val="Normal"/>
    <w:next w:val="FootnoteText"/>
    <w:link w:val="TextpoznpodarouChar"/>
    <w:uiPriority w:val="99"/>
    <w:unhideWhenUsed/>
    <w:rsid w:val="00387234"/>
    <w:pPr>
      <w:spacing w:before="0" w:after="0"/>
      <w:jc w:val="left"/>
    </w:pPr>
    <w:rPr>
      <w:rFonts w:ascii="Times New Roman" w:eastAsia="Times New Roman" w:hAnsi="Times New Roman" w:cs="Times New Roman"/>
      <w:color w:val="auto"/>
      <w:sz w:val="20"/>
      <w:szCs w:val="20"/>
      <w:lang w:eastAsia="cs-CZ"/>
    </w:rPr>
  </w:style>
  <w:style w:type="character" w:customStyle="1" w:styleId="TextpoznpodarouChar">
    <w:name w:val="Text pozn. pod čarou Char"/>
    <w:aliases w:val="Char Char,Char Char Char Char,Char1 Char,Footnote Char,Geneva 9 Char,Podrozdzia3 Char,Podrozdział Char,Schriftart: 10 pt Char,Schriftart: 8 pt Char,Schriftart: 9 pt Char,Text poznámky pod čiarou 007 Char,pozn. pod čarou Char"/>
    <w:basedOn w:val="DefaultParagraphFont"/>
    <w:link w:val="Textpoznpodarou1"/>
    <w:rsid w:val="00387234"/>
    <w:rPr>
      <w:rFonts w:ascii="Times New Roman" w:eastAsia="Times New Roman" w:hAnsi="Times New Roman" w:cs="Times New Roman"/>
      <w:lang w:eastAsia="cs-CZ"/>
    </w:rPr>
  </w:style>
  <w:style w:type="paragraph" w:styleId="TOC5">
    <w:name w:val="toc 5"/>
    <w:basedOn w:val="Normal"/>
    <w:next w:val="Normal"/>
    <w:autoRedefine/>
    <w:uiPriority w:val="39"/>
    <w:unhideWhenUsed/>
    <w:rsid w:val="006D2398"/>
    <w:pPr>
      <w:spacing w:after="100"/>
      <w:ind w:left="960"/>
    </w:pPr>
  </w:style>
  <w:style w:type="paragraph" w:customStyle="1" w:styleId="Nadpis11">
    <w:name w:val="Nadpis 11"/>
    <w:basedOn w:val="Normal"/>
    <w:next w:val="Normal"/>
    <w:uiPriority w:val="9"/>
    <w:qFormat/>
    <w:rsid w:val="00725ECB"/>
    <w:pPr>
      <w:keepNext/>
      <w:keepLines/>
      <w:numPr>
        <w:numId w:val="3"/>
      </w:numPr>
      <w:spacing w:before="240" w:after="0"/>
      <w:jc w:val="left"/>
      <w:outlineLvl w:val="0"/>
    </w:pPr>
    <w:rPr>
      <w:rFonts w:ascii="Calibri Light" w:eastAsia="MS Gothic" w:hAnsi="Calibri Light" w:cs="Times New Roman"/>
      <w:color w:val="2E74B5"/>
      <w:sz w:val="32"/>
      <w:szCs w:val="32"/>
    </w:rPr>
  </w:style>
  <w:style w:type="paragraph" w:customStyle="1" w:styleId="Nadpis21">
    <w:name w:val="Nadpis 21"/>
    <w:basedOn w:val="Normal"/>
    <w:next w:val="Normal"/>
    <w:uiPriority w:val="9"/>
    <w:unhideWhenUsed/>
    <w:qFormat/>
    <w:rsid w:val="00725ECB"/>
    <w:pPr>
      <w:keepNext/>
      <w:keepLines/>
      <w:numPr>
        <w:ilvl w:val="1"/>
        <w:numId w:val="3"/>
      </w:numPr>
      <w:tabs>
        <w:tab w:val="left" w:pos="1843"/>
      </w:tabs>
      <w:spacing w:before="40" w:after="0"/>
      <w:jc w:val="left"/>
      <w:outlineLvl w:val="1"/>
    </w:pPr>
    <w:rPr>
      <w:rFonts w:ascii="Calibri Light" w:eastAsia="MS Gothic" w:hAnsi="Calibri Light" w:cs="Times New Roman"/>
      <w:color w:val="2E74B5"/>
      <w:sz w:val="26"/>
      <w:szCs w:val="26"/>
    </w:rPr>
  </w:style>
  <w:style w:type="paragraph" w:customStyle="1" w:styleId="Nadpis31">
    <w:name w:val="Nadpis 31"/>
    <w:basedOn w:val="Normal"/>
    <w:next w:val="Normal"/>
    <w:link w:val="Nadpis31Char"/>
    <w:uiPriority w:val="9"/>
    <w:unhideWhenUsed/>
    <w:qFormat/>
    <w:rsid w:val="00D9467F"/>
    <w:pPr>
      <w:keepNext/>
      <w:keepLines/>
      <w:numPr>
        <w:ilvl w:val="2"/>
        <w:numId w:val="3"/>
      </w:numPr>
      <w:tabs>
        <w:tab w:val="left" w:pos="1560"/>
      </w:tabs>
      <w:spacing w:before="40" w:after="0"/>
      <w:jc w:val="left"/>
      <w:outlineLvl w:val="3"/>
    </w:pPr>
    <w:rPr>
      <w:rFonts w:ascii="Calibri Light" w:eastAsia="MS Gothic" w:hAnsi="Calibri Light" w:cs="Times New Roman"/>
      <w:color w:val="1F4D78"/>
    </w:rPr>
  </w:style>
  <w:style w:type="paragraph" w:customStyle="1" w:styleId="Nadpis41">
    <w:name w:val="Nadpis 41"/>
    <w:basedOn w:val="Normal"/>
    <w:next w:val="Normal"/>
    <w:uiPriority w:val="9"/>
    <w:semiHidden/>
    <w:unhideWhenUsed/>
    <w:qFormat/>
    <w:rsid w:val="00725ECB"/>
    <w:pPr>
      <w:keepNext/>
      <w:keepLines/>
      <w:numPr>
        <w:ilvl w:val="3"/>
        <w:numId w:val="2"/>
      </w:numPr>
      <w:spacing w:before="40" w:after="0"/>
      <w:jc w:val="left"/>
      <w:outlineLvl w:val="3"/>
    </w:pPr>
    <w:rPr>
      <w:rFonts w:ascii="Calibri Light" w:eastAsia="MS Gothic" w:hAnsi="Calibri Light" w:cs="Times New Roman"/>
      <w:i/>
      <w:iCs/>
      <w:color w:val="2E74B5"/>
    </w:rPr>
  </w:style>
  <w:style w:type="paragraph" w:customStyle="1" w:styleId="Nadpis51">
    <w:name w:val="Nadpis 51"/>
    <w:basedOn w:val="Normal"/>
    <w:next w:val="Normal"/>
    <w:uiPriority w:val="9"/>
    <w:semiHidden/>
    <w:unhideWhenUsed/>
    <w:qFormat/>
    <w:rsid w:val="00725ECB"/>
    <w:pPr>
      <w:keepNext/>
      <w:keepLines/>
      <w:numPr>
        <w:ilvl w:val="4"/>
        <w:numId w:val="2"/>
      </w:numPr>
      <w:spacing w:before="40" w:after="0"/>
      <w:jc w:val="left"/>
      <w:outlineLvl w:val="4"/>
    </w:pPr>
    <w:rPr>
      <w:rFonts w:ascii="Calibri Light" w:eastAsia="MS Gothic" w:hAnsi="Calibri Light" w:cs="Times New Roman"/>
      <w:color w:val="2E74B5"/>
    </w:rPr>
  </w:style>
  <w:style w:type="paragraph" w:customStyle="1" w:styleId="Nadpis61">
    <w:name w:val="Nadpis 61"/>
    <w:basedOn w:val="Normal"/>
    <w:next w:val="Normal"/>
    <w:uiPriority w:val="9"/>
    <w:semiHidden/>
    <w:unhideWhenUsed/>
    <w:qFormat/>
    <w:rsid w:val="00725ECB"/>
    <w:pPr>
      <w:keepNext/>
      <w:keepLines/>
      <w:numPr>
        <w:ilvl w:val="5"/>
        <w:numId w:val="2"/>
      </w:numPr>
      <w:spacing w:before="40" w:after="0"/>
      <w:jc w:val="left"/>
      <w:outlineLvl w:val="5"/>
    </w:pPr>
    <w:rPr>
      <w:rFonts w:ascii="Calibri Light" w:eastAsia="MS Gothic" w:hAnsi="Calibri Light" w:cs="Times New Roman"/>
      <w:color w:val="1F4D78"/>
    </w:rPr>
  </w:style>
  <w:style w:type="paragraph" w:customStyle="1" w:styleId="Nadpis71">
    <w:name w:val="Nadpis 71"/>
    <w:basedOn w:val="Normal"/>
    <w:next w:val="Normal"/>
    <w:uiPriority w:val="9"/>
    <w:semiHidden/>
    <w:unhideWhenUsed/>
    <w:qFormat/>
    <w:rsid w:val="00725ECB"/>
    <w:pPr>
      <w:keepNext/>
      <w:keepLines/>
      <w:numPr>
        <w:ilvl w:val="6"/>
        <w:numId w:val="2"/>
      </w:numPr>
      <w:spacing w:before="40" w:after="0"/>
      <w:jc w:val="left"/>
      <w:outlineLvl w:val="6"/>
    </w:pPr>
    <w:rPr>
      <w:rFonts w:ascii="Calibri Light" w:eastAsia="MS Gothic" w:hAnsi="Calibri Light" w:cs="Times New Roman"/>
      <w:i/>
      <w:iCs/>
      <w:color w:val="1F4D78"/>
    </w:rPr>
  </w:style>
  <w:style w:type="paragraph" w:customStyle="1" w:styleId="Nadpis81">
    <w:name w:val="Nadpis 81"/>
    <w:basedOn w:val="Normal"/>
    <w:next w:val="Normal"/>
    <w:uiPriority w:val="9"/>
    <w:semiHidden/>
    <w:unhideWhenUsed/>
    <w:qFormat/>
    <w:rsid w:val="00725ECB"/>
    <w:pPr>
      <w:keepNext/>
      <w:keepLines/>
      <w:numPr>
        <w:ilvl w:val="7"/>
        <w:numId w:val="2"/>
      </w:numPr>
      <w:spacing w:before="40" w:after="0"/>
      <w:jc w:val="left"/>
      <w:outlineLvl w:val="7"/>
    </w:pPr>
    <w:rPr>
      <w:rFonts w:ascii="Calibri Light" w:eastAsia="MS Gothic" w:hAnsi="Calibri Light" w:cs="Times New Roman"/>
      <w:color w:val="272727"/>
      <w:sz w:val="21"/>
      <w:szCs w:val="21"/>
    </w:rPr>
  </w:style>
  <w:style w:type="paragraph" w:customStyle="1" w:styleId="Nadpis91">
    <w:name w:val="Nadpis 91"/>
    <w:basedOn w:val="Normal"/>
    <w:next w:val="Normal"/>
    <w:uiPriority w:val="9"/>
    <w:semiHidden/>
    <w:unhideWhenUsed/>
    <w:qFormat/>
    <w:rsid w:val="00725ECB"/>
    <w:pPr>
      <w:keepNext/>
      <w:keepLines/>
      <w:numPr>
        <w:ilvl w:val="8"/>
        <w:numId w:val="2"/>
      </w:numPr>
      <w:spacing w:before="40" w:after="0"/>
      <w:jc w:val="left"/>
      <w:outlineLvl w:val="8"/>
    </w:pPr>
    <w:rPr>
      <w:rFonts w:ascii="Calibri Light" w:eastAsia="MS Gothic" w:hAnsi="Calibri Light" w:cs="Times New Roman"/>
      <w:i/>
      <w:iCs/>
      <w:color w:val="272727"/>
      <w:sz w:val="21"/>
      <w:szCs w:val="21"/>
    </w:rPr>
  </w:style>
  <w:style w:type="numbering" w:customStyle="1" w:styleId="Goallist">
    <w:name w:val="Goal list"/>
    <w:uiPriority w:val="99"/>
    <w:rsid w:val="00725ECB"/>
    <w:pPr>
      <w:numPr>
        <w:numId w:val="5"/>
      </w:numPr>
    </w:pPr>
  </w:style>
  <w:style w:type="paragraph" w:customStyle="1" w:styleId="Titulek1">
    <w:name w:val="Titulek1"/>
    <w:basedOn w:val="Normal"/>
    <w:next w:val="Normal"/>
    <w:uiPriority w:val="35"/>
    <w:unhideWhenUsed/>
    <w:qFormat/>
    <w:rsid w:val="00725ECB"/>
    <w:pPr>
      <w:spacing w:before="0" w:after="200"/>
      <w:jc w:val="left"/>
    </w:pPr>
    <w:rPr>
      <w:rFonts w:ascii="Calibri" w:eastAsia="MS Mincho" w:hAnsi="Calibri" w:cs="Times New Roman"/>
      <w:i/>
      <w:iCs/>
      <w:color w:val="44546A"/>
      <w:sz w:val="18"/>
      <w:szCs w:val="18"/>
    </w:rPr>
  </w:style>
  <w:style w:type="character" w:customStyle="1" w:styleId="Nadpis31Char">
    <w:name w:val="Nadpis 31 Char"/>
    <w:basedOn w:val="DefaultParagraphFont"/>
    <w:link w:val="Nadpis31"/>
    <w:uiPriority w:val="9"/>
    <w:rsid w:val="00D9467F"/>
    <w:rPr>
      <w:rFonts w:ascii="Calibri Light" w:eastAsia="MS Gothic" w:hAnsi="Calibri Light" w:cs="Times New Roman"/>
      <w:color w:val="1F4D78"/>
      <w:sz w:val="22"/>
    </w:rPr>
  </w:style>
  <w:style w:type="character" w:customStyle="1" w:styleId="Nadpis31pomChar">
    <w:name w:val="Nadpis31pom Char"/>
    <w:basedOn w:val="DefaultParagraphFont"/>
    <w:link w:val="Nadpis31pom"/>
    <w:locked/>
    <w:rsid w:val="00725ECB"/>
    <w:rPr>
      <w:rFonts w:ascii="Calibri Light" w:eastAsia="MS Gothic" w:hAnsi="Calibri Light"/>
      <w:color w:val="1F4D78"/>
      <w:sz w:val="24"/>
      <w:szCs w:val="24"/>
    </w:rPr>
  </w:style>
  <w:style w:type="paragraph" w:customStyle="1" w:styleId="Nadpis31pom">
    <w:name w:val="Nadpis31pom"/>
    <w:basedOn w:val="Normal"/>
    <w:link w:val="Nadpis31pomChar"/>
    <w:qFormat/>
    <w:rsid w:val="00725ECB"/>
    <w:pPr>
      <w:keepNext/>
      <w:keepLines/>
      <w:tabs>
        <w:tab w:val="left" w:pos="1560"/>
      </w:tabs>
      <w:spacing w:before="40" w:after="0"/>
      <w:ind w:left="357" w:hanging="357"/>
      <w:jc w:val="left"/>
      <w:outlineLvl w:val="2"/>
    </w:pPr>
    <w:rPr>
      <w:rFonts w:ascii="Calibri Light" w:eastAsia="MS Gothic" w:hAnsi="Calibri Light"/>
      <w:color w:val="1F4D78"/>
    </w:rPr>
  </w:style>
  <w:style w:type="paragraph" w:styleId="Revision">
    <w:name w:val="Revision"/>
    <w:hidden/>
    <w:uiPriority w:val="99"/>
    <w:semiHidden/>
    <w:rsid w:val="00F43686"/>
    <w:pPr>
      <w:spacing w:after="0" w:line="240" w:lineRule="auto"/>
    </w:pPr>
    <w:rPr>
      <w:color w:val="212121"/>
      <w:sz w:val="22"/>
    </w:rPr>
  </w:style>
  <w:style w:type="paragraph" w:customStyle="1" w:styleId="Odstavecseseznamem1">
    <w:name w:val="Odstavec se seznamem1"/>
    <w:basedOn w:val="BodyText"/>
    <w:next w:val="ListParagraph"/>
    <w:uiPriority w:val="34"/>
    <w:qFormat/>
    <w:rsid w:val="004F3869"/>
    <w:pPr>
      <w:numPr>
        <w:numId w:val="4"/>
      </w:numPr>
    </w:pPr>
    <w:rPr>
      <w:rFonts w:ascii="Calibri" w:eastAsia="MS Mincho" w:hAnsi="Calibri" w:cs="Times New Roman"/>
      <w:color w:val="auto"/>
      <w:sz w:val="24"/>
    </w:rPr>
  </w:style>
  <w:style w:type="paragraph" w:styleId="BodyText">
    <w:name w:val="Body Text"/>
    <w:basedOn w:val="Normal"/>
    <w:link w:val="ZkladntextChar"/>
    <w:uiPriority w:val="99"/>
    <w:unhideWhenUsed/>
    <w:rsid w:val="004F3869"/>
  </w:style>
  <w:style w:type="character" w:customStyle="1" w:styleId="ZkladntextChar">
    <w:name w:val="Základní text Char"/>
    <w:basedOn w:val="DefaultParagraphFont"/>
    <w:link w:val="BodyText"/>
    <w:uiPriority w:val="99"/>
    <w:rsid w:val="004F3869"/>
    <w:rPr>
      <w:color w:val="212121"/>
      <w:sz w:val="22"/>
      <w:szCs w:val="24"/>
    </w:rPr>
  </w:style>
  <w:style w:type="table" w:customStyle="1" w:styleId="TableGrid3">
    <w:name w:val="Table Grid3"/>
    <w:basedOn w:val="TableNormal"/>
    <w:next w:val="TableGrid"/>
    <w:rsid w:val="004F3869"/>
    <w:pPr>
      <w:spacing w:after="0" w:line="240" w:lineRule="auto"/>
    </w:pPr>
    <w:rPr>
      <w:rFonts w:ascii="Times New Roman" w:eastAsia="Times New Roman" w:hAnsi="Times New Roman" w:cs="Times New Roman"/>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972CBF"/>
    <w:pPr>
      <w:spacing w:before="0" w:after="100" w:line="276" w:lineRule="auto"/>
      <w:ind w:left="1100"/>
      <w:jc w:val="left"/>
    </w:pPr>
    <w:rPr>
      <w:color w:val="auto"/>
      <w:szCs w:val="22"/>
      <w:lang w:eastAsia="cs-CZ"/>
    </w:rPr>
  </w:style>
  <w:style w:type="paragraph" w:styleId="TOC7">
    <w:name w:val="toc 7"/>
    <w:basedOn w:val="Normal"/>
    <w:next w:val="Normal"/>
    <w:autoRedefine/>
    <w:uiPriority w:val="39"/>
    <w:unhideWhenUsed/>
    <w:rsid w:val="00972CBF"/>
    <w:pPr>
      <w:spacing w:before="0" w:after="100" w:line="276" w:lineRule="auto"/>
      <w:ind w:left="1320"/>
      <w:jc w:val="left"/>
    </w:pPr>
    <w:rPr>
      <w:color w:val="auto"/>
      <w:szCs w:val="22"/>
      <w:lang w:eastAsia="cs-CZ"/>
    </w:rPr>
  </w:style>
  <w:style w:type="paragraph" w:styleId="TOC8">
    <w:name w:val="toc 8"/>
    <w:basedOn w:val="Normal"/>
    <w:next w:val="Normal"/>
    <w:autoRedefine/>
    <w:uiPriority w:val="39"/>
    <w:unhideWhenUsed/>
    <w:rsid w:val="00972CBF"/>
    <w:pPr>
      <w:spacing w:before="0" w:after="100" w:line="276" w:lineRule="auto"/>
      <w:ind w:left="1540"/>
      <w:jc w:val="left"/>
    </w:pPr>
    <w:rPr>
      <w:color w:val="auto"/>
      <w:szCs w:val="22"/>
      <w:lang w:eastAsia="cs-CZ"/>
    </w:rPr>
  </w:style>
  <w:style w:type="paragraph" w:styleId="TOC9">
    <w:name w:val="toc 9"/>
    <w:basedOn w:val="Normal"/>
    <w:next w:val="Normal"/>
    <w:autoRedefine/>
    <w:uiPriority w:val="39"/>
    <w:unhideWhenUsed/>
    <w:rsid w:val="00972CBF"/>
    <w:pPr>
      <w:spacing w:before="0" w:after="100" w:line="276" w:lineRule="auto"/>
      <w:ind w:left="1760"/>
      <w:jc w:val="left"/>
    </w:pPr>
    <w:rPr>
      <w:color w:val="auto"/>
      <w:szCs w:val="22"/>
      <w:lang w:eastAsia="cs-CZ"/>
    </w:rPr>
  </w:style>
  <w:style w:type="paragraph" w:styleId="NormalWeb">
    <w:name w:val="Normal (Web)"/>
    <w:basedOn w:val="Normal"/>
    <w:uiPriority w:val="99"/>
    <w:unhideWhenUsed/>
    <w:rsid w:val="00291691"/>
    <w:pPr>
      <w:spacing w:before="0" w:after="0"/>
      <w:jc w:val="left"/>
    </w:pPr>
    <w:rPr>
      <w:rFonts w:ascii="Times New Roman" w:hAnsi="Times New Roman" w:eastAsiaTheme="minorHAnsi" w:cs="Times New Roman"/>
      <w:color w:val="auto"/>
      <w:sz w:val="24"/>
      <w:lang w:eastAsia="cs-CZ"/>
    </w:rPr>
  </w:style>
  <w:style w:type="paragraph" w:customStyle="1" w:styleId="Default">
    <w:name w:val="Default"/>
    <w:rsid w:val="00D05C86"/>
    <w:pPr>
      <w:autoSpaceDE w:val="0"/>
      <w:autoSpaceDN w:val="0"/>
      <w:adjustRightInd w:val="0"/>
      <w:spacing w:after="0" w:line="240" w:lineRule="auto"/>
    </w:pPr>
    <w:rPr>
      <w:rFonts w:ascii="Arial" w:hAnsi="Arial" w:cs="Arial"/>
      <w:color w:val="000000"/>
    </w:rPr>
  </w:style>
  <w:style w:type="character" w:customStyle="1" w:styleId="odrkyChar">
    <w:name w:val="odrážky Char"/>
    <w:basedOn w:val="DefaultParagraphFont"/>
    <w:link w:val="odrky"/>
    <w:locked/>
    <w:rsid w:val="00DA7AB0"/>
    <w:rPr>
      <w:sz w:val="20"/>
      <w:szCs w:val="20"/>
    </w:rPr>
  </w:style>
  <w:style w:type="paragraph" w:customStyle="1" w:styleId="odrky">
    <w:name w:val="odrážky"/>
    <w:basedOn w:val="Normal"/>
    <w:link w:val="odrkyChar"/>
    <w:rsid w:val="00DA7AB0"/>
    <w:pPr>
      <w:numPr>
        <w:numId w:val="6"/>
      </w:numPr>
      <w:spacing w:before="60" w:after="0"/>
      <w:contextualSpacing/>
    </w:pPr>
    <w:rPr>
      <w:color w:val="auto"/>
      <w:sz w:val="20"/>
      <w:szCs w:val="20"/>
    </w:rPr>
  </w:style>
  <w:style w:type="character" w:customStyle="1" w:styleId="Zkladntext2">
    <w:name w:val="Základní text (2)"/>
    <w:basedOn w:val="DefaultParagraphFont"/>
    <w:rsid w:val="00B93885"/>
    <w:rPr>
      <w:rFonts w:ascii="Arial" w:eastAsia="Arial" w:hAnsi="Arial" w:cs="Arial"/>
      <w:b w:val="0"/>
      <w:bCs w:val="0"/>
      <w:i w:val="0"/>
      <w:iCs w:val="0"/>
      <w:smallCaps w:val="0"/>
      <w:strike w:val="0"/>
      <w:color w:val="000000"/>
      <w:spacing w:val="0"/>
      <w:w w:val="100"/>
      <w:position w:val="0"/>
      <w:sz w:val="18"/>
      <w:szCs w:val="18"/>
      <w:u w:val="none"/>
      <w:lang w:val="cs-CZ" w:eastAsia="cs-CZ" w:bidi="cs-CZ"/>
    </w:rPr>
  </w:style>
  <w:style w:type="character" w:customStyle="1" w:styleId="Zkladntext20">
    <w:name w:val="Základní text (2)_"/>
    <w:basedOn w:val="DefaultParagraphFont"/>
    <w:rsid w:val="00B93885"/>
    <w:rPr>
      <w:rFonts w:ascii="Arial" w:eastAsia="Arial" w:hAnsi="Arial" w:cs="Arial"/>
      <w:b w:val="0"/>
      <w:bCs w:val="0"/>
      <w:i w:val="0"/>
      <w:iCs w:val="0"/>
      <w:smallCaps w:val="0"/>
      <w:strike w:val="0"/>
      <w:sz w:val="18"/>
      <w:szCs w:val="18"/>
      <w:u w:val="none"/>
    </w:rPr>
  </w:style>
  <w:style w:type="character" w:customStyle="1" w:styleId="Zkladntext4">
    <w:name w:val="Základní text (4)_"/>
    <w:basedOn w:val="DefaultParagraphFont"/>
    <w:link w:val="Zkladntext40"/>
    <w:rsid w:val="00B93885"/>
    <w:rPr>
      <w:rFonts w:ascii="Arial" w:eastAsia="Arial" w:hAnsi="Arial" w:cs="Arial"/>
      <w:b/>
      <w:bCs/>
      <w:sz w:val="16"/>
      <w:szCs w:val="16"/>
      <w:shd w:val="clear" w:color="auto" w:fill="FFFFFF"/>
    </w:rPr>
  </w:style>
  <w:style w:type="paragraph" w:customStyle="1" w:styleId="Zkladntext40">
    <w:name w:val="Základní text (4)"/>
    <w:basedOn w:val="Normal"/>
    <w:link w:val="Zkladntext4"/>
    <w:rsid w:val="00B93885"/>
    <w:pPr>
      <w:widowControl w:val="0"/>
      <w:shd w:val="clear" w:color="auto" w:fill="FFFFFF"/>
      <w:spacing w:after="0" w:line="0" w:lineRule="atLeast"/>
      <w:jc w:val="left"/>
    </w:pPr>
    <w:rPr>
      <w:rFonts w:ascii="Arial" w:eastAsia="Arial" w:hAnsi="Arial" w:cs="Arial"/>
      <w:b/>
      <w:bCs/>
      <w:color w:val="auto"/>
      <w:sz w:val="16"/>
      <w:szCs w:val="16"/>
    </w:rPr>
  </w:style>
  <w:style w:type="paragraph" w:customStyle="1" w:styleId="nadpis3">
    <w:name w:val="nadpis 3"/>
    <w:basedOn w:val="NA2"/>
    <w:link w:val="nadpis3Char0"/>
    <w:qFormat/>
    <w:rsid w:val="007B0BF4"/>
    <w:pPr>
      <w:numPr>
        <w:ilvl w:val="0"/>
        <w:numId w:val="0"/>
      </w:numPr>
    </w:pPr>
    <w:rPr>
      <w:sz w:val="24"/>
    </w:rPr>
  </w:style>
  <w:style w:type="character" w:customStyle="1" w:styleId="nadpis3Char0">
    <w:name w:val="nadpis 3 Char"/>
    <w:basedOn w:val="Nadpis2Char"/>
    <w:link w:val="nadpis3"/>
    <w:rsid w:val="007B0BF4"/>
    <w:rPr>
      <w:rFonts w:ascii="Georgia" w:hAnsi="Georgia" w:eastAsiaTheme="majorEastAsia" w:cstheme="majorBidi"/>
      <w:b/>
      <w:color w:val="205493"/>
      <w:sz w:val="28"/>
      <w:szCs w:val="32"/>
    </w:rPr>
  </w:style>
  <w:style w:type="paragraph" w:customStyle="1" w:styleId="N2">
    <w:name w:val="N2"/>
    <w:basedOn w:val="Heading1"/>
    <w:link w:val="N2Char"/>
    <w:rsid w:val="00FD2AD2"/>
    <w:pPr>
      <w:numPr>
        <w:numId w:val="9"/>
      </w:numPr>
    </w:pPr>
    <w:rPr>
      <w:sz w:val="28"/>
    </w:rPr>
  </w:style>
  <w:style w:type="paragraph" w:customStyle="1" w:styleId="NA2">
    <w:name w:val="NA2"/>
    <w:basedOn w:val="N2"/>
    <w:link w:val="NA2Char"/>
    <w:qFormat/>
    <w:rsid w:val="00956FA7"/>
    <w:pPr>
      <w:numPr>
        <w:ilvl w:val="1"/>
        <w:numId w:val="8"/>
      </w:numPr>
    </w:pPr>
  </w:style>
  <w:style w:type="character" w:customStyle="1" w:styleId="N2Char">
    <w:name w:val="N2 Char"/>
    <w:basedOn w:val="Nadpis2Char"/>
    <w:link w:val="N2"/>
    <w:rsid w:val="00FD2AD2"/>
    <w:rPr>
      <w:rFonts w:ascii="Calibri" w:hAnsi="Calibri" w:eastAsiaTheme="majorEastAsia" w:cstheme="majorBidi"/>
      <w:b/>
      <w:color w:val="205493"/>
      <w:sz w:val="28"/>
      <w:szCs w:val="32"/>
    </w:rPr>
  </w:style>
  <w:style w:type="paragraph" w:customStyle="1" w:styleId="NA3">
    <w:name w:val="NA3"/>
    <w:basedOn w:val="NA2"/>
    <w:next w:val="Normal"/>
    <w:link w:val="NA3Char"/>
    <w:qFormat/>
    <w:rsid w:val="00451323"/>
    <w:pPr>
      <w:numPr>
        <w:ilvl w:val="0"/>
        <w:numId w:val="0"/>
      </w:numPr>
      <w:ind w:left="1080" w:hanging="720"/>
    </w:pPr>
    <w:rPr>
      <w:sz w:val="24"/>
    </w:rPr>
  </w:style>
  <w:style w:type="character" w:customStyle="1" w:styleId="NA2Char">
    <w:name w:val="NA2 Char"/>
    <w:basedOn w:val="N2Char"/>
    <w:link w:val="NA2"/>
    <w:rsid w:val="00956FA7"/>
    <w:rPr>
      <w:rFonts w:ascii="Calibri" w:hAnsi="Calibri" w:eastAsiaTheme="majorEastAsia" w:cstheme="majorBidi"/>
      <w:b/>
      <w:color w:val="205493"/>
      <w:sz w:val="28"/>
      <w:szCs w:val="32"/>
    </w:rPr>
  </w:style>
  <w:style w:type="character" w:customStyle="1" w:styleId="NA3Char">
    <w:name w:val="NA3 Char"/>
    <w:basedOn w:val="NA2Char"/>
    <w:link w:val="NA3"/>
    <w:rsid w:val="00451323"/>
    <w:rPr>
      <w:rFonts w:ascii="Georgia" w:hAnsi="Georgia" w:eastAsiaTheme="majorEastAsia" w:cstheme="majorBidi"/>
      <w:b/>
      <w:color w:val="205493"/>
      <w:sz w:val="28"/>
      <w:szCs w:val="32"/>
    </w:rPr>
  </w:style>
  <w:style w:type="table" w:customStyle="1" w:styleId="Style1">
    <w:name w:val="Style1"/>
    <w:basedOn w:val="TableNormal"/>
    <w:uiPriority w:val="99"/>
    <w:rsid w:val="00C427AF"/>
    <w:pPr>
      <w:spacing w:after="0" w:line="240" w:lineRule="auto"/>
      <w:contextualSpacing/>
    </w:pPr>
    <w:rPr>
      <w:rFonts w:ascii="Calibri" w:eastAsia="Times New Roman" w:hAnsi="Calibri" w:cs="Times New Roman"/>
      <w:lang w:val="en-GB" w:eastAsia="en-GB"/>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cPr>
      <w:shd w:val="clear" w:color="auto" w:fill="FFFFFF" w:themeFill="background1"/>
    </w:tcPr>
    <w:tblStylePr w:type="firstRow">
      <w:pPr>
        <w:wordWrap/>
        <w:spacing w:beforeLines="0" w:beforeAutospacing="1" w:afterLines="0" w:afterAutospacing="1" w:line="240" w:lineRule="auto"/>
        <w:contextualSpacing/>
      </w:pPr>
      <w:rPr>
        <w:rFonts w:ascii="Calibri" w:hAnsi="Calibri" w:cs="Calibri" w:hint="default"/>
        <w:b/>
        <w:bCs/>
        <w:i w:val="0"/>
        <w:color w:val="auto"/>
        <w:sz w:val="20"/>
        <w:szCs w:val="20"/>
      </w:rPr>
      <w:tblPr/>
      <w:tcPr>
        <w:tcBorders>
          <w:top w:val="single" w:sz="4" w:space="0" w:color="auto"/>
          <w:left w:val="single" w:sz="4" w:space="0" w:color="auto"/>
          <w:bottom w:val="single" w:sz="4" w:space="0" w:color="auto"/>
          <w:right w:val="single" w:sz="4" w:space="0" w:color="auto"/>
          <w:insideH w:val="nil"/>
          <w:insideV w:val="single" w:sz="4" w:space="0" w:color="auto"/>
        </w:tcBorders>
        <w:shd w:val="clear" w:color="auto" w:fill="CEEBF3"/>
      </w:tcPr>
    </w:tblStylePr>
    <w:tblStylePr w:type="lastRow">
      <w:rPr>
        <w:b/>
        <w:bCs/>
      </w:rPr>
      <w:tblPr/>
      <w:tcPr>
        <w:tcBorders>
          <w:top w:val="single" w:sz="4" w:space="0" w:color="auto"/>
          <w:left w:val="single" w:sz="4" w:space="0" w:color="auto"/>
          <w:bottom w:val="single" w:sz="4" w:space="0" w:color="auto"/>
          <w:right w:val="single" w:sz="4" w:space="0" w:color="auto"/>
          <w:insideV w:val="single" w:sz="4" w:space="0" w:color="auto"/>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DocumentMap">
    <w:name w:val="Document Map"/>
    <w:basedOn w:val="Normal"/>
    <w:link w:val="RozloendokumentuChar"/>
    <w:uiPriority w:val="99"/>
    <w:semiHidden/>
    <w:unhideWhenUsed/>
    <w:rsid w:val="00126916"/>
    <w:pPr>
      <w:spacing w:before="0" w:after="0"/>
    </w:pPr>
    <w:rPr>
      <w:rFonts w:ascii="Times New Roman" w:hAnsi="Times New Roman" w:cs="Times New Roman"/>
      <w:sz w:val="24"/>
    </w:rPr>
  </w:style>
  <w:style w:type="character" w:customStyle="1" w:styleId="RozloendokumentuChar">
    <w:name w:val="Rozložení dokumentu Char"/>
    <w:basedOn w:val="DefaultParagraphFont"/>
    <w:link w:val="DocumentMap"/>
    <w:uiPriority w:val="99"/>
    <w:semiHidden/>
    <w:rsid w:val="00126916"/>
    <w:rPr>
      <w:rFonts w:ascii="Times New Roman" w:hAnsi="Times New Roman" w:cs="Times New Roman"/>
      <w:color w:val="212121"/>
      <w:sz w:val="24"/>
      <w:szCs w:val="24"/>
    </w:rPr>
  </w:style>
  <w:style w:type="character" w:styleId="LineNumber">
    <w:name w:val="line number"/>
    <w:basedOn w:val="DefaultParagraphFont"/>
    <w:uiPriority w:val="99"/>
    <w:semiHidden/>
    <w:unhideWhenUsed/>
    <w:rsid w:val="0050758C"/>
  </w:style>
  <w:style w:type="table" w:styleId="TableGrid4">
    <w:name w:val="Table Grid 4"/>
    <w:basedOn w:val="TableNormal"/>
    <w:rsid w:val="008071DE"/>
    <w:pPr>
      <w:spacing w:after="0" w:line="240" w:lineRule="auto"/>
    </w:pPr>
    <w:rPr>
      <w:rFonts w:ascii="Times New Roman" w:eastAsia="Times New Roman" w:hAnsi="Times New Roman" w:cs="Times New Roman"/>
      <w:sz w:val="20"/>
      <w:szCs w:val="20"/>
      <w:lang w:eastAsia="cs-CZ"/>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Mkatabulky41">
    <w:name w:val="Mřížka tabulky 41"/>
    <w:basedOn w:val="TableNormal"/>
    <w:next w:val="TableGrid4"/>
    <w:rsid w:val="008071DE"/>
    <w:pPr>
      <w:spacing w:after="0" w:line="240" w:lineRule="auto"/>
    </w:pPr>
    <w:rPr>
      <w:rFonts w:ascii="Times New Roman" w:eastAsia="Times New Roman" w:hAnsi="Times New Roman" w:cs="Times New Roman"/>
      <w:sz w:val="20"/>
      <w:szCs w:val="20"/>
      <w:lang w:eastAsia="cs-CZ"/>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character" w:customStyle="1" w:styleId="Poznmkapodarou">
    <w:name w:val="Poznámka pod čarou_"/>
    <w:basedOn w:val="DefaultParagraphFont"/>
    <w:link w:val="Poznmkapodarou0"/>
    <w:rsid w:val="008071DE"/>
    <w:rPr>
      <w:rFonts w:ascii="Arial" w:eastAsia="Arial" w:hAnsi="Arial" w:cs="Arial"/>
      <w:sz w:val="18"/>
      <w:szCs w:val="18"/>
      <w:shd w:val="clear" w:color="auto" w:fill="FFFFFF"/>
    </w:rPr>
  </w:style>
  <w:style w:type="paragraph" w:customStyle="1" w:styleId="Poznmkapodarou0">
    <w:name w:val="Poznámka pod čarou"/>
    <w:basedOn w:val="Normal"/>
    <w:link w:val="Poznmkapodarou"/>
    <w:rsid w:val="008071DE"/>
    <w:pPr>
      <w:widowControl w:val="0"/>
      <w:shd w:val="clear" w:color="auto" w:fill="FFFFFF"/>
      <w:spacing w:before="0" w:after="0"/>
      <w:ind w:left="380"/>
    </w:pPr>
    <w:rPr>
      <w:rFonts w:ascii="Arial" w:eastAsia="Arial" w:hAnsi="Arial" w:cs="Arial"/>
      <w:color w:val="auto"/>
      <w:sz w:val="18"/>
      <w:szCs w:val="18"/>
    </w:rPr>
  </w:style>
  <w:style w:type="paragraph" w:customStyle="1" w:styleId="back">
    <w:name w:val="back"/>
    <w:basedOn w:val="Normal"/>
    <w:uiPriority w:val="99"/>
    <w:rsid w:val="008071DE"/>
    <w:pPr>
      <w:spacing w:before="100" w:beforeAutospacing="1" w:after="100" w:afterAutospacing="1"/>
      <w:jc w:val="left"/>
    </w:pPr>
    <w:rPr>
      <w:rFonts w:ascii="Times New Roman" w:eastAsia="Times New Roman" w:hAnsi="Times New Roman" w:cs="Times New Roman"/>
      <w:color w:val="auto"/>
      <w:sz w:val="24"/>
      <w:lang w:eastAsia="cs-CZ"/>
    </w:rPr>
  </w:style>
  <w:style w:type="paragraph" w:customStyle="1" w:styleId="Zkladntextodsazen31">
    <w:name w:val="Základní text odsazený 31"/>
    <w:basedOn w:val="Normal"/>
    <w:rsid w:val="008071DE"/>
    <w:pPr>
      <w:suppressAutoHyphens/>
      <w:spacing w:before="0" w:after="0"/>
      <w:ind w:firstLine="709"/>
    </w:pPr>
    <w:rPr>
      <w:rFonts w:ascii="Arial" w:eastAsia="Times New Roman" w:hAnsi="Arial" w:cs="Times New Roman"/>
      <w:color w:val="auto"/>
      <w:sz w:val="24"/>
      <w:lang w:eastAsia="ar-SA"/>
    </w:rPr>
  </w:style>
  <w:style w:type="character" w:customStyle="1" w:styleId="h1a5">
    <w:name w:val="h1a5"/>
    <w:basedOn w:val="DefaultParagraphFont"/>
    <w:rsid w:val="008071DE"/>
    <w:rPr>
      <w:rFonts w:ascii="Arial" w:hAnsi="Arial" w:cs="Arial" w:hint="default"/>
      <w:i/>
      <w:iCs/>
      <w:vanish w:val="0"/>
      <w:webHidden w:val="0"/>
      <w:sz w:val="26"/>
      <w:szCs w:val="26"/>
      <w:specVanish w:val="0"/>
    </w:rPr>
  </w:style>
  <w:style w:type="paragraph" w:customStyle="1" w:styleId="Nvod">
    <w:name w:val="Návod"/>
    <w:basedOn w:val="Normal"/>
    <w:rsid w:val="008071DE"/>
    <w:pPr>
      <w:overflowPunct w:val="0"/>
      <w:autoSpaceDE w:val="0"/>
      <w:autoSpaceDN w:val="0"/>
      <w:spacing w:before="0" w:after="0"/>
      <w:ind w:left="340" w:hanging="340"/>
      <w:jc w:val="left"/>
    </w:pPr>
    <w:rPr>
      <w:rFonts w:ascii="Times New Roman" w:hAnsi="Times New Roman" w:eastAsiaTheme="minorHAnsi" w:cs="Times New Roman"/>
      <w:color w:val="auto"/>
      <w:sz w:val="24"/>
      <w:lang w:eastAsia="cs-CZ"/>
    </w:rPr>
  </w:style>
  <w:style w:type="character" w:customStyle="1" w:styleId="gmail-m-3802431540753656340m-2414012336349976099apple-converted-space">
    <w:name w:val="gmail-m_-3802431540753656340m_-2414012336349976099apple-converted-space"/>
    <w:basedOn w:val="DefaultParagraphFont"/>
    <w:rsid w:val="008071DE"/>
  </w:style>
  <w:style w:type="character" w:styleId="FollowedHyperlink">
    <w:name w:val="FollowedHyperlink"/>
    <w:basedOn w:val="DefaultParagraphFont"/>
    <w:uiPriority w:val="99"/>
    <w:semiHidden/>
    <w:unhideWhenUsed/>
    <w:rsid w:val="008071DE"/>
    <w:rPr>
      <w:color w:val="800080" w:themeColor="followedHyperlink"/>
      <w:u w:val="single"/>
    </w:rPr>
  </w:style>
  <w:style w:type="paragraph" w:styleId="PlainText">
    <w:name w:val="Plain Text"/>
    <w:basedOn w:val="Normal"/>
    <w:link w:val="ProsttextChar"/>
    <w:uiPriority w:val="99"/>
    <w:semiHidden/>
    <w:unhideWhenUsed/>
    <w:rsid w:val="00662078"/>
    <w:pPr>
      <w:spacing w:before="0" w:after="0"/>
      <w:jc w:val="left"/>
    </w:pPr>
    <w:rPr>
      <w:rFonts w:ascii="Calibri" w:hAnsi="Calibri" w:eastAsiaTheme="minorHAnsi" w:cs="Times New Roman"/>
      <w:color w:val="auto"/>
      <w:szCs w:val="22"/>
    </w:rPr>
  </w:style>
  <w:style w:type="character" w:customStyle="1" w:styleId="ProsttextChar">
    <w:name w:val="Prostý text Char"/>
    <w:basedOn w:val="DefaultParagraphFont"/>
    <w:link w:val="PlainText"/>
    <w:uiPriority w:val="99"/>
    <w:semiHidden/>
    <w:rsid w:val="00662078"/>
    <w:rPr>
      <w:rFonts w:ascii="Calibri" w:hAnsi="Calibri" w:eastAsiaTheme="minorHAnsi" w:cs="Times New Roman"/>
      <w:sz w:val="22"/>
      <w:szCs w:val="22"/>
    </w:rPr>
  </w:style>
  <w:style w:type="table" w:customStyle="1" w:styleId="TableNormal1">
    <w:name w:val="Table Normal1"/>
    <w:uiPriority w:val="2"/>
    <w:semiHidden/>
    <w:unhideWhenUsed/>
    <w:qFormat/>
    <w:rsid w:val="00B6458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64580"/>
    <w:pPr>
      <w:widowControl w:val="0"/>
      <w:autoSpaceDE w:val="0"/>
      <w:autoSpaceDN w:val="0"/>
      <w:spacing w:before="0" w:after="0" w:line="250" w:lineRule="exact"/>
      <w:ind w:left="108"/>
      <w:jc w:val="left"/>
    </w:pPr>
    <w:rPr>
      <w:rFonts w:ascii="Arial" w:eastAsia="Arial" w:hAnsi="Arial" w:cs="Arial"/>
      <w:color w:val="auto"/>
      <w:szCs w:val="22"/>
      <w:lang w:val="en-US" w:bidi="en-US"/>
    </w:rPr>
  </w:style>
  <w:style w:type="table" w:customStyle="1" w:styleId="TableNormal4">
    <w:name w:val="Table Normal4"/>
    <w:uiPriority w:val="2"/>
    <w:semiHidden/>
    <w:unhideWhenUsed/>
    <w:qFormat/>
    <w:rsid w:val="00B6458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B6458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6458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6458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100">
    <w:name w:val="Table Normal100"/>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105F4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paragraph" w:customStyle="1" w:styleId="Obr">
    <w:name w:val="Obr"/>
    <w:basedOn w:val="Normal"/>
    <w:qFormat/>
    <w:rsid w:val="003A5C79"/>
    <w:pPr>
      <w:spacing w:before="0" w:after="200"/>
      <w:jc w:val="center"/>
    </w:pPr>
    <w:rPr>
      <w:rFonts w:ascii="Times New Roman" w:hAnsi="Times New Roman" w:eastAsiaTheme="minorHAnsi" w:cs="Times New Roman"/>
      <w:b/>
      <w:color w:val="auto"/>
      <w:sz w:val="20"/>
      <w:szCs w:val="23"/>
    </w:rPr>
  </w:style>
  <w:style w:type="paragraph" w:customStyle="1" w:styleId="Obrpreklad">
    <w:name w:val="Obr_preklad"/>
    <w:basedOn w:val="Normal"/>
    <w:qFormat/>
    <w:rsid w:val="003A5C79"/>
    <w:pPr>
      <w:spacing w:before="0" w:after="0"/>
    </w:pPr>
    <w:rPr>
      <w:rFonts w:ascii="Times New Roman" w:hAnsi="Times New Roman" w:eastAsiaTheme="minorHAnsi" w:cs="Times New Roman"/>
      <w:color w:val="auto"/>
      <w:sz w:val="20"/>
      <w:szCs w:val="20"/>
    </w:rPr>
  </w:style>
  <w:style w:type="paragraph" w:customStyle="1" w:styleId="Normlnodr1">
    <w:name w:val="Normální_odr1"/>
    <w:basedOn w:val="Normal"/>
    <w:qFormat/>
    <w:rsid w:val="003A5C79"/>
    <w:pPr>
      <w:spacing w:before="0" w:after="200"/>
      <w:ind w:left="567" w:hanging="284"/>
    </w:pPr>
    <w:rPr>
      <w:rFonts w:ascii="Times New Roman" w:hAnsi="Times New Roman" w:eastAsiaTheme="minorHAnsi" w:cs="Times New Roman"/>
      <w:color w:val="auto"/>
      <w:sz w:val="23"/>
      <w:szCs w:val="23"/>
    </w:rPr>
  </w:style>
  <w:style w:type="paragraph" w:customStyle="1" w:styleId="Sourcenotes">
    <w:name w:val="Source &amp; notes"/>
    <w:basedOn w:val="Normal"/>
    <w:qFormat/>
    <w:rsid w:val="003A5C79"/>
    <w:pPr>
      <w:keepLines/>
      <w:spacing w:after="240"/>
      <w:ind w:left="680" w:right="680"/>
      <w:contextualSpacing/>
    </w:pPr>
    <w:rPr>
      <w:rFonts w:ascii="Times New Roman" w:eastAsia="SimSun" w:hAnsi="Times New Roman" w:cs="Arial"/>
      <w:color w:val="auto"/>
      <w:sz w:val="18"/>
      <w:szCs w:val="18"/>
      <w:lang w:val="en-GB"/>
    </w:rPr>
  </w:style>
  <w:style w:type="paragraph" w:customStyle="1" w:styleId="Para">
    <w:name w:val="Para"/>
    <w:basedOn w:val="Normal"/>
    <w:link w:val="ParaChar"/>
    <w:uiPriority w:val="3"/>
    <w:qFormat/>
    <w:rsid w:val="003A5C79"/>
    <w:pPr>
      <w:ind w:left="680" w:right="680"/>
    </w:pPr>
    <w:rPr>
      <w:rFonts w:ascii="Times New Roman" w:eastAsia="SimSun" w:hAnsi="Times New Roman" w:cs="Times New Roman"/>
      <w:color w:val="auto"/>
      <w:szCs w:val="20"/>
      <w:lang w:val="en-GB"/>
    </w:rPr>
  </w:style>
  <w:style w:type="character" w:customStyle="1" w:styleId="ParaChar">
    <w:name w:val="Para Char"/>
    <w:basedOn w:val="DefaultParagraphFont"/>
    <w:link w:val="Para"/>
    <w:uiPriority w:val="3"/>
    <w:rsid w:val="003A5C79"/>
    <w:rPr>
      <w:rFonts w:ascii="Times New Roman" w:eastAsia="SimSun" w:hAnsi="Times New Roman" w:cs="Times New Roman"/>
      <w:sz w:val="22"/>
      <w:szCs w:val="20"/>
      <w:lang w:val="en-GB"/>
    </w:rPr>
  </w:style>
  <w:style w:type="paragraph" w:customStyle="1" w:styleId="Figure">
    <w:name w:val="Figure"/>
    <w:basedOn w:val="Normal"/>
    <w:qFormat/>
    <w:rsid w:val="003A5C79"/>
    <w:pPr>
      <w:keepNext/>
      <w:keepLines/>
      <w:tabs>
        <w:tab w:val="left" w:pos="850"/>
        <w:tab w:val="left" w:pos="1191"/>
        <w:tab w:val="left" w:pos="1531"/>
      </w:tabs>
      <w:spacing w:before="0" w:after="0"/>
      <w:jc w:val="center"/>
    </w:pPr>
    <w:rPr>
      <w:rFonts w:ascii="Times New Roman" w:hAnsi="Times New Roman" w:eastAsiaTheme="minorHAnsi" w:cs="Times New Roman"/>
      <w:noProof/>
      <w:color w:val="auto"/>
      <w:szCs w:val="20"/>
      <w:lang w:val="en-GB" w:eastAsia="ko-KR"/>
    </w:rPr>
  </w:style>
  <w:style w:type="paragraph" w:customStyle="1" w:styleId="TableCell">
    <w:name w:val="Table Cell"/>
    <w:basedOn w:val="Normal"/>
    <w:uiPriority w:val="10"/>
    <w:qFormat/>
    <w:rsid w:val="003A5C79"/>
    <w:pPr>
      <w:keepNext/>
      <w:keepLines/>
      <w:tabs>
        <w:tab w:val="left" w:pos="340"/>
        <w:tab w:val="left" w:pos="680"/>
      </w:tabs>
      <w:spacing w:before="20" w:after="20"/>
      <w:jc w:val="right"/>
    </w:pPr>
    <w:rPr>
      <w:rFonts w:ascii="Arial Narrow" w:eastAsia="SimSun" w:hAnsi="Arial Narrow" w:cs="Arial"/>
      <w:color w:val="auto"/>
      <w:sz w:val="17"/>
      <w:szCs w:val="18"/>
      <w:lang w:val="en-GB"/>
    </w:rPr>
  </w:style>
  <w:style w:type="paragraph" w:customStyle="1" w:styleId="CaptionSubtitle">
    <w:name w:val="Caption Subtitle"/>
    <w:basedOn w:val="Normal"/>
    <w:next w:val="Para"/>
    <w:qFormat/>
    <w:rsid w:val="003A5C79"/>
    <w:pPr>
      <w:keepNext/>
      <w:spacing w:before="0"/>
      <w:ind w:left="680" w:right="680"/>
      <w:jc w:val="center"/>
    </w:pPr>
    <w:rPr>
      <w:rFonts w:ascii="Times New Roman" w:eastAsia="SimSun" w:hAnsi="Times New Roman" w:cs="Arial"/>
      <w:color w:val="auto"/>
      <w:sz w:val="18"/>
      <w:szCs w:val="20"/>
      <w:lang w:val="en-GB"/>
    </w:rPr>
  </w:style>
  <w:style w:type="paragraph" w:customStyle="1" w:styleId="TableRow">
    <w:name w:val="Table Row"/>
    <w:basedOn w:val="TableCell"/>
    <w:uiPriority w:val="10"/>
    <w:qFormat/>
    <w:rsid w:val="003A5C79"/>
    <w:pPr>
      <w:jc w:val="left"/>
    </w:pPr>
  </w:style>
  <w:style w:type="paragraph" w:customStyle="1" w:styleId="TableColumn">
    <w:name w:val="Table Column"/>
    <w:basedOn w:val="TableRow"/>
    <w:uiPriority w:val="10"/>
    <w:qFormat/>
    <w:rsid w:val="003A5C79"/>
    <w:pPr>
      <w:jc w:val="center"/>
    </w:pPr>
  </w:style>
  <w:style w:type="paragraph" w:customStyle="1" w:styleId="BoxHeading">
    <w:name w:val="Box Heading"/>
    <w:basedOn w:val="Normal"/>
    <w:next w:val="Para"/>
    <w:uiPriority w:val="8"/>
    <w:qFormat/>
    <w:rsid w:val="003A5C79"/>
    <w:pPr>
      <w:keepNext/>
      <w:tabs>
        <w:tab w:val="left" w:pos="850"/>
        <w:tab w:val="left" w:pos="1191"/>
        <w:tab w:val="left" w:pos="1531"/>
      </w:tabs>
      <w:spacing w:before="240"/>
      <w:ind w:left="680" w:right="680"/>
      <w:jc w:val="left"/>
    </w:pPr>
    <w:rPr>
      <w:rFonts w:ascii="Times New Roman" w:hAnsi="Times New Roman" w:eastAsiaTheme="minorHAnsi" w:cs="Times New Roman"/>
      <w:b/>
      <w:color w:val="auto"/>
      <w:sz w:val="20"/>
      <w:szCs w:val="20"/>
      <w:lang w:val="en-GB"/>
    </w:rPr>
  </w:style>
  <w:style w:type="table" w:customStyle="1" w:styleId="OECD">
    <w:name w:val="OECD"/>
    <w:basedOn w:val="LightShadingAccent1"/>
    <w:uiPriority w:val="99"/>
    <w:rsid w:val="003A5C79"/>
    <w:rPr>
      <w:rFonts w:eastAsiaTheme="minorHAnsi"/>
      <w:sz w:val="20"/>
      <w:szCs w:val="20"/>
      <w:lang w:val="en-US" w:eastAsia="cs-CZ"/>
    </w:rP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1">
    <w:name w:val="Light Shading Accent 1"/>
    <w:basedOn w:val="TableNormal"/>
    <w:uiPriority w:val="60"/>
    <w:rsid w:val="003A5C79"/>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obrzky">
    <w:name w:val="obrázky"/>
    <w:basedOn w:val="FootnoteText"/>
    <w:link w:val="obrzkyChar"/>
    <w:qFormat/>
    <w:rsid w:val="003768C3"/>
    <w:rPr>
      <w:lang w:val="cs-CZ"/>
    </w:rPr>
  </w:style>
  <w:style w:type="character" w:customStyle="1" w:styleId="obrzkyChar">
    <w:name w:val="obrázky Char"/>
    <w:basedOn w:val="TextpoznpodarouChar1"/>
    <w:link w:val="obrzky"/>
    <w:rsid w:val="003768C3"/>
    <w:rPr>
      <w:rFonts w:ascii="Calibri" w:eastAsia="Times New Roman" w:hAnsi="Calibri" w:cs="Times New Roman"/>
      <w:sz w:val="22"/>
      <w:szCs w:val="20"/>
      <w:lang w:val="en-US"/>
    </w:rPr>
  </w:style>
  <w:style w:type="paragraph" w:styleId="TableofFigures">
    <w:name w:val="table of figures"/>
    <w:basedOn w:val="Normal"/>
    <w:next w:val="Normal"/>
    <w:uiPriority w:val="99"/>
    <w:unhideWhenUsed/>
    <w:rsid w:val="00D428FB"/>
    <w:pPr>
      <w:spacing w:after="0"/>
    </w:pPr>
  </w:style>
  <w:style w:type="character" w:customStyle="1" w:styleId="currenthithighlight">
    <w:name w:val="currenthithighlight"/>
    <w:basedOn w:val="DefaultParagraphFont"/>
    <w:rsid w:val="00244EE3"/>
  </w:style>
  <w:style w:type="character" w:customStyle="1" w:styleId="highlight">
    <w:name w:val="highlight"/>
    <w:basedOn w:val="DefaultParagraphFont"/>
    <w:rsid w:val="00244EE3"/>
  </w:style>
  <w:style w:type="character" w:customStyle="1" w:styleId="slovanodstavecChar">
    <w:name w:val="Číslovaný odstavec Char"/>
    <w:link w:val="slovanodstavec"/>
    <w:locked/>
    <w:rsid w:val="00682352"/>
    <w:rPr>
      <w:rFonts w:ascii="Arial" w:eastAsia="Calibri" w:hAnsi="Arial" w:cs="Arial"/>
      <w:sz w:val="22"/>
      <w:szCs w:val="22"/>
    </w:rPr>
  </w:style>
  <w:style w:type="paragraph" w:customStyle="1" w:styleId="slovanodstavec">
    <w:name w:val="Číslovaný odstavec"/>
    <w:basedOn w:val="Normal"/>
    <w:link w:val="slovanodstavecChar"/>
    <w:qFormat/>
    <w:rsid w:val="00682352"/>
    <w:pPr>
      <w:tabs>
        <w:tab w:val="left" w:pos="567"/>
      </w:tabs>
      <w:spacing w:before="0" w:after="200" w:line="276" w:lineRule="auto"/>
    </w:pPr>
    <w:rPr>
      <w:rFonts w:ascii="Arial" w:eastAsia="Calibri" w:hAnsi="Arial" w:cs="Arial"/>
      <w:color w:val="auto"/>
      <w:szCs w:val="22"/>
    </w:rPr>
  </w:style>
  <w:style w:type="paragraph" w:customStyle="1" w:styleId="text-bold">
    <w:name w:val="text-bold"/>
    <w:basedOn w:val="Normal"/>
    <w:rsid w:val="00CE3C07"/>
    <w:pPr>
      <w:spacing w:before="100" w:beforeAutospacing="1" w:after="100" w:afterAutospacing="1"/>
      <w:jc w:val="left"/>
    </w:pPr>
    <w:rPr>
      <w:rFonts w:ascii="Times New Roman" w:eastAsia="Times New Roman" w:hAnsi="Times New Roman" w:cs="Times New Roman"/>
      <w:color w:val="auto"/>
      <w:sz w:val="24"/>
      <w:lang w:eastAsia="cs-CZ"/>
    </w:rPr>
  </w:style>
  <w:style w:type="paragraph" w:customStyle="1" w:styleId="CM1">
    <w:name w:val="CM1"/>
    <w:basedOn w:val="Default"/>
    <w:next w:val="Default"/>
    <w:uiPriority w:val="99"/>
    <w:rsid w:val="00054331"/>
    <w:rPr>
      <w:rFonts w:ascii="EUAlbertina" w:hAnsi="EUAlbertina" w:cstheme="minorBidi"/>
      <w:color w:val="auto"/>
    </w:rPr>
  </w:style>
  <w:style w:type="paragraph" w:customStyle="1" w:styleId="CM3">
    <w:name w:val="CM3"/>
    <w:basedOn w:val="Default"/>
    <w:next w:val="Default"/>
    <w:uiPriority w:val="99"/>
    <w:rsid w:val="00054331"/>
    <w:rPr>
      <w:rFonts w:ascii="EUAlbertina" w:hAnsi="EUAlbertina" w:cstheme="minorBidi"/>
      <w:color w:val="auto"/>
    </w:rPr>
  </w:style>
  <w:style w:type="paragraph" w:customStyle="1" w:styleId="CM4">
    <w:name w:val="CM4"/>
    <w:basedOn w:val="Default"/>
    <w:next w:val="Default"/>
    <w:uiPriority w:val="99"/>
    <w:rsid w:val="00054331"/>
    <w:rPr>
      <w:rFonts w:ascii="EUAlbertina" w:hAnsi="EUAlbertina" w:cstheme="minorBidi"/>
      <w:color w:val="auto"/>
    </w:rPr>
  </w:style>
  <w:style w:type="character" w:customStyle="1" w:styleId="UnresolvedMention">
    <w:name w:val="Unresolved Mention"/>
    <w:basedOn w:val="DefaultParagraphFont"/>
    <w:uiPriority w:val="99"/>
    <w:semiHidden/>
    <w:unhideWhenUsed/>
    <w:rsid w:val="001079F9"/>
    <w:rPr>
      <w:color w:val="605E5C"/>
      <w:shd w:val="clear" w:color="auto" w:fill="E1DFDD"/>
    </w:rPr>
  </w:style>
  <w:style w:type="paragraph" w:customStyle="1" w:styleId="ecl-page-headerdescription">
    <w:name w:val="ecl-page-header__description"/>
    <w:basedOn w:val="Normal"/>
    <w:rsid w:val="006273D5"/>
    <w:pPr>
      <w:spacing w:before="100" w:beforeAutospacing="1" w:after="100" w:afterAutospacing="1"/>
      <w:jc w:val="left"/>
    </w:pPr>
    <w:rPr>
      <w:rFonts w:ascii="Times New Roman" w:eastAsia="Times New Roman" w:hAnsi="Times New Roman" w:cs="Times New Roman"/>
      <w:color w:val="auto"/>
      <w:sz w:val="24"/>
      <w:lang w:eastAsia="cs-CZ"/>
    </w:rPr>
  </w:style>
  <w:style w:type="character" w:customStyle="1" w:styleId="rynqvb">
    <w:name w:val="rynqvb"/>
    <w:basedOn w:val="DefaultParagraphFont"/>
    <w:rsid w:val="00524549"/>
  </w:style>
  <w:style w:type="numbering" w:customStyle="1" w:styleId="Aktulnseznam1">
    <w:name w:val="Aktuální seznam1"/>
    <w:uiPriority w:val="99"/>
    <w:rsid w:val="004F358A"/>
    <w:pPr>
      <w:numPr>
        <w:numId w:val="55"/>
      </w:numPr>
    </w:pPr>
  </w:style>
  <w:style w:type="paragraph" w:customStyle="1" w:styleId="Text">
    <w:name w:val="Text"/>
    <w:link w:val="TextChar"/>
    <w:rsid w:val="00B90F50"/>
    <w:pPr>
      <w:pBdr>
        <w:top w:val="nil"/>
        <w:left w:val="nil"/>
        <w:bottom w:val="nil"/>
        <w:right w:val="nil"/>
        <w:between w:val="nil"/>
        <w:bar w:val="nil"/>
      </w:pBdr>
      <w:spacing w:after="0" w:line="480" w:lineRule="auto"/>
      <w:ind w:left="720"/>
      <w:jc w:val="both"/>
    </w:pPr>
    <w:rPr>
      <w:rFonts w:ascii="Calibri" w:eastAsia="Calibri" w:hAnsi="Calibri" w:cs="Calibri"/>
      <w:color w:val="000000"/>
      <w:sz w:val="22"/>
      <w:szCs w:val="22"/>
      <w:u w:color="000000"/>
      <w:bdr w:val="nil"/>
    </w:rPr>
  </w:style>
  <w:style w:type="character" w:customStyle="1" w:styleId="TextChar">
    <w:name w:val="Text Char"/>
    <w:basedOn w:val="DefaultParagraphFont"/>
    <w:link w:val="Text"/>
    <w:rsid w:val="00B90F50"/>
    <w:rPr>
      <w:rFonts w:ascii="Calibri" w:eastAsia="Calibri" w:hAnsi="Calibri" w:cs="Calibri"/>
      <w:color w:val="000000"/>
      <w:sz w:val="22"/>
      <w:szCs w:val="22"/>
      <w:u w:color="000000"/>
      <w:bdr w:val="nil"/>
    </w:rPr>
  </w:style>
  <w:style w:type="paragraph" w:customStyle="1" w:styleId="K-TextInfo">
    <w:name w:val="K-Text_Info"/>
    <w:basedOn w:val="Default"/>
    <w:link w:val="K-TextInfoChar"/>
    <w:qFormat/>
    <w:rsid w:val="008F47FA"/>
    <w:pPr>
      <w:spacing w:after="120"/>
      <w:jc w:val="both"/>
    </w:pPr>
    <w:rPr>
      <w:rFonts w:asciiTheme="minorHAnsi" w:hAnsiTheme="minorHAnsi" w:cstheme="minorBidi"/>
      <w:color w:val="000000" w:themeColor="text1"/>
      <w:sz w:val="20"/>
      <w:szCs w:val="20"/>
    </w:rPr>
  </w:style>
  <w:style w:type="character" w:customStyle="1" w:styleId="K-TextInfoChar">
    <w:name w:val="K-Text_Info Char"/>
    <w:basedOn w:val="DefaultParagraphFont"/>
    <w:link w:val="K-TextInfo"/>
    <w:rsid w:val="008F47FA"/>
    <w:rPr>
      <w:color w:val="000000" w:themeColor="text1"/>
      <w:sz w:val="20"/>
      <w:szCs w:val="20"/>
    </w:rPr>
  </w:style>
  <w:style w:type="character" w:customStyle="1" w:styleId="cf01">
    <w:name w:val="cf01"/>
    <w:basedOn w:val="DefaultParagraphFont"/>
    <w:rsid w:val="00693346"/>
    <w:rPr>
      <w:rFonts w:ascii="Segoe UI" w:hAnsi="Segoe UI" w:cs="Segoe UI" w:hint="default"/>
      <w:sz w:val="18"/>
      <w:szCs w:val="18"/>
    </w:rPr>
  </w:style>
  <w:style w:type="paragraph" w:customStyle="1" w:styleId="FootnotesymbolCarZchn">
    <w:name w:val="Footnote symbol Car Zchn"/>
    <w:aliases w:val="BVI fnr Car Zchn,Char Char Char Char Char Car Zchn,Exposant 3 Point Car Zchn,Footnote Car Zchn,Footnote Reference Superscript Car Zchn,SUPERS Car Zchn,Times 10 Point Car Zchn"/>
    <w:basedOn w:val="Normal"/>
    <w:link w:val="FootnoteReference"/>
    <w:rsid w:val="00693346"/>
    <w:pPr>
      <w:spacing w:before="0" w:after="160" w:line="240" w:lineRule="exact"/>
      <w:jc w:val="left"/>
    </w:pPr>
    <w:rPr>
      <w:color w:val="auto"/>
      <w:sz w:val="24"/>
      <w:vertAlign w:val="superscript"/>
    </w:rPr>
  </w:style>
  <w:style w:type="character" w:customStyle="1" w:styleId="TextkomenteChar1">
    <w:name w:val="Text komentáře Char1"/>
    <w:basedOn w:val="DefaultParagraphFont"/>
    <w:uiPriority w:val="99"/>
    <w:semiHidden/>
    <w:rsid w:val="006C359E"/>
    <w:rPr>
      <w:rFonts w:eastAsiaTheme="minorEastAsia"/>
      <w:color w:val="212121"/>
      <w:kern w:val="0"/>
      <w:sz w:val="20"/>
      <w:szCs w:val="20"/>
      <w14:ligatures w14:val="none"/>
    </w:rPr>
  </w:style>
  <w:style w:type="paragraph" w:customStyle="1" w:styleId="xmsolistparagraph">
    <w:name w:val="x_msolistparagraph"/>
    <w:basedOn w:val="Normal"/>
    <w:rsid w:val="00070162"/>
    <w:pPr>
      <w:spacing w:before="0" w:after="0"/>
      <w:ind w:left="720"/>
      <w:jc w:val="left"/>
    </w:pPr>
    <w:rPr>
      <w:rFonts w:ascii="Aptos" w:hAnsi="Aptos" w:eastAsiaTheme="minorHAnsi" w:cs="Aptos"/>
      <w:color w:val="auto"/>
      <w:szCs w:val="22"/>
      <w:lang w:eastAsia="cs-CZ"/>
    </w:rPr>
  </w:style>
  <w:style w:type="character" w:customStyle="1" w:styleId="font401">
    <w:name w:val="font401"/>
    <w:basedOn w:val="DefaultParagraphFont"/>
    <w:rsid w:val="009A5C71"/>
    <w:rPr>
      <w:rFonts w:ascii="Calibri" w:hAnsi="Calibri" w:cs="Calibri" w:hint="default"/>
      <w:b w:val="0"/>
      <w:bCs w:val="0"/>
      <w:i w:val="0"/>
      <w:iCs w:val="0"/>
      <w:strike w:val="0"/>
      <w:dstrike w:val="0"/>
      <w:color w:val="000000"/>
      <w:sz w:val="22"/>
      <w:szCs w:val="22"/>
      <w:u w:val="none"/>
      <w:effect w:val="none"/>
    </w:rPr>
  </w:style>
  <w:style w:type="character" w:customStyle="1" w:styleId="font331">
    <w:name w:val="font331"/>
    <w:basedOn w:val="DefaultParagraphFont"/>
    <w:rsid w:val="009A5C71"/>
    <w:rPr>
      <w:rFonts w:ascii="Times New Roman" w:hAnsi="Times New Roman" w:cs="Times New Roman" w:hint="default"/>
      <w:b w:val="0"/>
      <w:bCs w:val="0"/>
      <w:i w:val="0"/>
      <w:iCs w:val="0"/>
      <w:strike w:val="0"/>
      <w:dstrike w:val="0"/>
      <w:color w:val="000000"/>
      <w:sz w:val="18"/>
      <w:szCs w:val="18"/>
      <w:u w:val="none"/>
      <w:effect w:val="none"/>
    </w:rPr>
  </w:style>
  <w:style w:type="character" w:customStyle="1" w:styleId="font261">
    <w:name w:val="font261"/>
    <w:basedOn w:val="DefaultParagraphFont"/>
    <w:rsid w:val="009A5C71"/>
    <w:rPr>
      <w:rFonts w:ascii="Calibri" w:hAnsi="Calibri" w:cs="Calibri" w:hint="default"/>
      <w:b w:val="0"/>
      <w:bCs w:val="0"/>
      <w:i w:val="0"/>
      <w:iCs w:val="0"/>
      <w:strike w:val="0"/>
      <w:dstrike w:val="0"/>
      <w:color w:val="000000"/>
      <w:sz w:val="20"/>
      <w:szCs w:val="20"/>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footnotes" Target="footnotes.xml" /><Relationship Id="rId10" Type="http://schemas.openxmlformats.org/officeDocument/2006/relationships/footer" Target="footer1.xml" /><Relationship Id="rId11" Type="http://schemas.openxmlformats.org/officeDocument/2006/relationships/header" Target="header2.xml" /><Relationship Id="rId12" Type="http://schemas.openxmlformats.org/officeDocument/2006/relationships/image" Target="media/image3.emf" /><Relationship Id="rId13" Type="http://schemas.openxmlformats.org/officeDocument/2006/relationships/package" Target="embeddings/ooxmlPackage1.sldx" /><Relationship Id="rId14" Type="http://schemas.openxmlformats.org/officeDocument/2006/relationships/image" Target="media/image4.emf" /><Relationship Id="rId15" Type="http://schemas.openxmlformats.org/officeDocument/2006/relationships/package" Target="embeddings/ooxmlPackage2.sldx" /><Relationship Id="rId16" Type="http://schemas.openxmlformats.org/officeDocument/2006/relationships/image" Target="media/image5.emf" /><Relationship Id="rId17" Type="http://schemas.openxmlformats.org/officeDocument/2006/relationships/package" Target="embeddings/ooxmlPackage3.sldx" /><Relationship Id="rId18" Type="http://schemas.openxmlformats.org/officeDocument/2006/relationships/image" Target="media/image6.png" /><Relationship Id="rId19" Type="http://schemas.openxmlformats.org/officeDocument/2006/relationships/hyperlink" Target="https://health.ec.europa.eu/health-systems-performance-assessment/overview_en" TargetMode="External" /><Relationship Id="rId2" Type="http://schemas.openxmlformats.org/officeDocument/2006/relationships/settings" Target="settings.xml" /><Relationship Id="rId20" Type="http://schemas.openxmlformats.org/officeDocument/2006/relationships/hyperlink" Target="https://health.ec.europa.eu/health-workforce/overview_en" TargetMode="External" /><Relationship Id="rId21" Type="http://schemas.openxmlformats.org/officeDocument/2006/relationships/hyperlink" Target="https://health.ec.europa.eu/health-technology-assessment/overview_en" TargetMode="External" /><Relationship Id="rId22" Type="http://schemas.openxmlformats.org/officeDocument/2006/relationships/hyperlink" Target="https://health.ec.europa.eu/eu-health-policy/health-systems-coordination/cost-effective-use-medicines_en" TargetMode="External" /><Relationship Id="rId23" Type="http://schemas.openxmlformats.org/officeDocument/2006/relationships/hyperlink" Target="https://health.ec.europa.eu/cross-border-healthcare/overview_en" TargetMode="External" /><Relationship Id="rId24" Type="http://schemas.openxmlformats.org/officeDocument/2006/relationships/hyperlink" Target="https://health.ec.europa.eu/ehealth-digital-health-and-care_en" TargetMode="External" /><Relationship Id="rId25" Type="http://schemas.openxmlformats.org/officeDocument/2006/relationships/hyperlink" Target="https://csu.gov.cz/produkty/projekce-obyvatelstva-ceske-republiky-2023-2100" TargetMode="External" /><Relationship Id="rId26" Type="http://schemas.openxmlformats.org/officeDocument/2006/relationships/image" Target="media/image7.png" /><Relationship Id="rId27" Type="http://schemas.openxmlformats.org/officeDocument/2006/relationships/image" Target="media/image8.png" /><Relationship Id="rId28" Type="http://schemas.openxmlformats.org/officeDocument/2006/relationships/image" Target="media/image9.png" /><Relationship Id="rId29" Type="http://schemas.openxmlformats.org/officeDocument/2006/relationships/image" Target="media/image10.png" /><Relationship Id="rId3" Type="http://schemas.openxmlformats.org/officeDocument/2006/relationships/webSettings" Target="webSettings.xml" /><Relationship Id="rId30" Type="http://schemas.openxmlformats.org/officeDocument/2006/relationships/hyperlink" Target="https://nsc.uzis.cz/res/file/tiskove-zpravy/program-nsc.pdf" TargetMode="External" /><Relationship Id="rId31" Type="http://schemas.openxmlformats.org/officeDocument/2006/relationships/hyperlink" Target="https://nsc-data.uzis.cz/" TargetMode="External" /><Relationship Id="rId32" Type="http://schemas.openxmlformats.org/officeDocument/2006/relationships/hyperlink" Target="https://nsc.uzis.cz/cs/populacni-screeningove-programy/" TargetMode="External" /><Relationship Id="rId33" Type="http://schemas.openxmlformats.org/officeDocument/2006/relationships/hyperlink" Target="https://www.nzip.cz/rejstrikovy-pojem/665" TargetMode="External" /><Relationship Id="rId34" Type="http://schemas.openxmlformats.org/officeDocument/2006/relationships/hyperlink" Target="https://www.nzip.cz/rejstrikovy-pojem/669" TargetMode="External" /><Relationship Id="rId35" Type="http://schemas.openxmlformats.org/officeDocument/2006/relationships/hyperlink" Target="https://www.nzip.cz/rejstrikovy-pojem/106" TargetMode="External" /><Relationship Id="rId36" Type="http://schemas.openxmlformats.org/officeDocument/2006/relationships/hyperlink" Target="https://www.nzip.cz/rejstrikovy-pojem/1012" TargetMode="External" /><Relationship Id="rId37" Type="http://schemas.openxmlformats.org/officeDocument/2006/relationships/hyperlink" Target="https://www.nzip.cz/rejstrikovy-pojem/1459" TargetMode="External" /><Relationship Id="rId38" Type="http://schemas.openxmlformats.org/officeDocument/2006/relationships/hyperlink" Target="https://www.nzip.cz/rejstrikovy-pojem/340" TargetMode="External" /><Relationship Id="rId39" Type="http://schemas.openxmlformats.org/officeDocument/2006/relationships/hyperlink" Target="https://mzd.gov.cz/informace-o-projektu-efektivizace-systemu-nemocnicni-pece-v-cr-prostrednictvim-dobrovolnicke-cinnosti/" TargetMode="External" /><Relationship Id="rId4" Type="http://schemas.openxmlformats.org/officeDocument/2006/relationships/fontTable" Target="fontTable.xml" /><Relationship Id="rId40" Type="http://schemas.openxmlformats.org/officeDocument/2006/relationships/hyperlink" Target="https://mzd.gov.cz/evidence-poskytovatelu-zdravotnich-sluzeb-s-dobrovolnickym-programem/" TargetMode="External" /><Relationship Id="rId41" Type="http://schemas.openxmlformats.org/officeDocument/2006/relationships/image" Target="media/image11.jpeg" /><Relationship Id="rId42" Type="http://schemas.openxmlformats.org/officeDocument/2006/relationships/hyperlink" Target="https://mzd.gov.cz/category/agendy-ministerstva/dobrovolnictvi-ve-zdravotnictvi/" TargetMode="External" /><Relationship Id="rId43" Type="http://schemas.openxmlformats.org/officeDocument/2006/relationships/hyperlink" Target="https://www.hphnet.org/" TargetMode="External" /><Relationship Id="rId44" Type="http://schemas.openxmlformats.org/officeDocument/2006/relationships/hyperlink" Target="https://www.tobaccofreehealthcare.org/" TargetMode="External" /><Relationship Id="rId45" Type="http://schemas.openxmlformats.org/officeDocument/2006/relationships/hyperlink" Target="https://mzd.gov.cz/211633-2/" TargetMode="External" /><Relationship Id="rId46" Type="http://schemas.openxmlformats.org/officeDocument/2006/relationships/hyperlink" Target="https://www.tobaccofreehealthcare.org/membership/member-benefits-2" TargetMode="External" /><Relationship Id="rId47" Type="http://schemas.openxmlformats.org/officeDocument/2006/relationships/hyperlink" Target="https://mzd.gov.cz/narodni-sit-nemocnic-a-zdravotnickych-zarizeni-podporujicich-zdravi-hph/" TargetMode="External" /><Relationship Id="rId48" Type="http://schemas.openxmlformats.org/officeDocument/2006/relationships/hyperlink" Target="https://www.hphnet.org/wp-content/uploads/2024/01/HPH-Standards-2020_CZ_fin.pdf" TargetMode="External" /><Relationship Id="rId49" Type="http://schemas.openxmlformats.org/officeDocument/2006/relationships/hyperlink" Target="https://spokojenost.mzcr.cz/" TargetMode="External" /><Relationship Id="rId5" Type="http://schemas.openxmlformats.org/officeDocument/2006/relationships/customXml" Target="../customXml/item1.xml" /><Relationship Id="rId50" Type="http://schemas.openxmlformats.org/officeDocument/2006/relationships/image" Target="media/image12.png" /><Relationship Id="rId51" Type="http://schemas.openxmlformats.org/officeDocument/2006/relationships/hyperlink" Target="https://mzd.gov.cz/vestnik/vestnik-c-11-2011/" TargetMode="External" /><Relationship Id="rId52" Type="http://schemas.openxmlformats.org/officeDocument/2006/relationships/image" Target="media/image13.png" /><Relationship Id="rId53" Type="http://schemas.openxmlformats.org/officeDocument/2006/relationships/header" Target="header3.xml" /><Relationship Id="rId54" Type="http://schemas.openxmlformats.org/officeDocument/2006/relationships/theme" Target="theme/theme1.xml" /><Relationship Id="rId55" Type="http://schemas.openxmlformats.org/officeDocument/2006/relationships/numbering" Target="numbering.xml" /><Relationship Id="rId56" Type="http://schemas.openxmlformats.org/officeDocument/2006/relationships/styles" Target="styles.xml" /><Relationship Id="rId6" Type="http://schemas.openxmlformats.org/officeDocument/2006/relationships/customXml" Target="../customXml/item2.xml" /><Relationship Id="rId7" Type="http://schemas.openxmlformats.org/officeDocument/2006/relationships/customXml" Target="../customXml/item3.xml" /><Relationship Id="rId8" Type="http://schemas.openxmlformats.org/officeDocument/2006/relationships/customXml" Target="../customXml/item4.xml" /><Relationship Id="rId9" Type="http://schemas.openxmlformats.org/officeDocument/2006/relationships/header" Target="header1.xml" /></Relationships>
</file>

<file path=word/_rels/footnotes.xml.rels>&#65279;<?xml version="1.0" encoding="utf-8" standalone="yes"?><Relationships xmlns="http://schemas.openxmlformats.org/package/2006/relationships"><Relationship Id="rId1" Type="http://schemas.openxmlformats.org/officeDocument/2006/relationships/hyperlink" Target="https://www.databaze-strategie.cz/cz/mzd/strategie?_gl=1*1der2rg*_ga*ODY0ODc4Mjk5LjE3NTAwNjYwNjI.*_ga_6H7D0HCDXV*czE3NTQzOTI3NTIkbzIxJGcxJHQxNzU0MzkyNzU0JGo1OCRsMCRoMA.." TargetMode="External" /><Relationship Id="rId10" Type="http://schemas.openxmlformats.org/officeDocument/2006/relationships/hyperlink" Target="https://www.oecd.org/en/topics/health.html" TargetMode="External" /><Relationship Id="rId11" Type="http://schemas.openxmlformats.org/officeDocument/2006/relationships/hyperlink" Target="https://mpo.gov.cz/assets/cz/rozcestnik/pro-media/tiskove-zpravy/2024/10/Hospodarska-strategie-Ceske-republiky_Cesko-do-top-10---ebook.pdf" TargetMode="External" /><Relationship Id="rId12" Type="http://schemas.openxmlformats.org/officeDocument/2006/relationships/hyperlink" Target="https://www.vzp.cz/o-nas/aktuality/dostupnost-moderni-lecby-se-v-cesku-vyrazne-zlepsuje-i-diky-vzp-patrime-mezi-sedm-nejlepsich-v-evrope" TargetMode="External" /><Relationship Id="rId13" Type="http://schemas.openxmlformats.org/officeDocument/2006/relationships/hyperlink" Target="https://health.ec.europa.eu/medicinal-products/pharmaceutical-strategy-europe_cs" TargetMode="External" /><Relationship Id="rId14" Type="http://schemas.openxmlformats.org/officeDocument/2006/relationships/hyperlink" Target="https://www.databaze-strategie.cz/cz/mpo/strategie/hospodarska-strategie-ceske-republiky-cesko-do-top-10" TargetMode="External" /><Relationship Id="rId15" Type="http://schemas.openxmlformats.org/officeDocument/2006/relationships/hyperlink" Target="https://mpo.gov.cz/cz/rozcestnik/pro-media/tiskove-zpravy/hospodarska-strategie-ceske-republiky-ministr-vlcek-predstavil-cestu-do-top-10-zemi-evropske-unie--283601/" TargetMode="External" /><Relationship Id="rId16" Type="http://schemas.openxmlformats.org/officeDocument/2006/relationships/hyperlink" Target="https://www.vyzkumne-infrastruktury.cz/" TargetMode="External" /><Relationship Id="rId2" Type="http://schemas.openxmlformats.org/officeDocument/2006/relationships/hyperlink" Target="https://eur-lex.europa.eu/legal-content/CS/TXT/?uri=CELEX:52020SC0502" TargetMode="External" /><Relationship Id="rId3" Type="http://schemas.openxmlformats.org/officeDocument/2006/relationships/hyperlink" Target="https://www.who.int/data/stories/the-triple-billion-targets-a-visual-summary-of-methods-to-deliver-impact" TargetMode="External" /><Relationship Id="rId4" Type="http://schemas.openxmlformats.org/officeDocument/2006/relationships/hyperlink" Target="https://eur-lex.europa.eu/legal-content/CS/TXT/PDF/?uri=CELEX:12012E/TXT" TargetMode="External" /><Relationship Id="rId5" Type="http://schemas.openxmlformats.org/officeDocument/2006/relationships/hyperlink" Target="https://eur-lex.europa.eu/legal-content/CS/TXT/PDF/?uri=OJ:C:2017:210:FULL&amp;from=EN" TargetMode="External" /><Relationship Id="rId6" Type="http://schemas.openxmlformats.org/officeDocument/2006/relationships/hyperlink" Target="https://health.ec.europa.eu/eu-health-policy/health-systems-coordination_en" TargetMode="External" /><Relationship Id="rId7" Type="http://schemas.openxmlformats.org/officeDocument/2006/relationships/hyperlink" Target="https://commission.europa.eu/strategy-and-policy/priorities-2019-2024/promoting-our-european-way-life/european-health-union_cs" TargetMode="External" /><Relationship Id="rId8" Type="http://schemas.openxmlformats.org/officeDocument/2006/relationships/hyperlink" Target="https://eur-lex.europa.eu/CS/legal-content/summary/common-rules-on-eu-funds-2021-2027.html" TargetMode="External" /><Relationship Id="rId9" Type="http://schemas.openxmlformats.org/officeDocument/2006/relationships/hyperlink" Target="https://ec.europa.eu/commission/presscorner/detail/en/ip_22_7153" TargetMode="External" /></Relationships>
</file>

<file path=word/_rels/header1.xml.rels>&#65279;<?xml version="1.0" encoding="utf-8" standalone="yes"?><Relationships xmlns="http://schemas.openxmlformats.org/package/2006/relationships"><Relationship Id="rId1" Type="http://schemas.openxmlformats.org/officeDocument/2006/relationships/image" Target="media/image1.png" /><Relationship Id="rId2" Type="http://schemas.openxmlformats.org/officeDocument/2006/relationships/image" Target="media/image2.jpeg" /></Relationships>
</file>

<file path=word/_rels/header2.xml.rels>&#65279;<?xml version="1.0" encoding="utf-8" standalone="yes"?><Relationships xmlns="http://schemas.openxmlformats.org/package/2006/relationships"><Relationship Id="rId1" Type="http://schemas.openxmlformats.org/officeDocument/2006/relationships/image" Target="media/image1.png" /><Relationship Id="rId2" Type="http://schemas.openxmlformats.org/officeDocument/2006/relationships/image" Target="media/image2.jpeg" /></Relationships>
</file>

<file path=word/_rels/header3.xml.rels>&#65279;<?xml version="1.0" encoding="utf-8" standalone="yes"?><Relationships xmlns="http://schemas.openxmlformats.org/package/2006/relationships"><Relationship Id="rId1" Type="http://schemas.openxmlformats.org/officeDocument/2006/relationships/image" Target="media/image1.png" /><Relationship Id="rId2" Type="http://schemas.openxmlformats.org/officeDocument/2006/relationships/image" Target="media/image2.jpeg" /></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&#65279;<?xml version="1.0" encoding="utf-8" standalone="yes"?><Relationships xmlns="http://schemas.openxmlformats.org/package/2006/relationships"><Relationship Id="rId1" Type="http://schemas.openxmlformats.org/officeDocument/2006/relationships/customXmlProps" Target="itemProps3.xml" /></Relationships>
</file>

<file path=customXml/_rels/item4.xml.rels>&#65279;<?xml version="1.0" encoding="utf-8" standalone="yes"?><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47ff51-0e80-4de6-b276-24d9ba7a56d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CSN690CitacePRO.xsl" StyleName="ČSN 690 Citace PRO" Version="2012"/>
</file>

<file path=customXml/item3.xml><?xml version="1.0" encoding="utf-8"?>
<ct:contentTypeSchema xmlns:ct="http://schemas.microsoft.com/office/2006/metadata/contentType" xmlns:ma="http://schemas.microsoft.com/office/2006/metadata/properties/metaAttributes" ct:_="" ma:_="" ma:contentTypeName="Dokument" ma:contentTypeID="0x0101009A46C72A9C12AF4DB6F122979E8AFDE4" ma:contentTypeVersion="12" ma:contentTypeDescription="Vytvoří nový dokument" ma:contentTypeScope="" ma:versionID="f62c847b20f9443e720c3d6bab7f8cd3">
  <xsd:schema xmlns:xsd="http://www.w3.org/2001/XMLSchema" xmlns:xs="http://www.w3.org/2001/XMLSchema" xmlns:p="http://schemas.microsoft.com/office/2006/metadata/properties" xmlns:ns2="bd47ff51-0e80-4de6-b276-24d9ba7a56d3" xmlns:ns3="04fcc468-7d7e-430a-9810-3b16ddd78e26" targetNamespace="http://schemas.microsoft.com/office/2006/metadata/properties" ma:root="true" ma:fieldsID="28454b66621dd3b1e414045c9e662c5b" ns2:_="" ns3:_="">
    <xsd:import namespace="bd47ff51-0e80-4de6-b276-24d9ba7a56d3"/>
    <xsd:import namespace="04fcc468-7d7e-430a-9810-3b16ddd78e2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47ff51-0e80-4de6-b276-24d9ba7a56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63d20a35-149b-4608-81b4-e7fcde63788c"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4fcc468-7d7e-430a-9810-3b16ddd78e26"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4E42EB-175E-4680-BCAE-D8DFAE7D617E}">
  <ds:schemaRefs>
    <ds:schemaRef ds:uri="http://schemas.microsoft.com/office/2006/metadata/properties"/>
    <ds:schemaRef ds:uri="http://schemas.microsoft.com/office/infopath/2007/PartnerControls"/>
    <ds:schemaRef ds:uri="bd47ff51-0e80-4de6-b276-24d9ba7a56d3"/>
  </ds:schemaRefs>
</ds:datastoreItem>
</file>

<file path=customXml/itemProps2.xml><?xml version="1.0" encoding="utf-8"?>
<ds:datastoreItem xmlns:ds="http://schemas.openxmlformats.org/officeDocument/2006/customXml" ds:itemID="{74370B41-4E67-4B15-A61E-095D0A643CDB}">
  <ds:schemaRefs>
    <ds:schemaRef ds:uri="http://schemas.openxmlformats.org/officeDocument/2006/bibliography"/>
  </ds:schemaRefs>
</ds:datastoreItem>
</file>

<file path=customXml/itemProps3.xml><?xml version="1.0" encoding="utf-8"?>
<ds:datastoreItem xmlns:ds="http://schemas.openxmlformats.org/officeDocument/2006/customXml" ds:itemID="{986D33AB-689C-4698-B84F-7863492746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47ff51-0e80-4de6-b276-24d9ba7a56d3"/>
    <ds:schemaRef ds:uri="04fcc468-7d7e-430a-9810-3b16ddd78e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F6BC31-6852-4EE1-ADAC-ECA72D18943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1589</TotalTime>
  <Pages>158</Pages>
  <Words>56073</Words>
  <Characters>330832</Characters>
  <Application>Microsoft Office Word</Application>
  <DocSecurity>0</DocSecurity>
  <Lines>2756</Lines>
  <Paragraphs>772</Paragraphs>
  <ScaleCrop>false</ScaleCrop>
  <HeadingPairs>
    <vt:vector size="2" baseType="variant">
      <vt:variant>
        <vt:lpstr>Název</vt:lpstr>
      </vt:variant>
      <vt:variant>
        <vt:i4>1</vt:i4>
      </vt:variant>
    </vt:vector>
  </HeadingPairs>
  <TitlesOfParts>
    <vt:vector size="1" baseType="lpstr">
      <vt:lpstr/>
    </vt:vector>
  </TitlesOfParts>
  <Company>MZČR</Company>
  <LinksUpToDate>false</LinksUpToDate>
  <CharactersWithSpaces>386133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Šíma Ing.</dc:creator>
  <cp:lastModifiedBy>Vránová Tereza, Mgr.</cp:lastModifiedBy>
  <cp:revision>50</cp:revision>
  <cp:lastPrinted>2025-07-15T14:52:00Z</cp:lastPrinted>
  <dcterms:created xsi:type="dcterms:W3CDTF">2025-07-26T11:41:00Z</dcterms:created>
  <dcterms:modified xsi:type="dcterms:W3CDTF">2025-09-14T17:32:00Z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nonymizaceNavrh">
    <vt:lpwstr/>
  </property>
  <property fmtid="{D5CDD505-2E9C-101B-9397-08002B2CF9AE}" pid="3" name="CelyZnak_PisemnostZnak">
    <vt:lpwstr>2.7</vt:lpwstr>
  </property>
  <property fmtid="{D5CDD505-2E9C-101B-9397-08002B2CF9AE}" pid="4" name="Cislo_PostaOdesPisemnostDokumentVerze_PostaOdesPisemnost">
    <vt:lpwstr>VÝTISK Č. ...</vt:lpwstr>
  </property>
  <property fmtid="{D5CDD505-2E9C-101B-9397-08002B2CF9AE}" pid="5" name="CJ">
    <vt:lpwstr>38793-2025-UVCR</vt:lpwstr>
  </property>
  <property fmtid="{D5CDD505-2E9C-101B-9397-08002B2CF9AE}" pid="6" name="CJ_PostaDoruc_PisemnostOdpovedNa_Pisemnost">
    <vt:lpwstr>XXX-XXX-XXX</vt:lpwstr>
  </property>
  <property fmtid="{D5CDD505-2E9C-101B-9397-08002B2CF9AE}" pid="7" name="CJ_Spis_Pisemnost">
    <vt:lpwstr>38793-2025-UVCR</vt:lpwstr>
  </property>
  <property fmtid="{D5CDD505-2E9C-101B-9397-08002B2CF9AE}" pid="8" name="Contact_PostaOdes">
    <vt:lpwstr>ADRESÁT...
ADRESÁT...</vt:lpwstr>
  </property>
  <property fmtid="{D5CDD505-2E9C-101B-9397-08002B2CF9AE}" pid="9" name="Contact_PostaOdes_All">
    <vt:lpwstr>ROZDĚLOVNÍK...</vt:lpwstr>
  </property>
  <property fmtid="{D5CDD505-2E9C-101B-9397-08002B2CF9AE}" pid="10" name="ContentTypeId">
    <vt:lpwstr>0x0101009A46C72A9C12AF4DB6F122979E8AFDE4</vt:lpwstr>
  </property>
  <property fmtid="{D5CDD505-2E9C-101B-9397-08002B2CF9AE}" pid="11" name="DatumNaroz">
    <vt:lpwstr/>
  </property>
  <property fmtid="{D5CDD505-2E9C-101B-9397-08002B2CF9AE}" pid="12" name="DatumPlatnosti_PisemnostTypZpristupneniInformaciZOSZ_Pisemnost">
    <vt:lpwstr>ZOSZ_DatumPlatnosti</vt:lpwstr>
  </property>
  <property fmtid="{D5CDD505-2E9C-101B-9397-08002B2CF9AE}" pid="13" name="DatumPoriz_Pisemnost">
    <vt:lpwstr>30.9.2025</vt:lpwstr>
  </property>
  <property fmtid="{D5CDD505-2E9C-101B-9397-08002B2CF9AE}" pid="14" name="Datum_PostaDoruc_PisemnostOdpovedNa_Pisemnost">
    <vt:lpwstr>DD.MM.RRRR</vt:lpwstr>
  </property>
  <property fmtid="{D5CDD505-2E9C-101B-9397-08002B2CF9AE}" pid="15" name="DisplayName_CisloObalky_PostaOdes">
    <vt:lpwstr>ČÍSLO OBÁLKY</vt:lpwstr>
  </property>
  <property fmtid="{D5CDD505-2E9C-101B-9397-08002B2CF9AE}" pid="16" name="DisplayName_CJCol">
    <vt:lpwstr>&lt;TABLE&gt;&lt;TR&gt;&lt;TD&gt;Č.j.:&lt;/TD&gt;&lt;TD&gt;38793-2025-UVCR&lt;/TD&gt;&lt;/TR&gt;&lt;TR&gt;&lt;TD&gt;&lt;/TD&gt;&lt;TD&gt;&lt;/TD&gt;&lt;/TR&gt;&lt;/TABLE&gt;</vt:lpwstr>
  </property>
  <property fmtid="{D5CDD505-2E9C-101B-9397-08002B2CF9AE}" pid="17" name="DisplayName_PoziceMa_Pisemnost">
    <vt:lpwstr>Marie Novotná</vt:lpwstr>
  </property>
  <property fmtid="{D5CDD505-2E9C-101B-9397-08002B2CF9AE}" pid="18" name="DisplayName_SlozkaStupenUtajeniCollection_Slozka_Pisemnost">
    <vt:lpwstr/>
  </property>
  <property fmtid="{D5CDD505-2E9C-101B-9397-08002B2CF9AE}" pid="19" name="DisplayName_SpisovyUzel_PoziceZodpo_Pisemnost">
    <vt:lpwstr>Odbor koordinace výzkumu, vývoje a inovací</vt:lpwstr>
  </property>
  <property fmtid="{D5CDD505-2E9C-101B-9397-08002B2CF9AE}" pid="20" name="DisplayName_Spis_Pisemnost">
    <vt:lpwstr>K podpisu PM_Dopis RVVI_žádost o stanovisko_Strategie Zdraví 2030_prolongace na Zdraví 2035</vt:lpwstr>
  </property>
  <property fmtid="{D5CDD505-2E9C-101B-9397-08002B2CF9AE}" pid="21" name="DisplayName_UserPoriz_Pisemnost">
    <vt:lpwstr>Systém</vt:lpwstr>
  </property>
  <property fmtid="{D5CDD505-2E9C-101B-9397-08002B2CF9AE}" pid="22" name="DuvodZmeny_SlozkaStupenUtajeniCollection_Slozka_Pisemnost">
    <vt:lpwstr/>
  </property>
  <property fmtid="{D5CDD505-2E9C-101B-9397-08002B2CF9AE}" pid="23" name="EC_Pisemnost">
    <vt:lpwstr>UVCR25D0038742</vt:lpwstr>
  </property>
  <property fmtid="{D5CDD505-2E9C-101B-9397-08002B2CF9AE}" pid="24" name="Key_BarCode_Pisemnost">
    <vt:lpwstr>*UVCR25D0038742*</vt:lpwstr>
  </property>
  <property fmtid="{D5CDD505-2E9C-101B-9397-08002B2CF9AE}" pid="25" name="Key_BarCode_PostaOdes">
    <vt:lpwstr>11101001011</vt:lpwstr>
  </property>
  <property fmtid="{D5CDD505-2E9C-101B-9397-08002B2CF9AE}" pid="26" name="KRukam">
    <vt:lpwstr>{KRukam}</vt:lpwstr>
  </property>
  <property fmtid="{D5CDD505-2E9C-101B-9397-08002B2CF9AE}" pid="27" name="MediaServiceImageTags">
    <vt:lpwstr/>
  </property>
  <property fmtid="{D5CDD505-2E9C-101B-9397-08002B2CF9AE}" pid="28" name="NameAddress_Contact_SpisovyUzel_PoziceZodpo_Pisemnost">
    <vt:lpwstr>Úřad vlády České republiky</vt:lpwstr>
  </property>
  <property fmtid="{D5CDD505-2E9C-101B-9397-08002B2CF9AE}" pid="29" name="NamePostalAddress_Contact_PostaOdes">
    <vt:lpwstr>POŠTOVNÍ ADRESA
{PostalAddress_Contact_PostaOdes}</vt:lpwstr>
  </property>
  <property fmtid="{D5CDD505-2E9C-101B-9397-08002B2CF9AE}" pid="30" name="Odkaz">
    <vt:lpwstr>ODKAZ</vt:lpwstr>
  </property>
  <property fmtid="{D5CDD505-2E9C-101B-9397-08002B2CF9AE}" pid="31" name="Password_PisemnostTypZpristupneniInformaciZOSZ_Pisemnost">
    <vt:lpwstr>ZOSZ_Password</vt:lpwstr>
  </property>
  <property fmtid="{D5CDD505-2E9C-101B-9397-08002B2CF9AE}" pid="32" name="PocetListuDokumentu_Pisemnost">
    <vt:lpwstr>1</vt:lpwstr>
  </property>
  <property fmtid="{D5CDD505-2E9C-101B-9397-08002B2CF9AE}" pid="33" name="PocetListu_Pisemnost">
    <vt:lpwstr>1/811</vt:lpwstr>
  </property>
  <property fmtid="{D5CDD505-2E9C-101B-9397-08002B2CF9AE}" pid="34" name="PocetPriloh_Pisemnost">
    <vt:lpwstr>15</vt:lpwstr>
  </property>
  <property fmtid="{D5CDD505-2E9C-101B-9397-08002B2CF9AE}" pid="35" name="Podpis">
    <vt:lpwstr/>
  </property>
  <property fmtid="{D5CDD505-2E9C-101B-9397-08002B2CF9AE}" pid="36" name="PoleVlastnost">
    <vt:lpwstr/>
  </property>
  <property fmtid="{D5CDD505-2E9C-101B-9397-08002B2CF9AE}" pid="37" name="PostalAddress_Contact_SpisovyUzel_PoziceZodpo_Pisemnost">
    <vt:lpwstr>nábřeží Edvarda Beneše 4/128
11801 Praha 1 - Malá Strana</vt:lpwstr>
  </property>
  <property fmtid="{D5CDD505-2E9C-101B-9397-08002B2CF9AE}" pid="38" name="QREC_Pisemnost">
    <vt:lpwstr>UVCR25D0038742</vt:lpwstr>
  </property>
  <property fmtid="{D5CDD505-2E9C-101B-9397-08002B2CF9AE}" pid="39" name="RC">
    <vt:lpwstr/>
  </property>
  <property fmtid="{D5CDD505-2E9C-101B-9397-08002B2CF9AE}" pid="40" name="SkartacniZnakLhuta_PisemnostZnak">
    <vt:lpwstr>S/5</vt:lpwstr>
  </property>
  <property fmtid="{D5CDD505-2E9C-101B-9397-08002B2CF9AE}" pid="41" name="SmlouvaCislo">
    <vt:lpwstr>ČÍSLO SMLOUVY</vt:lpwstr>
  </property>
  <property fmtid="{D5CDD505-2E9C-101B-9397-08002B2CF9AE}" pid="42" name="SZ_Spis_Pisemnost">
    <vt:lpwstr>SPIS-2025-7326</vt:lpwstr>
  </property>
  <property fmtid="{D5CDD505-2E9C-101B-9397-08002B2CF9AE}" pid="43" name="Termin_Pisemnost">
    <vt:lpwstr>20.10.2025</vt:lpwstr>
  </property>
  <property fmtid="{D5CDD505-2E9C-101B-9397-08002B2CF9AE}" pid="44" name="TEST">
    <vt:lpwstr>testovací pole</vt:lpwstr>
  </property>
  <property fmtid="{D5CDD505-2E9C-101B-9397-08002B2CF9AE}" pid="45" name="TypPrilohy_Pisemnost">
    <vt:lpwstr>15el.s.</vt:lpwstr>
  </property>
  <property fmtid="{D5CDD505-2E9C-101B-9397-08002B2CF9AE}" pid="46" name="UserName_PisemnostTypZpristupneniInformaciZOSZ_Pisemnost">
    <vt:lpwstr>ZOSZ_UserName</vt:lpwstr>
  </property>
  <property fmtid="{D5CDD505-2E9C-101B-9397-08002B2CF9AE}" pid="47" name="Vec_Pisemnost">
    <vt:lpwstr>K podpisu PM_Dopis RVVI_žádost o stanovisko_Strategie Zdraví 2030_prolongace na Zdraví 2035</vt:lpwstr>
  </property>
  <property fmtid="{D5CDD505-2E9C-101B-9397-08002B2CF9AE}" pid="48" name="Zkratka_SpisovyUzel_PoziceZodpo_Pisemnost">
    <vt:lpwstr>VVI</vt:lpwstr>
  </property>
</Properties>
</file>